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26B07" w14:textId="77777777" w:rsidR="00CF56C8" w:rsidRPr="00E20574" w:rsidRDefault="00870545" w:rsidP="00E20574">
      <w:pPr>
        <w:jc w:val="left"/>
        <w:rPr>
          <w:rFonts w:cs="Times New Roman"/>
          <w:b/>
          <w:bCs/>
          <w:sz w:val="44"/>
          <w:szCs w:val="44"/>
        </w:rPr>
      </w:pPr>
      <w:r w:rsidRPr="00E20574">
        <w:rPr>
          <w:rFonts w:cs="Times New Roman"/>
          <w:b/>
          <w:bCs/>
          <w:sz w:val="44"/>
          <w:szCs w:val="44"/>
        </w:rPr>
        <w:t>Multimodal CT for Precision Diagnosis of Coronary Artery Disease: Integrating Anatomical and Functional Imaging</w:t>
      </w:r>
    </w:p>
    <w:p w14:paraId="7B57BADC" w14:textId="77777777" w:rsidR="00CF56C8" w:rsidRPr="00E20574" w:rsidRDefault="00870545" w:rsidP="00E20574">
      <w:pPr>
        <w:rPr>
          <w:rFonts w:eastAsia="SimSun" w:cs="Times New Roman"/>
          <w:b/>
          <w:bCs/>
          <w:szCs w:val="24"/>
        </w:rPr>
      </w:pPr>
      <w:r w:rsidRPr="00E20574">
        <w:rPr>
          <w:rFonts w:eastAsia="SimSun" w:cs="Times New Roman"/>
          <w:b/>
          <w:bCs/>
          <w:szCs w:val="24"/>
        </w:rPr>
        <w:t>Xiaolei Diao</w:t>
      </w:r>
      <w:r w:rsidRPr="00E20574">
        <w:rPr>
          <w:rFonts w:eastAsia="SimSun" w:cs="Times New Roman"/>
          <w:b/>
          <w:bCs/>
          <w:szCs w:val="24"/>
          <w:vertAlign w:val="superscript"/>
        </w:rPr>
        <w:t>1,2</w:t>
      </w:r>
      <w:r w:rsidRPr="00E20574">
        <w:rPr>
          <w:rFonts w:eastAsia="SimSun" w:cs="Times New Roman"/>
          <w:b/>
          <w:bCs/>
          <w:szCs w:val="24"/>
        </w:rPr>
        <w:t>, Wenjie Cai</w:t>
      </w:r>
      <w:r w:rsidRPr="00E20574">
        <w:rPr>
          <w:rFonts w:eastAsia="SimSun" w:cs="Times New Roman"/>
          <w:b/>
          <w:bCs/>
          <w:szCs w:val="24"/>
          <w:vertAlign w:val="superscript"/>
        </w:rPr>
        <w:t>1</w:t>
      </w:r>
      <w:r w:rsidRPr="00E20574">
        <w:rPr>
          <w:rFonts w:eastAsia="SimSun" w:cs="Times New Roman"/>
          <w:b/>
          <w:bCs/>
          <w:szCs w:val="24"/>
        </w:rPr>
        <w:t xml:space="preserve">, </w:t>
      </w:r>
      <w:proofErr w:type="spellStart"/>
      <w:r w:rsidRPr="00E20574">
        <w:rPr>
          <w:rFonts w:eastAsia="SimSun" w:cs="Times New Roman"/>
          <w:b/>
          <w:bCs/>
          <w:szCs w:val="24"/>
        </w:rPr>
        <w:t>Xianting</w:t>
      </w:r>
      <w:proofErr w:type="spellEnd"/>
      <w:r w:rsidRPr="00E20574">
        <w:rPr>
          <w:rFonts w:eastAsia="SimSun" w:cs="Times New Roman"/>
          <w:b/>
          <w:bCs/>
          <w:szCs w:val="24"/>
        </w:rPr>
        <w:t xml:space="preserve"> Luo</w:t>
      </w:r>
      <w:r w:rsidRPr="00E20574">
        <w:rPr>
          <w:rFonts w:eastAsia="SimSun" w:cs="Times New Roman"/>
          <w:b/>
          <w:bCs/>
          <w:szCs w:val="24"/>
          <w:vertAlign w:val="superscript"/>
        </w:rPr>
        <w:t>3</w:t>
      </w:r>
      <w:r w:rsidRPr="00E20574">
        <w:rPr>
          <w:rFonts w:eastAsia="SimSun" w:cs="Times New Roman"/>
          <w:b/>
          <w:bCs/>
          <w:szCs w:val="24"/>
        </w:rPr>
        <w:t>, Xiaoyong Zhu</w:t>
      </w:r>
      <w:r w:rsidRPr="00E20574">
        <w:rPr>
          <w:rFonts w:eastAsia="SimSun" w:cs="Times New Roman"/>
          <w:b/>
          <w:bCs/>
          <w:szCs w:val="24"/>
          <w:vertAlign w:val="superscript"/>
        </w:rPr>
        <w:t>2</w:t>
      </w:r>
      <w:r w:rsidRPr="00E20574">
        <w:rPr>
          <w:rFonts w:eastAsia="SimSun" w:cs="Times New Roman"/>
          <w:b/>
          <w:bCs/>
          <w:szCs w:val="24"/>
        </w:rPr>
        <w:t xml:space="preserve">, </w:t>
      </w:r>
      <w:proofErr w:type="spellStart"/>
      <w:r w:rsidRPr="00E20574">
        <w:rPr>
          <w:rFonts w:eastAsia="SimSun" w:cs="Times New Roman"/>
          <w:b/>
          <w:bCs/>
          <w:szCs w:val="24"/>
        </w:rPr>
        <w:t>Jianlong</w:t>
      </w:r>
      <w:proofErr w:type="spellEnd"/>
      <w:r w:rsidRPr="00E20574">
        <w:rPr>
          <w:rFonts w:eastAsia="SimSun" w:cs="Times New Roman"/>
          <w:b/>
          <w:bCs/>
          <w:szCs w:val="24"/>
        </w:rPr>
        <w:t xml:space="preserve"> OuYang</w:t>
      </w:r>
      <w:r w:rsidRPr="00E20574">
        <w:rPr>
          <w:rFonts w:eastAsia="SimSun" w:cs="Times New Roman"/>
          <w:b/>
          <w:bCs/>
          <w:szCs w:val="24"/>
          <w:vertAlign w:val="superscript"/>
        </w:rPr>
        <w:t>3</w:t>
      </w:r>
      <w:r w:rsidRPr="00E20574">
        <w:rPr>
          <w:rFonts w:eastAsia="SimSun" w:cs="Times New Roman"/>
          <w:b/>
          <w:bCs/>
          <w:szCs w:val="24"/>
        </w:rPr>
        <w:t xml:space="preserve">, </w:t>
      </w:r>
      <w:proofErr w:type="spellStart"/>
      <w:r w:rsidRPr="00E20574">
        <w:rPr>
          <w:rFonts w:eastAsia="SimSun" w:cs="Times New Roman"/>
          <w:b/>
          <w:bCs/>
          <w:szCs w:val="24"/>
        </w:rPr>
        <w:t>Nuonan</w:t>
      </w:r>
      <w:proofErr w:type="spellEnd"/>
      <w:r w:rsidRPr="00E20574">
        <w:rPr>
          <w:rFonts w:eastAsia="SimSun" w:cs="Times New Roman"/>
          <w:b/>
          <w:bCs/>
          <w:szCs w:val="24"/>
        </w:rPr>
        <w:t xml:space="preserve"> Li</w:t>
      </w:r>
      <w:r w:rsidRPr="00E20574">
        <w:rPr>
          <w:rFonts w:eastAsia="SimSun" w:cs="Times New Roman"/>
          <w:b/>
          <w:bCs/>
          <w:szCs w:val="24"/>
          <w:vertAlign w:val="superscript"/>
        </w:rPr>
        <w:t>2,4</w:t>
      </w:r>
      <w:r w:rsidRPr="00E20574">
        <w:rPr>
          <w:rFonts w:eastAsia="SimSun" w:cs="Times New Roman"/>
          <w:b/>
          <w:bCs/>
          <w:szCs w:val="24"/>
        </w:rPr>
        <w:t xml:space="preserve">, </w:t>
      </w:r>
      <w:bookmarkStart w:id="0" w:name="_Hlk209350502"/>
      <w:proofErr w:type="spellStart"/>
      <w:r w:rsidRPr="00E20574">
        <w:rPr>
          <w:rFonts w:eastAsia="SimSun" w:cs="Times New Roman"/>
          <w:b/>
          <w:bCs/>
          <w:szCs w:val="24"/>
        </w:rPr>
        <w:t>Puhua</w:t>
      </w:r>
      <w:proofErr w:type="spellEnd"/>
      <w:r w:rsidRPr="00E20574">
        <w:rPr>
          <w:rFonts w:eastAsia="SimSun" w:cs="Times New Roman"/>
          <w:b/>
          <w:bCs/>
          <w:szCs w:val="24"/>
        </w:rPr>
        <w:t xml:space="preserve"> Zhang</w:t>
      </w:r>
      <w:bookmarkEnd w:id="0"/>
      <w:r w:rsidRPr="00E20574">
        <w:rPr>
          <w:rFonts w:eastAsia="SimSun" w:cs="Times New Roman"/>
          <w:b/>
          <w:bCs/>
          <w:szCs w:val="24"/>
          <w:vertAlign w:val="superscript"/>
        </w:rPr>
        <w:t>2</w:t>
      </w:r>
      <w:r w:rsidRPr="00E20574">
        <w:rPr>
          <w:rFonts w:eastAsia="SimSun" w:cs="Times New Roman"/>
          <w:b/>
          <w:bCs/>
          <w:szCs w:val="24"/>
        </w:rPr>
        <w:t>*</w:t>
      </w:r>
    </w:p>
    <w:p w14:paraId="6FA89237" w14:textId="77777777" w:rsidR="00CF56C8" w:rsidRPr="00A97D92" w:rsidRDefault="00870545" w:rsidP="00E20574">
      <w:pPr>
        <w:rPr>
          <w:rFonts w:eastAsia="SimSun" w:cs="Times New Roman"/>
          <w:szCs w:val="24"/>
        </w:rPr>
      </w:pPr>
      <w:r w:rsidRPr="00A97D92">
        <w:rPr>
          <w:rFonts w:eastAsia="SimSun" w:cs="Times New Roman"/>
          <w:szCs w:val="24"/>
          <w:vertAlign w:val="superscript"/>
        </w:rPr>
        <w:t>1</w:t>
      </w:r>
      <w:r w:rsidRPr="00A97D92">
        <w:rPr>
          <w:rFonts w:eastAsia="SimSun" w:cs="Times New Roman"/>
          <w:szCs w:val="24"/>
        </w:rPr>
        <w:t>School of Health Science and Engineering, University of Shanghai for Science and Technology, Shanghai 200093, China</w:t>
      </w:r>
    </w:p>
    <w:p w14:paraId="30FE3168" w14:textId="77777777" w:rsidR="00CF56C8" w:rsidRPr="00A97D92" w:rsidRDefault="00870545" w:rsidP="00E20574">
      <w:pPr>
        <w:rPr>
          <w:rFonts w:eastAsia="SimSun" w:cs="Times New Roman"/>
          <w:szCs w:val="24"/>
        </w:rPr>
      </w:pPr>
      <w:r w:rsidRPr="00A97D92">
        <w:rPr>
          <w:rFonts w:eastAsia="SimSun" w:cs="Times New Roman"/>
          <w:szCs w:val="24"/>
          <w:vertAlign w:val="superscript"/>
        </w:rPr>
        <w:t>2</w:t>
      </w:r>
      <w:r w:rsidRPr="00A97D92">
        <w:rPr>
          <w:rFonts w:eastAsia="SimSun" w:cs="Times New Roman"/>
          <w:szCs w:val="24"/>
        </w:rPr>
        <w:t>Department of Cardiology, Jiujiang University Affiliated Hospital, Jiujiang 332000, Jiangxi, China</w:t>
      </w:r>
    </w:p>
    <w:p w14:paraId="22BA2C23" w14:textId="77777777" w:rsidR="00CF56C8" w:rsidRPr="00A97D92" w:rsidRDefault="00870545" w:rsidP="00E20574">
      <w:pPr>
        <w:rPr>
          <w:rFonts w:eastAsia="SimSun" w:cs="Times New Roman"/>
          <w:szCs w:val="24"/>
        </w:rPr>
      </w:pPr>
      <w:r w:rsidRPr="00A97D92">
        <w:rPr>
          <w:rFonts w:eastAsia="SimSun" w:cs="Times New Roman"/>
          <w:szCs w:val="24"/>
          <w:vertAlign w:val="superscript"/>
        </w:rPr>
        <w:t>3</w:t>
      </w:r>
      <w:r w:rsidRPr="00A97D92">
        <w:rPr>
          <w:rFonts w:eastAsia="SimSun" w:cs="Times New Roman"/>
          <w:szCs w:val="24"/>
        </w:rPr>
        <w:t>Department of Imaging, Jiujiang University Affiliated Hospital, Jiujiang 332000, Jiangxi, China</w:t>
      </w:r>
    </w:p>
    <w:p w14:paraId="29ED88C5" w14:textId="77777777" w:rsidR="00CF56C8" w:rsidRPr="00A97D92" w:rsidRDefault="00870545" w:rsidP="00E20574">
      <w:pPr>
        <w:rPr>
          <w:rFonts w:cs="Times New Roman"/>
          <w:szCs w:val="24"/>
        </w:rPr>
      </w:pPr>
      <w:r w:rsidRPr="00A97D92">
        <w:rPr>
          <w:rFonts w:eastAsia="SimSun" w:cs="Times New Roman"/>
          <w:szCs w:val="24"/>
          <w:vertAlign w:val="superscript"/>
        </w:rPr>
        <w:t>4</w:t>
      </w:r>
      <w:r w:rsidRPr="00A97D92">
        <w:rPr>
          <w:rFonts w:eastAsia="SimSun" w:cs="Times New Roman"/>
          <w:szCs w:val="24"/>
        </w:rPr>
        <w:t>Graduate Department, Gannan Medical University, Ganzhou 341000, Jiangxi, China.</w:t>
      </w:r>
    </w:p>
    <w:p w14:paraId="1A1491B9" w14:textId="77777777" w:rsidR="00CF56C8" w:rsidRPr="00A97D92" w:rsidRDefault="00870545" w:rsidP="00E20574">
      <w:pPr>
        <w:rPr>
          <w:rFonts w:eastAsia="DengXian" w:cs="Times New Roman"/>
          <w:szCs w:val="24"/>
        </w:rPr>
      </w:pPr>
      <w:r w:rsidRPr="00E20574">
        <w:rPr>
          <w:rFonts w:cs="Times New Roman"/>
          <w:b/>
          <w:bCs/>
          <w:szCs w:val="24"/>
        </w:rPr>
        <w:t>*</w:t>
      </w:r>
      <w:r w:rsidRPr="00E20574">
        <w:rPr>
          <w:rFonts w:cs="Times New Roman"/>
          <w:b/>
          <w:bCs/>
          <w:i/>
          <w:iCs/>
          <w:szCs w:val="24"/>
        </w:rPr>
        <w:t>Corresponding author</w:t>
      </w:r>
      <w:r w:rsidRPr="00E20574">
        <w:rPr>
          <w:rFonts w:cs="Times New Roman"/>
          <w:b/>
          <w:bCs/>
          <w:szCs w:val="24"/>
        </w:rPr>
        <w:t xml:space="preserve">: </w:t>
      </w:r>
      <w:proofErr w:type="spellStart"/>
      <w:r w:rsidRPr="00A97D92">
        <w:rPr>
          <w:rFonts w:eastAsia="SimSun" w:cs="Times New Roman"/>
          <w:szCs w:val="24"/>
        </w:rPr>
        <w:t>Puhua</w:t>
      </w:r>
      <w:proofErr w:type="spellEnd"/>
      <w:r w:rsidRPr="00A97D92">
        <w:rPr>
          <w:rFonts w:eastAsia="SimSun" w:cs="Times New Roman"/>
          <w:szCs w:val="24"/>
        </w:rPr>
        <w:t xml:space="preserve"> Zhang, zhangph6@126.com</w:t>
      </w:r>
    </w:p>
    <w:p w14:paraId="754E6DF0" w14:textId="77777777" w:rsidR="00CF56C8" w:rsidRDefault="00CF56C8" w:rsidP="00A97D92">
      <w:pPr>
        <w:rPr>
          <w:rFonts w:eastAsia="SimSun" w:cs="Times New Roman"/>
          <w:szCs w:val="24"/>
        </w:rPr>
      </w:pPr>
    </w:p>
    <w:p w14:paraId="0A919F97" w14:textId="77777777" w:rsidR="00A97D92" w:rsidRDefault="00A97D92" w:rsidP="00A97D92">
      <w:pPr>
        <w:widowControl/>
        <w:autoSpaceDE w:val="0"/>
        <w:autoSpaceDN w:val="0"/>
        <w:snapToGrid/>
        <w:rPr>
          <w:rFonts w:eastAsia="SimSun"/>
          <w:kern w:val="0"/>
          <w:sz w:val="20"/>
          <w:szCs w:val="20"/>
          <w:lang w:eastAsia="en-US"/>
        </w:rPr>
      </w:pPr>
      <w:bookmarkStart w:id="1"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666BCD85" w14:textId="77777777" w:rsidR="00A97D92" w:rsidRPr="00A97D92" w:rsidRDefault="00A97D92" w:rsidP="00E20574">
      <w:pPr>
        <w:rPr>
          <w:rFonts w:eastAsia="SimSun" w:cs="Times New Roman"/>
          <w:szCs w:val="24"/>
        </w:rPr>
      </w:pPr>
    </w:p>
    <w:p w14:paraId="694229CB" w14:textId="343FE0A4" w:rsidR="00CF56C8" w:rsidRPr="00A97D92" w:rsidRDefault="00870545" w:rsidP="00E20574">
      <w:pPr>
        <w:rPr>
          <w:rFonts w:eastAsia="Times New Roman" w:cs="Times New Roman"/>
          <w:color w:val="231F20"/>
          <w:szCs w:val="24"/>
          <w:lang w:bidi="zh-CN"/>
        </w:rPr>
      </w:pPr>
      <w:r w:rsidRPr="00E20574">
        <w:rPr>
          <w:rFonts w:eastAsia="SimSun" w:cs="Times New Roman"/>
          <w:b/>
          <w:bCs/>
          <w:szCs w:val="24"/>
        </w:rPr>
        <w:t>Abstract:</w:t>
      </w:r>
      <w:r w:rsidRPr="00A97D92">
        <w:rPr>
          <w:rFonts w:eastAsia="DengXian" w:cs="Times New Roman"/>
          <w:szCs w:val="24"/>
        </w:rPr>
        <w:t xml:space="preserve"> </w:t>
      </w:r>
      <w:r w:rsidRPr="00A97D92">
        <w:rPr>
          <w:rFonts w:eastAsia="Times New Roman" w:cs="Times New Roman"/>
          <w:color w:val="231F20"/>
          <w:szCs w:val="24"/>
          <w:lang w:bidi="zh-CN"/>
        </w:rPr>
        <w:t>Precision diagnosis of coronary artery disease (CAD) requires the integration of multidimensional data, including coronary anatomy and physiological function</w:t>
      </w:r>
      <w:r w:rsidR="00317EA5">
        <w:rPr>
          <w:rFonts w:eastAsia="Times New Roman" w:cs="Times New Roman"/>
          <w:color w:val="231F20"/>
          <w:szCs w:val="24"/>
          <w:lang w:bidi="zh-CN"/>
        </w:rPr>
        <w:t>,</w:t>
      </w:r>
      <w:r w:rsidRPr="00A97D92">
        <w:rPr>
          <w:rFonts w:eastAsia="Times New Roman" w:cs="Times New Roman"/>
          <w:color w:val="231F20"/>
          <w:szCs w:val="24"/>
          <w:lang w:bidi="zh-CN"/>
        </w:rPr>
        <w:t xml:space="preserve"> for a comprehensive evaluation. This article reviews recent advances in multimodal computed tomography (CT) technologies for diagnosing CAD, analyzing their complementary strengths and limitations. In anatomical imaging, coronary computed tomography angiography (CCTA) assesses the degree of coronary stenosis and plaque characteristics but has limited specificity in evaluating functional ischemia. Functional imaging methods, such as </w:t>
      </w:r>
      <w:bookmarkStart w:id="2" w:name="_Hlk210036724"/>
      <w:r w:rsidRPr="00A97D92">
        <w:rPr>
          <w:rFonts w:eastAsia="Times New Roman" w:cs="Times New Roman"/>
          <w:color w:val="231F20"/>
          <w:szCs w:val="24"/>
          <w:lang w:bidi="zh-CN"/>
        </w:rPr>
        <w:t>fractional flow reserve derived from CT</w:t>
      </w:r>
      <w:bookmarkEnd w:id="2"/>
      <w:r w:rsidRPr="00A97D92">
        <w:rPr>
          <w:rFonts w:eastAsia="Times New Roman" w:cs="Times New Roman"/>
          <w:color w:val="231F20"/>
          <w:szCs w:val="24"/>
          <w:lang w:bidi="zh-CN"/>
        </w:rPr>
        <w:t xml:space="preserve"> (CT-FFR), which simulates coronary pressure changes using fluid dynamics, and computed tomography perfusion (CTP) for myocardial ischemia detection, significantly enhance the accuracy and reliability of functional evaluations in CAD. The synergistic use of multimodal CT technologies addresses the limitations inherent to single imaging modalities, reduces unnecessary invasive procedures, and optimizes revascularization decisions, facilitating hierarchical precision assessment from anatomical stenosis to fun</w:t>
      </w:r>
      <w:r w:rsidRPr="00A97D92">
        <w:rPr>
          <w:rFonts w:eastAsia="Times New Roman" w:cs="Times New Roman"/>
          <w:color w:val="231F20"/>
          <w:szCs w:val="24"/>
          <w:lang w:bidi="zh-CN"/>
        </w:rPr>
        <w:t>ctional ischemia.</w:t>
      </w:r>
    </w:p>
    <w:p w14:paraId="47B8DADA" w14:textId="77777777" w:rsidR="00CF56C8" w:rsidRPr="00A97D92" w:rsidRDefault="00870545" w:rsidP="00E20574">
      <w:pPr>
        <w:rPr>
          <w:rFonts w:eastAsia="SimSun" w:cs="Times New Roman"/>
          <w:szCs w:val="24"/>
          <w:lang w:bidi="ar"/>
        </w:rPr>
      </w:pPr>
      <w:r w:rsidRPr="00E20574">
        <w:rPr>
          <w:rFonts w:eastAsia="SimSun" w:cs="Times New Roman"/>
          <w:b/>
          <w:bCs/>
          <w:szCs w:val="24"/>
          <w:lang w:bidi="ar"/>
        </w:rPr>
        <w:t>Keywords:</w:t>
      </w:r>
      <w:r w:rsidRPr="00A97D92">
        <w:rPr>
          <w:rFonts w:eastAsia="SimSun" w:cs="Times New Roman"/>
          <w:i/>
          <w:iCs/>
          <w:szCs w:val="24"/>
          <w:lang w:bidi="ar"/>
        </w:rPr>
        <w:t xml:space="preserve"> </w:t>
      </w:r>
      <w:r w:rsidRPr="00A97D92">
        <w:rPr>
          <w:rFonts w:eastAsia="SimSun" w:cs="Times New Roman"/>
          <w:szCs w:val="24"/>
          <w:lang w:bidi="ar"/>
        </w:rPr>
        <w:t>CAD; CCTA; CT-FFR; CTP</w:t>
      </w:r>
    </w:p>
    <w:p w14:paraId="0E077952" w14:textId="77777777" w:rsidR="00CF56C8" w:rsidRDefault="00CF56C8" w:rsidP="00A97D92">
      <w:pPr>
        <w:rPr>
          <w:rFonts w:eastAsia="DengXian" w:cs="Times New Roman"/>
          <w:szCs w:val="24"/>
        </w:rPr>
      </w:pPr>
    </w:p>
    <w:p w14:paraId="3831425E" w14:textId="6550EE3F" w:rsidR="00A97D92" w:rsidRPr="00E20574" w:rsidRDefault="00A97D92" w:rsidP="00A97D92">
      <w:pPr>
        <w:rPr>
          <w:rFonts w:eastAsia="DengXian" w:cs="Times New Roman"/>
          <w:b/>
          <w:bCs/>
          <w:szCs w:val="24"/>
          <w:lang w:val="en-MY"/>
        </w:rPr>
      </w:pPr>
      <w:r>
        <w:rPr>
          <w:rFonts w:eastAsia="DengXian" w:cs="Times New Roman"/>
          <w:b/>
          <w:bCs/>
          <w:szCs w:val="24"/>
        </w:rPr>
        <w:t>Online publication:</w:t>
      </w:r>
    </w:p>
    <w:p w14:paraId="3850B7E9" w14:textId="77777777" w:rsidR="00A97D92" w:rsidRPr="00A97D92" w:rsidRDefault="00A97D92" w:rsidP="00E20574">
      <w:pPr>
        <w:rPr>
          <w:rFonts w:eastAsia="DengXian" w:cs="Times New Roman"/>
          <w:szCs w:val="24"/>
        </w:rPr>
      </w:pPr>
    </w:p>
    <w:p w14:paraId="3D52FCC3" w14:textId="77777777" w:rsidR="00CF56C8" w:rsidRPr="00E20574" w:rsidRDefault="00870545" w:rsidP="00E20574">
      <w:pPr>
        <w:rPr>
          <w:rFonts w:eastAsia="Times New Roman" w:cs="Times New Roman"/>
          <w:b/>
          <w:bCs/>
          <w:color w:val="231F20"/>
          <w:spacing w:val="-6"/>
          <w:szCs w:val="24"/>
          <w:lang w:bidi="zh-CN"/>
        </w:rPr>
      </w:pPr>
      <w:r w:rsidRPr="00E20574">
        <w:rPr>
          <w:rFonts w:eastAsia="Times New Roman" w:cs="Times New Roman"/>
          <w:b/>
          <w:bCs/>
          <w:color w:val="231F20"/>
          <w:spacing w:val="-6"/>
          <w:szCs w:val="24"/>
          <w:lang w:bidi="zh-CN"/>
        </w:rPr>
        <w:t>1. Introduction</w:t>
      </w:r>
    </w:p>
    <w:p w14:paraId="33B78701" w14:textId="4B8D9F26" w:rsidR="00CF56C8" w:rsidRPr="00A97D92" w:rsidRDefault="00870545" w:rsidP="00E20574">
      <w:pPr>
        <w:rPr>
          <w:rFonts w:cs="Times New Roman"/>
          <w:color w:val="231F20"/>
          <w:szCs w:val="24"/>
        </w:rPr>
      </w:pPr>
      <w:r w:rsidRPr="00A97D92">
        <w:rPr>
          <w:rFonts w:cs="Times New Roman"/>
          <w:color w:val="231F20"/>
          <w:szCs w:val="24"/>
        </w:rPr>
        <w:t>CAD is one of the leading causes of death and disability worldwide, and its early and accurate diagnosis plays a crucial role in improving clinical outcomes for patients</w:t>
      </w:r>
      <w:r w:rsidR="00317EA5">
        <w:rPr>
          <w:rFonts w:cs="Times New Roman"/>
          <w:color w:val="231F20"/>
          <w:szCs w:val="24"/>
        </w:rPr>
        <w:t xml:space="preserve"> </w:t>
      </w:r>
      <w:r w:rsidRPr="00A97D92">
        <w:rPr>
          <w:rFonts w:cs="Times New Roman"/>
          <w:szCs w:val="24"/>
          <w:vertAlign w:val="superscript"/>
        </w:rPr>
        <w:t>[1]</w:t>
      </w:r>
      <w:r w:rsidRPr="00A97D92">
        <w:rPr>
          <w:rFonts w:cs="Times New Roman"/>
          <w:color w:val="231F20"/>
          <w:szCs w:val="24"/>
        </w:rPr>
        <w:t>. The pathological hallmark of CAD is atherosclerotic plaque formation, leading to coronary artery stenosis or occlusion, subsequently resulting in myocardial ischemia, hypoxia, or necrosis. Although invasive coronary angiography (ICA) is considered the gold standard for anatomical assessment of coronary stenosis, the invasive nature of the procedure and associated risks have highlighted the urgent need for noninvasive imaging alternatives</w:t>
      </w:r>
      <w:r w:rsidR="00317EA5">
        <w:rPr>
          <w:rFonts w:cs="Times New Roman"/>
          <w:color w:val="231F20"/>
          <w:szCs w:val="24"/>
        </w:rPr>
        <w:t xml:space="preserve"> </w:t>
      </w:r>
      <w:r w:rsidRPr="00A97D92">
        <w:rPr>
          <w:rFonts w:cs="Times New Roman"/>
          <w:szCs w:val="24"/>
          <w:vertAlign w:val="superscript"/>
        </w:rPr>
        <w:t>[2]</w:t>
      </w:r>
      <w:r w:rsidRPr="00A97D92">
        <w:rPr>
          <w:rFonts w:cs="Times New Roman"/>
          <w:color w:val="231F20"/>
          <w:szCs w:val="24"/>
        </w:rPr>
        <w:t>.</w:t>
      </w:r>
    </w:p>
    <w:p w14:paraId="22C2F3C0" w14:textId="287DC6FC" w:rsidR="00CF56C8" w:rsidRPr="00A97D92" w:rsidRDefault="00870545" w:rsidP="00E20574">
      <w:pPr>
        <w:ind w:firstLine="420"/>
        <w:rPr>
          <w:rFonts w:cs="Times New Roman"/>
          <w:color w:val="231F20"/>
          <w:szCs w:val="24"/>
        </w:rPr>
      </w:pPr>
      <w:r w:rsidRPr="00A97D92">
        <w:rPr>
          <w:rFonts w:cs="Times New Roman"/>
          <w:color w:val="231F20"/>
          <w:szCs w:val="24"/>
        </w:rPr>
        <w:t>In recent years, CCTA has emerged as the preferred noninvasive modality for diagnosing CAD due to its high spatial resolution. However, the degree of coronary artery stenosis does not always correlate with hemodynamic abnormalities, and traditional morphological assessment often fails to accurately identify functional ischemia</w:t>
      </w:r>
      <w:r w:rsidR="00317EA5">
        <w:rPr>
          <w:rFonts w:cs="Times New Roman"/>
          <w:color w:val="231F20"/>
          <w:szCs w:val="24"/>
        </w:rPr>
        <w:t xml:space="preserve"> </w:t>
      </w:r>
      <w:r w:rsidRPr="00A97D92">
        <w:rPr>
          <w:rFonts w:cs="Times New Roman"/>
          <w:szCs w:val="24"/>
          <w:vertAlign w:val="superscript"/>
        </w:rPr>
        <w:t>[3]</w:t>
      </w:r>
      <w:r w:rsidRPr="00A97D92">
        <w:rPr>
          <w:rFonts w:cs="Times New Roman"/>
          <w:color w:val="231F20"/>
          <w:szCs w:val="24"/>
        </w:rPr>
        <w:t xml:space="preserve">. This limitation has spurred rapid advancements in functional CT techniques. Specifically, CT-FFR calculates pressure gradients across coronary stenoses using hemodynamic modeling; and CTP detects myocardial perfusion defects during stress </w:t>
      </w:r>
      <w:r w:rsidRPr="00A97D92">
        <w:rPr>
          <w:rFonts w:cs="Times New Roman"/>
          <w:color w:val="231F20"/>
          <w:szCs w:val="24"/>
        </w:rPr>
        <w:lastRenderedPageBreak/>
        <w:t>testing.</w:t>
      </w:r>
      <w:r w:rsidR="00E962D5">
        <w:rPr>
          <w:rFonts w:cs="Times New Roman"/>
          <w:color w:val="231F20"/>
          <w:szCs w:val="24"/>
        </w:rPr>
        <w:t xml:space="preserve"> </w:t>
      </w:r>
      <w:r w:rsidRPr="00A97D92">
        <w:rPr>
          <w:rFonts w:cs="Times New Roman"/>
          <w:color w:val="231F20"/>
          <w:szCs w:val="24"/>
        </w:rPr>
        <w:t>These</w:t>
      </w:r>
      <w:r w:rsidRPr="00A97D92">
        <w:rPr>
          <w:rFonts w:cs="Times New Roman"/>
          <w:color w:val="231F20"/>
          <w:szCs w:val="24"/>
        </w:rPr>
        <w:t xml:space="preserve"> methods have expanded CAD diagnostics beyond anatomical stenosis assessment, enabling quantitative analysis of functional ischemia and enhancing detection of hemodynamically significant lesions. Multimodal CT integrates anatomical stenosis assessment and functional ischemia analysis to establish a multidimensional diagnostic framework (“anatomical-functional”), systematically enhancing diagnostic accuracy for CAD.</w:t>
      </w:r>
    </w:p>
    <w:p w14:paraId="659BEDA5" w14:textId="77777777" w:rsidR="00CF56C8" w:rsidRPr="00A97D92" w:rsidRDefault="00CF56C8" w:rsidP="00E20574">
      <w:pPr>
        <w:rPr>
          <w:rFonts w:cs="Times New Roman"/>
          <w:color w:val="231F20"/>
          <w:szCs w:val="24"/>
        </w:rPr>
      </w:pPr>
    </w:p>
    <w:p w14:paraId="525EF719" w14:textId="77777777"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2.</w:t>
      </w:r>
      <w:r w:rsidRPr="00E20574">
        <w:rPr>
          <w:rFonts w:eastAsia="Times New Roman" w:cs="Times New Roman"/>
          <w:b/>
          <w:bCs/>
          <w:color w:val="231F20"/>
          <w:spacing w:val="-6"/>
          <w:szCs w:val="24"/>
          <w:lang w:bidi="zh-CN"/>
        </w:rPr>
        <w:t xml:space="preserve"> Functional Imaging: The role of CT-FFR and CTP in coronary hemodynamic assessment</w:t>
      </w:r>
    </w:p>
    <w:p w14:paraId="203A4CBB" w14:textId="77777777"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2</w:t>
      </w:r>
      <w:r w:rsidRPr="00E20574">
        <w:rPr>
          <w:rFonts w:eastAsia="Times New Roman" w:cs="Times New Roman"/>
          <w:b/>
          <w:bCs/>
          <w:color w:val="231F20"/>
          <w:spacing w:val="-6"/>
          <w:szCs w:val="24"/>
          <w:lang w:bidi="zh-CN"/>
        </w:rPr>
        <w:t>.1. CT-FFR</w:t>
      </w:r>
    </w:p>
    <w:p w14:paraId="779E62D2" w14:textId="77777777"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2</w:t>
      </w:r>
      <w:r w:rsidRPr="00E20574">
        <w:rPr>
          <w:rFonts w:eastAsia="Times New Roman" w:cs="Times New Roman"/>
          <w:b/>
          <w:bCs/>
          <w:color w:val="231F20"/>
          <w:spacing w:val="-6"/>
          <w:szCs w:val="24"/>
          <w:lang w:bidi="zh-CN"/>
        </w:rPr>
        <w:t>.1.1. Principles and measurement techniques of CT-FFR</w:t>
      </w:r>
    </w:p>
    <w:p w14:paraId="1241F7AC" w14:textId="05307D24" w:rsidR="00CF56C8" w:rsidRPr="00A97D92" w:rsidRDefault="00870545" w:rsidP="00E20574">
      <w:pPr>
        <w:rPr>
          <w:rFonts w:cs="Times New Roman"/>
          <w:color w:val="231F20"/>
          <w:szCs w:val="24"/>
        </w:rPr>
      </w:pPr>
      <w:r w:rsidRPr="00A97D92">
        <w:rPr>
          <w:rFonts w:cs="Times New Roman"/>
          <w:color w:val="231F20"/>
          <w:szCs w:val="24"/>
        </w:rPr>
        <w:t>Invasive fractional flow reserve (FFR) is currently considered the gold standard for assessing coronary functional stenosis, defined as the ratio of maximum perfused blood flow through a stenotic lesion relative to maximal perfusion in the vessel under normal conditions</w:t>
      </w:r>
      <w:r w:rsidR="00317EA5">
        <w:rPr>
          <w:rFonts w:cs="Times New Roman"/>
          <w:color w:val="231F20"/>
          <w:szCs w:val="24"/>
        </w:rPr>
        <w:t xml:space="preserve"> </w:t>
      </w:r>
      <w:r w:rsidRPr="00A97D92">
        <w:rPr>
          <w:rFonts w:cs="Times New Roman"/>
          <w:szCs w:val="24"/>
          <w:vertAlign w:val="superscript"/>
        </w:rPr>
        <w:t>[4]</w:t>
      </w:r>
      <w:r w:rsidRPr="00A97D92">
        <w:rPr>
          <w:rFonts w:cs="Times New Roman"/>
          <w:color w:val="231F20"/>
          <w:szCs w:val="24"/>
        </w:rPr>
        <w:t>. However, its clinical application is significantly restricted by invasiveness, procedural complexity, and high costs</w:t>
      </w:r>
      <w:r w:rsidR="00317EA5">
        <w:rPr>
          <w:rFonts w:cs="Times New Roman"/>
          <w:color w:val="231F20"/>
          <w:szCs w:val="24"/>
        </w:rPr>
        <w:t xml:space="preserve"> </w:t>
      </w:r>
      <w:r w:rsidRPr="00A97D92">
        <w:rPr>
          <w:rFonts w:cs="Times New Roman"/>
          <w:szCs w:val="24"/>
          <w:vertAlign w:val="superscript"/>
        </w:rPr>
        <w:t>[5]</w:t>
      </w:r>
      <w:r w:rsidRPr="00A97D92">
        <w:rPr>
          <w:rFonts w:cs="Times New Roman"/>
          <w:color w:val="231F20"/>
          <w:szCs w:val="24"/>
        </w:rPr>
        <w:t>. Recent breakthroughs in non-invasive FFR measurement techniques based on CCTA have emerged. These methods utilize three-dimensional reconstructions derived from CCTA data to establish patient-specific coronary hemodynamic models, enabling quantitative simulation of pressure gradients across stenotic segments. Consequently, this technology allows for assessment of coronary functional ischemia without the need for stress-inducing medications or additional radiation exposure</w:t>
      </w:r>
      <w:r w:rsidR="00317EA5">
        <w:rPr>
          <w:rFonts w:cs="Times New Roman"/>
          <w:color w:val="231F20"/>
          <w:szCs w:val="24"/>
        </w:rPr>
        <w:t xml:space="preserve"> </w:t>
      </w:r>
      <w:r w:rsidRPr="00A97D92">
        <w:rPr>
          <w:rFonts w:cs="Times New Roman"/>
          <w:szCs w:val="24"/>
          <w:vertAlign w:val="superscript"/>
        </w:rPr>
        <w:t>[6,7]</w:t>
      </w:r>
      <w:r w:rsidRPr="00A97D92">
        <w:rPr>
          <w:rFonts w:cs="Times New Roman"/>
          <w:color w:val="231F20"/>
          <w:szCs w:val="24"/>
        </w:rPr>
        <w:t>. This advancement represents a major innovation in noninvasive cardiovascular functional assessment.</w:t>
      </w:r>
    </w:p>
    <w:p w14:paraId="07C72BD3" w14:textId="2C9F6A87" w:rsidR="00CF56C8" w:rsidRPr="00A97D92" w:rsidRDefault="00870545" w:rsidP="00E20574">
      <w:pPr>
        <w:ind w:firstLine="420"/>
        <w:rPr>
          <w:rFonts w:cs="Times New Roman"/>
          <w:color w:val="231F20"/>
          <w:szCs w:val="24"/>
        </w:rPr>
      </w:pPr>
      <w:r w:rsidRPr="00A97D92">
        <w:rPr>
          <w:rFonts w:cs="Times New Roman"/>
          <w:color w:val="231F20"/>
          <w:szCs w:val="24"/>
        </w:rPr>
        <w:t>In clinical practice, CT-FFR is typically measured 1 to 2 cm distal to the target lesion</w:t>
      </w:r>
      <w:r w:rsidR="00317EA5">
        <w:rPr>
          <w:rFonts w:cs="Times New Roman"/>
          <w:color w:val="231F20"/>
          <w:szCs w:val="24"/>
        </w:rPr>
        <w:t xml:space="preserve"> </w:t>
      </w:r>
      <w:r w:rsidRPr="00A97D92">
        <w:rPr>
          <w:rFonts w:cs="Times New Roman"/>
          <w:szCs w:val="24"/>
          <w:vertAlign w:val="superscript"/>
        </w:rPr>
        <w:t>[8]</w:t>
      </w:r>
      <w:r w:rsidRPr="00A97D92">
        <w:rPr>
          <w:rFonts w:cs="Times New Roman"/>
          <w:color w:val="231F20"/>
          <w:szCs w:val="24"/>
        </w:rPr>
        <w:t>. A CT-FFR ≤ 0.75 indicates a significantly increased risk of myocardial ischemia, warranting revascularization, whereas a CT-FFR &gt; 0.80 suggests lower risk and favors medical therapy. Values between 0.76 and 0.80 represent a “gray zone,” necessitating comprehensive assessment of clinical symptoms and ancillary test results to guide decisions on revascularization</w:t>
      </w:r>
      <w:r w:rsidR="00317EA5">
        <w:rPr>
          <w:rFonts w:cs="Times New Roman"/>
          <w:color w:val="231F20"/>
          <w:szCs w:val="24"/>
        </w:rPr>
        <w:t xml:space="preserve"> </w:t>
      </w:r>
      <w:r w:rsidRPr="00A97D92">
        <w:rPr>
          <w:rFonts w:cs="Times New Roman"/>
          <w:szCs w:val="24"/>
          <w:vertAlign w:val="superscript"/>
        </w:rPr>
        <w:t>[9]</w:t>
      </w:r>
      <w:r w:rsidRPr="00A97D92">
        <w:rPr>
          <w:rFonts w:cs="Times New Roman"/>
          <w:color w:val="231F20"/>
          <w:szCs w:val="24"/>
        </w:rPr>
        <w:t>. This quantitative stratification strategy based on CT-FFR provides objective evidence for establishing revascularization indications and supports personalized, evidence-based treatment decisions.</w:t>
      </w:r>
    </w:p>
    <w:p w14:paraId="437C9D25" w14:textId="77777777" w:rsidR="00CF56C8" w:rsidRPr="00A97D92" w:rsidRDefault="00CF56C8" w:rsidP="00E20574">
      <w:pPr>
        <w:rPr>
          <w:rFonts w:cs="Times New Roman"/>
          <w:color w:val="231F20"/>
          <w:szCs w:val="24"/>
        </w:rPr>
      </w:pPr>
    </w:p>
    <w:p w14:paraId="7EE8E2D0" w14:textId="77777777"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2</w:t>
      </w:r>
      <w:r w:rsidRPr="00E20574">
        <w:rPr>
          <w:rFonts w:eastAsia="Times New Roman" w:cs="Times New Roman"/>
          <w:b/>
          <w:bCs/>
          <w:color w:val="231F20"/>
          <w:spacing w:val="-6"/>
          <w:szCs w:val="24"/>
          <w:lang w:bidi="zh-CN"/>
        </w:rPr>
        <w:t>.1.2. Diagnostic value of CT-FFR for CAD</w:t>
      </w:r>
    </w:p>
    <w:p w14:paraId="4752495C" w14:textId="5181E08A" w:rsidR="00CF56C8" w:rsidRPr="00A97D92" w:rsidRDefault="00870545" w:rsidP="00E20574">
      <w:pPr>
        <w:rPr>
          <w:rFonts w:cs="Times New Roman"/>
          <w:color w:val="231F20"/>
          <w:szCs w:val="24"/>
        </w:rPr>
      </w:pPr>
      <w:r w:rsidRPr="00A97D92">
        <w:rPr>
          <w:rFonts w:cs="Times New Roman"/>
          <w:color w:val="231F20"/>
          <w:szCs w:val="24"/>
        </w:rPr>
        <w:t>As a noninvasive imaging modality, CT-FFR can accurately evaluate hemodynamic changes resulting from CAD. Results from several large-scale clinical studies have confirmed its diagnostic value for identifying myocardial ischemia in CAD patients</w:t>
      </w:r>
      <w:r w:rsidR="004A328C">
        <w:rPr>
          <w:rFonts w:cs="Times New Roman"/>
          <w:color w:val="231F20"/>
          <w:szCs w:val="24"/>
        </w:rPr>
        <w:t xml:space="preserve"> </w:t>
      </w:r>
      <w:r w:rsidRPr="00A97D92">
        <w:rPr>
          <w:rFonts w:cs="Times New Roman"/>
          <w:szCs w:val="24"/>
          <w:vertAlign w:val="superscript"/>
        </w:rPr>
        <w:t>[5,10</w:t>
      </w:r>
      <w:r w:rsidR="004A328C">
        <w:rPr>
          <w:rFonts w:cs="Times New Roman"/>
          <w:szCs w:val="24"/>
          <w:vertAlign w:val="superscript"/>
        </w:rPr>
        <w:t>–</w:t>
      </w:r>
      <w:r w:rsidRPr="00A97D92">
        <w:rPr>
          <w:rFonts w:cs="Times New Roman"/>
          <w:szCs w:val="24"/>
          <w:vertAlign w:val="superscript"/>
        </w:rPr>
        <w:t>12]</w:t>
      </w:r>
      <w:r w:rsidRPr="00A97D92">
        <w:rPr>
          <w:rFonts w:cs="Times New Roman"/>
          <w:color w:val="231F20"/>
          <w:szCs w:val="24"/>
        </w:rPr>
        <w:t xml:space="preserve">. A prospective multicenter study employing a novel lumen-contour reconstruction algorithm demonstrated that CT-FFR achieved high sensitivity (95.3%), specificity (89.8%), and overall accuracy (92.0%) at the vessel level, significantly outperforming CCTA alone (AUC 0.95 vs. 0.74, </w:t>
      </w:r>
      <w:r w:rsidRPr="00A97D92">
        <w:rPr>
          <w:rFonts w:cs="Times New Roman"/>
          <w:i/>
          <w:iCs/>
          <w:color w:val="231F20"/>
          <w:szCs w:val="24"/>
        </w:rPr>
        <w:t>P</w:t>
      </w:r>
      <w:r w:rsidRPr="00A97D92">
        <w:rPr>
          <w:rFonts w:cs="Times New Roman"/>
          <w:color w:val="231F20"/>
          <w:szCs w:val="24"/>
        </w:rPr>
        <w:t xml:space="preserve"> &lt;</w:t>
      </w:r>
      <w:r w:rsidR="004A328C">
        <w:rPr>
          <w:rFonts w:cs="Times New Roman"/>
          <w:color w:val="231F20"/>
          <w:szCs w:val="24"/>
        </w:rPr>
        <w:t xml:space="preserve"> </w:t>
      </w:r>
      <w:r w:rsidRPr="00A97D92">
        <w:rPr>
          <w:rFonts w:cs="Times New Roman"/>
          <w:color w:val="231F20"/>
          <w:szCs w:val="24"/>
        </w:rPr>
        <w:t>0.001), with particular advantages observed in moderate stenoses and heavily calcified lesions</w:t>
      </w:r>
      <w:r w:rsidR="004A328C">
        <w:rPr>
          <w:rFonts w:cs="Times New Roman"/>
          <w:color w:val="231F20"/>
          <w:szCs w:val="24"/>
        </w:rPr>
        <w:t xml:space="preserve"> </w:t>
      </w:r>
      <w:r w:rsidRPr="00A97D92">
        <w:rPr>
          <w:rFonts w:cs="Times New Roman"/>
          <w:szCs w:val="24"/>
          <w:vertAlign w:val="superscript"/>
        </w:rPr>
        <w:t>[13]</w:t>
      </w:r>
      <w:r w:rsidRPr="00A97D92">
        <w:rPr>
          <w:rFonts w:cs="Times New Roman"/>
          <w:color w:val="231F20"/>
          <w:szCs w:val="24"/>
        </w:rPr>
        <w:t>. A retrospective multicenter study further validated the superiority of CT-FFR over CCTA in detecting lesion-specific ischemia, showing moderate correlation with invasive FFR measurements (</w:t>
      </w:r>
      <w:r w:rsidRPr="00A97D92">
        <w:rPr>
          <w:rFonts w:cs="Times New Roman"/>
          <w:i/>
          <w:iCs/>
          <w:color w:val="231F20"/>
          <w:szCs w:val="24"/>
        </w:rPr>
        <w:t>r</w:t>
      </w:r>
      <w:r w:rsidRPr="00A97D92">
        <w:rPr>
          <w:rFonts w:cs="Times New Roman"/>
          <w:color w:val="231F20"/>
          <w:szCs w:val="24"/>
        </w:rPr>
        <w:t xml:space="preserve"> = 0.52, </w:t>
      </w:r>
      <w:r w:rsidRPr="00A97D92">
        <w:rPr>
          <w:rFonts w:cs="Times New Roman"/>
          <w:i/>
          <w:iCs/>
          <w:color w:val="231F20"/>
          <w:szCs w:val="24"/>
        </w:rPr>
        <w:t>P</w:t>
      </w:r>
      <w:r w:rsidRPr="00A97D92">
        <w:rPr>
          <w:rFonts w:cs="Times New Roman"/>
          <w:color w:val="231F20"/>
          <w:szCs w:val="24"/>
        </w:rPr>
        <w:t xml:space="preserve"> &lt;</w:t>
      </w:r>
      <w:r w:rsidR="004A328C">
        <w:rPr>
          <w:rFonts w:cs="Times New Roman"/>
          <w:color w:val="231F20"/>
          <w:szCs w:val="24"/>
        </w:rPr>
        <w:t xml:space="preserve"> </w:t>
      </w:r>
      <w:r w:rsidRPr="00A97D92">
        <w:rPr>
          <w:rFonts w:cs="Times New Roman"/>
          <w:color w:val="231F20"/>
          <w:szCs w:val="24"/>
        </w:rPr>
        <w:t>0.001)</w:t>
      </w:r>
      <w:r w:rsidR="004A328C">
        <w:rPr>
          <w:rFonts w:cs="Times New Roman"/>
          <w:color w:val="231F20"/>
          <w:szCs w:val="24"/>
        </w:rPr>
        <w:t xml:space="preserve"> </w:t>
      </w:r>
      <w:r w:rsidRPr="00A97D92">
        <w:rPr>
          <w:rFonts w:cs="Times New Roman"/>
          <w:szCs w:val="24"/>
          <w:vertAlign w:val="superscript"/>
          <w:lang w:val="en-MY"/>
        </w:rPr>
        <w:t>[11]</w:t>
      </w:r>
      <w:r w:rsidRPr="00A97D92">
        <w:rPr>
          <w:rFonts w:cs="Times New Roman"/>
          <w:color w:val="231F20"/>
          <w:szCs w:val="24"/>
        </w:rPr>
        <w:t>. A comparative analysis by Driessen et al.</w:t>
      </w:r>
      <w:r w:rsidR="004A328C">
        <w:rPr>
          <w:rFonts w:cs="Times New Roman"/>
          <w:color w:val="231F20"/>
          <w:szCs w:val="24"/>
        </w:rPr>
        <w:t xml:space="preserve"> </w:t>
      </w:r>
      <w:r w:rsidRPr="00A97D92">
        <w:rPr>
          <w:rFonts w:cs="Times New Roman"/>
          <w:szCs w:val="24"/>
          <w:vertAlign w:val="superscript"/>
        </w:rPr>
        <w:t>[14]</w:t>
      </w:r>
      <w:r w:rsidRPr="00A97D92">
        <w:rPr>
          <w:rFonts w:cs="Times New Roman"/>
          <w:color w:val="231F20"/>
          <w:szCs w:val="24"/>
        </w:rPr>
        <w:t xml:space="preserve"> revealed that at the vessel level, CT-FFR exhibited significantly higher sensitivity (90%) compared to CCTA (68%), </w:t>
      </w:r>
      <w:bookmarkStart w:id="3" w:name="_Hlk210050743"/>
      <w:r w:rsidRPr="00A97D92">
        <w:rPr>
          <w:rFonts w:cs="Times New Roman"/>
          <w:color w:val="231F20"/>
          <w:szCs w:val="24"/>
        </w:rPr>
        <w:t>single-photon emission computed tomography</w:t>
      </w:r>
      <w:bookmarkEnd w:id="3"/>
      <w:r w:rsidRPr="00A97D92">
        <w:rPr>
          <w:rFonts w:cs="Times New Roman"/>
          <w:color w:val="231F20"/>
          <w:szCs w:val="24"/>
        </w:rPr>
        <w:t xml:space="preserve"> (SPECT, 42%), and positron emission tomography (PET, 81%). Its specificity (86%) was comparable to CCTA (83%) and PET (76%), though slightly lower than SPECT (97%). Overall diagnostic accuracy (AUC 0.94) of CT-FFR significantly surpassed that of CCTA (0.83), SPECT (0.70), and PET (0.87) (all </w:t>
      </w:r>
      <w:r w:rsidRPr="00A97D92">
        <w:rPr>
          <w:rFonts w:cs="Times New Roman"/>
          <w:i/>
          <w:iCs/>
          <w:color w:val="231F20"/>
          <w:szCs w:val="24"/>
        </w:rPr>
        <w:t>P</w:t>
      </w:r>
      <w:r w:rsidRPr="00A97D92">
        <w:rPr>
          <w:rFonts w:cs="Times New Roman"/>
          <w:color w:val="231F20"/>
          <w:szCs w:val="24"/>
        </w:rPr>
        <w:t xml:space="preserve"> &lt;</w:t>
      </w:r>
      <w:r w:rsidR="004A328C">
        <w:rPr>
          <w:rFonts w:cs="Times New Roman"/>
          <w:color w:val="231F20"/>
          <w:szCs w:val="24"/>
        </w:rPr>
        <w:t xml:space="preserve"> </w:t>
      </w:r>
      <w:r w:rsidRPr="00A97D92">
        <w:rPr>
          <w:rFonts w:cs="Times New Roman"/>
          <w:color w:val="231F20"/>
          <w:szCs w:val="24"/>
        </w:rPr>
        <w:t xml:space="preserve">0.001). However, previous studies, primarily composed of male subjects, failed </w:t>
      </w:r>
      <w:r w:rsidR="00E962D5">
        <w:rPr>
          <w:rFonts w:cs="Times New Roman"/>
          <w:color w:val="231F20"/>
          <w:szCs w:val="24"/>
        </w:rPr>
        <w:t>to assess the influence of gender on diagnostic performance systematically</w:t>
      </w:r>
      <w:r w:rsidRPr="00A97D92">
        <w:rPr>
          <w:rFonts w:cs="Times New Roman"/>
          <w:color w:val="231F20"/>
          <w:szCs w:val="24"/>
        </w:rPr>
        <w:t>. Fairbairn et al.</w:t>
      </w:r>
      <w:r w:rsidR="004A328C">
        <w:rPr>
          <w:rFonts w:cs="Times New Roman"/>
          <w:color w:val="231F20"/>
          <w:szCs w:val="24"/>
        </w:rPr>
        <w:t xml:space="preserve"> </w:t>
      </w:r>
      <w:r w:rsidRPr="00A97D92">
        <w:rPr>
          <w:rFonts w:cs="Times New Roman"/>
          <w:szCs w:val="24"/>
          <w:vertAlign w:val="superscript"/>
        </w:rPr>
        <w:t>[15]</w:t>
      </w:r>
      <w:r w:rsidRPr="00A97D92">
        <w:rPr>
          <w:rFonts w:cs="Times New Roman"/>
          <w:color w:val="231F20"/>
          <w:szCs w:val="24"/>
        </w:rPr>
        <w:t xml:space="preserve"> identified gender-related differences in CT-FFR values. Female patients demonstrated significantly higher CT-FFR values than male patients at equivalent stenosis levels (0.76 ± 0.10 vs. 0.73 ± 0.10, </w:t>
      </w:r>
      <w:r w:rsidRPr="00A97D92">
        <w:rPr>
          <w:rFonts w:cs="Times New Roman"/>
          <w:i/>
          <w:iCs/>
          <w:color w:val="231F20"/>
          <w:szCs w:val="24"/>
        </w:rPr>
        <w:t>P</w:t>
      </w:r>
      <w:r w:rsidRPr="00A97D92">
        <w:rPr>
          <w:rFonts w:cs="Times New Roman"/>
          <w:color w:val="231F20"/>
          <w:szCs w:val="24"/>
        </w:rPr>
        <w:t xml:space="preserve"> &lt;</w:t>
      </w:r>
      <w:r w:rsidR="004A328C">
        <w:rPr>
          <w:rFonts w:cs="Times New Roman"/>
          <w:color w:val="231F20"/>
          <w:szCs w:val="24"/>
        </w:rPr>
        <w:t xml:space="preserve"> </w:t>
      </w:r>
      <w:r w:rsidRPr="00A97D92">
        <w:rPr>
          <w:rFonts w:cs="Times New Roman"/>
          <w:color w:val="231F20"/>
          <w:szCs w:val="24"/>
        </w:rPr>
        <w:t>0.0001), resulting in a 12.2% lower positive detection rate using the ≤</w:t>
      </w:r>
      <w:r w:rsidR="004A328C">
        <w:rPr>
          <w:rFonts w:cs="Times New Roman"/>
          <w:color w:val="231F20"/>
          <w:szCs w:val="24"/>
        </w:rPr>
        <w:t xml:space="preserve"> </w:t>
      </w:r>
      <w:r w:rsidRPr="00A97D92">
        <w:rPr>
          <w:rFonts w:cs="Times New Roman"/>
          <w:color w:val="231F20"/>
          <w:szCs w:val="24"/>
        </w:rPr>
        <w:t>0.80 threshold in women. This discrepancy may be attributed to women's higher coronary artery volume-to-myocardial mass ratios compared to men (26.17 ± 7.58 mm</w:t>
      </w:r>
      <w:r w:rsidRPr="00E20574">
        <w:rPr>
          <w:rFonts w:cs="Times New Roman"/>
          <w:color w:val="231F20"/>
          <w:szCs w:val="24"/>
          <w:vertAlign w:val="superscript"/>
        </w:rPr>
        <w:t>3</w:t>
      </w:r>
      <w:r w:rsidRPr="00A97D92">
        <w:rPr>
          <w:rFonts w:cs="Times New Roman"/>
          <w:color w:val="231F20"/>
          <w:szCs w:val="24"/>
        </w:rPr>
        <w:t>/g vs. 24.76 ± 7.22 mm</w:t>
      </w:r>
      <w:r w:rsidRPr="00E20574">
        <w:rPr>
          <w:rFonts w:cs="Times New Roman"/>
          <w:color w:val="231F20"/>
          <w:szCs w:val="24"/>
          <w:vertAlign w:val="superscript"/>
        </w:rPr>
        <w:t>3</w:t>
      </w:r>
      <w:r w:rsidRPr="00A97D92">
        <w:rPr>
          <w:rFonts w:cs="Times New Roman"/>
          <w:color w:val="231F20"/>
          <w:szCs w:val="24"/>
        </w:rPr>
        <w:t xml:space="preserve">/g, </w:t>
      </w:r>
      <w:r w:rsidRPr="00A97D92">
        <w:rPr>
          <w:rFonts w:cs="Times New Roman"/>
          <w:i/>
          <w:iCs/>
          <w:color w:val="231F20"/>
          <w:szCs w:val="24"/>
        </w:rPr>
        <w:t>P</w:t>
      </w:r>
      <w:r w:rsidRPr="00A97D92">
        <w:rPr>
          <w:rFonts w:cs="Times New Roman"/>
          <w:color w:val="231F20"/>
          <w:szCs w:val="24"/>
        </w:rPr>
        <w:t xml:space="preserve"> &lt;</w:t>
      </w:r>
      <w:r w:rsidR="004A328C">
        <w:rPr>
          <w:rFonts w:cs="Times New Roman"/>
          <w:color w:val="231F20"/>
          <w:szCs w:val="24"/>
        </w:rPr>
        <w:t xml:space="preserve"> </w:t>
      </w:r>
      <w:r w:rsidRPr="00A97D92">
        <w:rPr>
          <w:rFonts w:cs="Times New Roman"/>
          <w:color w:val="231F20"/>
          <w:szCs w:val="24"/>
        </w:rPr>
        <w:t xml:space="preserve">0.0001). Despite smaller coronary artery volumes, women have lower myocardial mass, resulting in improved matching between myocardial oxygen </w:t>
      </w:r>
      <w:r w:rsidRPr="00A97D92">
        <w:rPr>
          <w:rFonts w:cs="Times New Roman"/>
          <w:color w:val="231F20"/>
          <w:szCs w:val="24"/>
        </w:rPr>
        <w:lastRenderedPageBreak/>
        <w:t>demand and blood supply capacity. These findings underscore the need for gender-specific CT-FFR thresholds to avoid clinical decision biases resulting from uniform diagnostic criteria.</w:t>
      </w:r>
    </w:p>
    <w:p w14:paraId="6E8DC20D" w14:textId="4E29098E" w:rsidR="00CF56C8" w:rsidRPr="00A97D92" w:rsidRDefault="00870545" w:rsidP="00E20574">
      <w:pPr>
        <w:ind w:firstLine="420"/>
        <w:rPr>
          <w:rFonts w:cs="Times New Roman"/>
          <w:color w:val="231F20"/>
          <w:szCs w:val="24"/>
        </w:rPr>
      </w:pPr>
      <w:r w:rsidRPr="00A97D92">
        <w:rPr>
          <w:rFonts w:cs="Times New Roman"/>
          <w:color w:val="231F20"/>
          <w:szCs w:val="24"/>
        </w:rPr>
        <w:t>Machine learning (ML)-based CT-FFR technology employs algorithms, such as multilayer neural networks, to analyze and train models using coronary anatomical datasets and hemodynamic databases, establishing intrinsic relationships between anatomical features and hemodynamic parameters</w:t>
      </w:r>
      <w:r w:rsidR="004A328C">
        <w:rPr>
          <w:rFonts w:cs="Times New Roman"/>
          <w:color w:val="231F20"/>
          <w:szCs w:val="24"/>
        </w:rPr>
        <w:t xml:space="preserve"> </w:t>
      </w:r>
      <w:r w:rsidRPr="00A97D92">
        <w:rPr>
          <w:rFonts w:cs="Times New Roman"/>
          <w:szCs w:val="24"/>
          <w:vertAlign w:val="superscript"/>
        </w:rPr>
        <w:t>[16]</w:t>
      </w:r>
      <w:r w:rsidRPr="00A97D92">
        <w:rPr>
          <w:rFonts w:cs="Times New Roman"/>
          <w:color w:val="231F20"/>
          <w:szCs w:val="24"/>
        </w:rPr>
        <w:t>. This approach enables CT-FFR values to be intelligently inferred directly from CCTA anatomical data, reducing the average analysis time to 8 minutes and achieving near-real-time CT-FFR assessment, thereby facilitating broader clinical application in CAD diagnosis</w:t>
      </w:r>
      <w:r w:rsidR="004A328C">
        <w:rPr>
          <w:rFonts w:cs="Times New Roman"/>
          <w:color w:val="231F20"/>
          <w:szCs w:val="24"/>
        </w:rPr>
        <w:t xml:space="preserve"> </w:t>
      </w:r>
      <w:r w:rsidRPr="00A97D92">
        <w:rPr>
          <w:rFonts w:cs="Times New Roman"/>
          <w:szCs w:val="24"/>
          <w:vertAlign w:val="superscript"/>
        </w:rPr>
        <w:t>[17]</w:t>
      </w:r>
      <w:r w:rsidRPr="00A97D92">
        <w:rPr>
          <w:rFonts w:cs="Times New Roman"/>
          <w:color w:val="231F20"/>
          <w:szCs w:val="24"/>
        </w:rPr>
        <w:t>. Multicenter studies have confirmed that ML-based CT-FFR significantly enhances overall diagnostic performance compared to CCTA alone, increasing the AUC by approximately 10% to 25%. This technology demonstrates particular advantages in evaluating mid-to-proximal LAD and LCX stenoses (AUC improved from 0.65–0.84 to 0.72–0.90); however, diagnostic improvements for mid-RCA stenoses remain limited due to factors such as motion artifact interference and lower lesion prevalence (AUC 0.73 vs. 0.74)</w:t>
      </w:r>
      <w:r w:rsidR="004A328C">
        <w:rPr>
          <w:rFonts w:cs="Times New Roman"/>
          <w:color w:val="231F20"/>
          <w:szCs w:val="24"/>
        </w:rPr>
        <w:t xml:space="preserve"> </w:t>
      </w:r>
      <w:r w:rsidRPr="00A97D92">
        <w:rPr>
          <w:rFonts w:cs="Times New Roman"/>
          <w:szCs w:val="24"/>
          <w:vertAlign w:val="superscript"/>
        </w:rPr>
        <w:t>[18]</w:t>
      </w:r>
      <w:r w:rsidRPr="00A97D92">
        <w:rPr>
          <w:rFonts w:cs="Times New Roman"/>
          <w:color w:val="231F20"/>
          <w:szCs w:val="24"/>
        </w:rPr>
        <w:t>. Clinical studies further validate ML-based CT-FFR, showing overall sensitivity and specificity of 85% and 94%, respectively, in diagnosing coronary artery-specific ischemia. For moderate stenoses (30–70%), ML-based CT-FFR maintains excellent sensitivity and specificity (84% and 92%)</w:t>
      </w:r>
      <w:r w:rsidR="00E962D5">
        <w:rPr>
          <w:rFonts w:cs="Times New Roman"/>
          <w:color w:val="231F20"/>
          <w:szCs w:val="24"/>
        </w:rPr>
        <w:t>, respectively</w:t>
      </w:r>
      <w:r w:rsidR="004A328C">
        <w:rPr>
          <w:rFonts w:cs="Times New Roman"/>
          <w:color w:val="231F20"/>
          <w:szCs w:val="24"/>
        </w:rPr>
        <w:t xml:space="preserve"> </w:t>
      </w:r>
      <w:r w:rsidRPr="00A97D92">
        <w:rPr>
          <w:rFonts w:cs="Times New Roman"/>
          <w:szCs w:val="24"/>
          <w:vertAlign w:val="superscript"/>
        </w:rPr>
        <w:t>[19]</w:t>
      </w:r>
      <w:r w:rsidRPr="00A97D92">
        <w:rPr>
          <w:rFonts w:cs="Times New Roman"/>
          <w:color w:val="231F20"/>
          <w:szCs w:val="24"/>
        </w:rPr>
        <w:t xml:space="preserve">. However, current research predominantly uses invasive FFR as the reference standard, lacking validation through multimodal imaging technologies. Consequently, CT-FFR may erroneously attribute myocardial ischemia caused by microvascular lesions to large vessel stenosis or fail to detect ischemia resulting from microcirculatory abnormalities. In comparison, cardiac magnetic resonance (MR), which directly quantifies myocardial perfusion reserve and </w:t>
      </w:r>
      <w:bookmarkStart w:id="4" w:name="_Hlk210053385"/>
      <w:r w:rsidRPr="00A97D92">
        <w:rPr>
          <w:rFonts w:cs="Times New Roman"/>
          <w:color w:val="231F20"/>
          <w:szCs w:val="24"/>
        </w:rPr>
        <w:t>MBF</w:t>
      </w:r>
      <w:bookmarkEnd w:id="4"/>
      <w:r w:rsidRPr="00A97D92">
        <w:rPr>
          <w:rFonts w:cs="Times New Roman"/>
          <w:color w:val="231F20"/>
          <w:szCs w:val="24"/>
        </w:rPr>
        <w:t>, achieves higher specificity (95% vs. 82%) and accuracy (95% vs. 81%)</w:t>
      </w:r>
      <w:r w:rsidR="004A328C">
        <w:rPr>
          <w:rFonts w:cs="Times New Roman"/>
          <w:color w:val="231F20"/>
          <w:szCs w:val="24"/>
        </w:rPr>
        <w:t xml:space="preserve"> </w:t>
      </w:r>
      <w:r w:rsidRPr="00A97D92">
        <w:rPr>
          <w:rFonts w:cs="Times New Roman"/>
          <w:szCs w:val="24"/>
          <w:vertAlign w:val="superscript"/>
        </w:rPr>
        <w:t>[20]</w:t>
      </w:r>
      <w:r w:rsidRPr="00A97D92">
        <w:rPr>
          <w:rFonts w:cs="Times New Roman"/>
          <w:color w:val="231F20"/>
          <w:szCs w:val="24"/>
        </w:rPr>
        <w:t>. Future research should therefore develop collaborative validation frameworks integrating CT-FFR with multimodal imaging modalities such as MR and PET, while incorporating parameters of microcirculatory function to minimize diagnostic errors.</w:t>
      </w:r>
    </w:p>
    <w:p w14:paraId="2F384765" w14:textId="77777777" w:rsidR="00CF56C8" w:rsidRPr="00A97D92" w:rsidRDefault="00CF56C8" w:rsidP="00E20574">
      <w:pPr>
        <w:rPr>
          <w:rFonts w:cs="Times New Roman"/>
          <w:color w:val="231F20"/>
          <w:szCs w:val="24"/>
        </w:rPr>
      </w:pPr>
    </w:p>
    <w:p w14:paraId="1C9EC09F" w14:textId="77777777" w:rsidR="00CF56C8" w:rsidRPr="00E20574" w:rsidRDefault="00870545" w:rsidP="00E20574">
      <w:pPr>
        <w:rPr>
          <w:rFonts w:cs="Times New Roman"/>
          <w:b/>
          <w:bCs/>
          <w:color w:val="231F20"/>
          <w:spacing w:val="-6"/>
          <w:szCs w:val="24"/>
        </w:rPr>
      </w:pPr>
      <w:r w:rsidRPr="00E20574">
        <w:rPr>
          <w:rFonts w:cs="Times New Roman"/>
          <w:b/>
          <w:bCs/>
          <w:color w:val="231F20"/>
          <w:spacing w:val="-6"/>
          <w:szCs w:val="24"/>
        </w:rPr>
        <w:t>2.1.3</w:t>
      </w:r>
      <w:r w:rsidRPr="00E20574">
        <w:rPr>
          <w:rFonts w:eastAsia="SimSun" w:cs="Times New Roman"/>
          <w:b/>
          <w:bCs/>
          <w:color w:val="231F20"/>
          <w:spacing w:val="-6"/>
          <w:szCs w:val="24"/>
        </w:rPr>
        <w:t>.</w:t>
      </w:r>
      <w:r w:rsidRPr="00E20574">
        <w:rPr>
          <w:rFonts w:cs="Times New Roman"/>
          <w:b/>
          <w:bCs/>
          <w:color w:val="231F20"/>
          <w:spacing w:val="-6"/>
          <w:szCs w:val="24"/>
        </w:rPr>
        <w:t xml:space="preserve"> Factors </w:t>
      </w:r>
      <w:r w:rsidRPr="00E20574">
        <w:rPr>
          <w:rFonts w:eastAsia="SimSun" w:cs="Times New Roman"/>
          <w:b/>
          <w:bCs/>
          <w:color w:val="231F20"/>
          <w:spacing w:val="-6"/>
          <w:szCs w:val="24"/>
        </w:rPr>
        <w:t>a</w:t>
      </w:r>
      <w:r w:rsidRPr="00E20574">
        <w:rPr>
          <w:rFonts w:cs="Times New Roman"/>
          <w:b/>
          <w:bCs/>
          <w:color w:val="231F20"/>
          <w:spacing w:val="-6"/>
          <w:szCs w:val="24"/>
        </w:rPr>
        <w:t xml:space="preserve">ffecting the </w:t>
      </w:r>
      <w:r w:rsidRPr="00E20574">
        <w:rPr>
          <w:rFonts w:eastAsia="SimSun" w:cs="Times New Roman"/>
          <w:b/>
          <w:bCs/>
          <w:color w:val="231F20"/>
          <w:spacing w:val="-6"/>
          <w:szCs w:val="24"/>
        </w:rPr>
        <w:t>d</w:t>
      </w:r>
      <w:r w:rsidRPr="00E20574">
        <w:rPr>
          <w:rFonts w:cs="Times New Roman"/>
          <w:b/>
          <w:bCs/>
          <w:color w:val="231F20"/>
          <w:spacing w:val="-6"/>
          <w:szCs w:val="24"/>
        </w:rPr>
        <w:t xml:space="preserve">iagnostic </w:t>
      </w:r>
      <w:r w:rsidRPr="00E20574">
        <w:rPr>
          <w:rFonts w:eastAsia="SimSun" w:cs="Times New Roman"/>
          <w:b/>
          <w:bCs/>
          <w:color w:val="231F20"/>
          <w:spacing w:val="-6"/>
          <w:szCs w:val="24"/>
        </w:rPr>
        <w:t>a</w:t>
      </w:r>
      <w:r w:rsidRPr="00E20574">
        <w:rPr>
          <w:rFonts w:cs="Times New Roman"/>
          <w:b/>
          <w:bCs/>
          <w:color w:val="231F20"/>
          <w:spacing w:val="-6"/>
          <w:szCs w:val="24"/>
        </w:rPr>
        <w:t>ccuracy of CT-FFR</w:t>
      </w:r>
    </w:p>
    <w:p w14:paraId="11504478" w14:textId="2B6B73A4" w:rsidR="00CF56C8" w:rsidRPr="00A97D92" w:rsidRDefault="00870545" w:rsidP="00E20574">
      <w:pPr>
        <w:rPr>
          <w:rFonts w:cs="Times New Roman"/>
          <w:color w:val="231F20"/>
          <w:szCs w:val="24"/>
        </w:rPr>
      </w:pPr>
      <w:r w:rsidRPr="00A97D92">
        <w:rPr>
          <w:rFonts w:cs="Times New Roman"/>
          <w:color w:val="231F20"/>
          <w:szCs w:val="24"/>
        </w:rPr>
        <w:t>The diagnostic performance of CT-FFR is closely associated with factors such as CAC load, CCTA image quality, and patient heart rate. Several studies have confirmed a significant negative correlation between coronary artery calcification burden and CT-FFR accuracy</w:t>
      </w:r>
      <w:r w:rsidR="004A328C">
        <w:rPr>
          <w:rFonts w:cs="Times New Roman"/>
          <w:color w:val="231F20"/>
          <w:szCs w:val="24"/>
        </w:rPr>
        <w:t xml:space="preserve"> </w:t>
      </w:r>
      <w:r w:rsidRPr="00A97D92">
        <w:rPr>
          <w:rFonts w:cs="Times New Roman"/>
          <w:szCs w:val="24"/>
          <w:vertAlign w:val="superscript"/>
        </w:rPr>
        <w:t>[21,22]</w:t>
      </w:r>
      <w:r w:rsidRPr="00A97D92">
        <w:rPr>
          <w:rFonts w:cs="Times New Roman"/>
          <w:color w:val="231F20"/>
          <w:szCs w:val="24"/>
        </w:rPr>
        <w:t xml:space="preserve">. </w:t>
      </w:r>
      <w:proofErr w:type="spellStart"/>
      <w:r w:rsidRPr="00A97D92">
        <w:rPr>
          <w:rFonts w:cs="Times New Roman"/>
          <w:color w:val="231F20"/>
          <w:szCs w:val="24"/>
        </w:rPr>
        <w:t>Tesche</w:t>
      </w:r>
      <w:proofErr w:type="spellEnd"/>
      <w:r w:rsidRPr="00A97D92">
        <w:rPr>
          <w:rFonts w:cs="Times New Roman"/>
          <w:color w:val="231F20"/>
          <w:szCs w:val="24"/>
        </w:rPr>
        <w:t xml:space="preserve"> et al.</w:t>
      </w:r>
      <w:r w:rsidR="004A328C">
        <w:rPr>
          <w:rFonts w:cs="Times New Roman"/>
          <w:color w:val="231F20"/>
          <w:szCs w:val="24"/>
        </w:rPr>
        <w:t xml:space="preserve"> </w:t>
      </w:r>
      <w:r w:rsidRPr="00A97D92">
        <w:rPr>
          <w:rFonts w:cs="Times New Roman"/>
          <w:szCs w:val="24"/>
          <w:vertAlign w:val="superscript"/>
        </w:rPr>
        <w:t>[22]</w:t>
      </w:r>
      <w:r w:rsidRPr="00A97D92">
        <w:rPr>
          <w:rFonts w:cs="Times New Roman"/>
          <w:color w:val="231F20"/>
          <w:szCs w:val="24"/>
        </w:rPr>
        <w:t xml:space="preserve"> found that although CT-FFR outperformed CCTA in diagnosing myocardial ischemia across all CAC score levels, its accuracy decreased with increasing CAC score. In patients with mild-to-moderate calcification (CAC score 0–400), CT-FFR exhibited significantly higher diagnostic performance (AUC 0.86) than CCTA (AUC 0.63, </w:t>
      </w:r>
      <w:r w:rsidRPr="00A97D92">
        <w:rPr>
          <w:rFonts w:cs="Times New Roman"/>
          <w:i/>
          <w:iCs/>
          <w:color w:val="231F20"/>
          <w:szCs w:val="24"/>
        </w:rPr>
        <w:t>P</w:t>
      </w:r>
      <w:r w:rsidRPr="00A97D92">
        <w:rPr>
          <w:rFonts w:cs="Times New Roman"/>
          <w:color w:val="231F20"/>
          <w:szCs w:val="24"/>
        </w:rPr>
        <w:t xml:space="preserve"> &lt;</w:t>
      </w:r>
      <w:r w:rsidR="004A328C">
        <w:rPr>
          <w:rFonts w:cs="Times New Roman"/>
          <w:color w:val="231F20"/>
          <w:szCs w:val="24"/>
        </w:rPr>
        <w:t xml:space="preserve"> </w:t>
      </w:r>
      <w:r w:rsidRPr="00A97D92">
        <w:rPr>
          <w:rFonts w:cs="Times New Roman"/>
          <w:color w:val="231F20"/>
          <w:szCs w:val="24"/>
        </w:rPr>
        <w:t>0.001). However, in cases of severe calcification (CAC score ≥</w:t>
      </w:r>
      <w:r w:rsidR="004A328C">
        <w:rPr>
          <w:rFonts w:cs="Times New Roman"/>
          <w:color w:val="231F20"/>
          <w:szCs w:val="24"/>
        </w:rPr>
        <w:t xml:space="preserve"> </w:t>
      </w:r>
      <w:r w:rsidRPr="00A97D92">
        <w:rPr>
          <w:rFonts w:cs="Times New Roman"/>
          <w:color w:val="231F20"/>
          <w:szCs w:val="24"/>
        </w:rPr>
        <w:t xml:space="preserve">400), this advantage diminished (CT-FFR AUC 0.71 vs. CCTA AUC 0.55, </w:t>
      </w:r>
      <w:r w:rsidRPr="00A97D92">
        <w:rPr>
          <w:rFonts w:cs="Times New Roman"/>
          <w:i/>
          <w:iCs/>
          <w:color w:val="231F20"/>
          <w:szCs w:val="24"/>
        </w:rPr>
        <w:t>P</w:t>
      </w:r>
      <w:r w:rsidRPr="00A97D92">
        <w:rPr>
          <w:rFonts w:cs="Times New Roman"/>
          <w:color w:val="231F20"/>
          <w:szCs w:val="24"/>
        </w:rPr>
        <w:t xml:space="preserve"> = 0.04). A single-center study further demonstrated reduced concordance between CT-FFR and invasive FFR in patients with high calcification levels, characterized by decreased positive predictive value (PPV). This decline in predictive accuracy may lead to increased false-positive results, potentially prompting unnecessary revascularization procedures</w:t>
      </w:r>
      <w:r w:rsidR="004A328C">
        <w:rPr>
          <w:rFonts w:cs="Times New Roman"/>
          <w:color w:val="231F20"/>
          <w:szCs w:val="24"/>
        </w:rPr>
        <w:t xml:space="preserve"> </w:t>
      </w:r>
      <w:r w:rsidRPr="00A97D92">
        <w:rPr>
          <w:rFonts w:cs="Times New Roman"/>
          <w:szCs w:val="24"/>
          <w:vertAlign w:val="superscript"/>
        </w:rPr>
        <w:t>[23]</w:t>
      </w:r>
      <w:r w:rsidRPr="00A97D92">
        <w:rPr>
          <w:rFonts w:cs="Times New Roman"/>
          <w:color w:val="231F20"/>
          <w:szCs w:val="24"/>
        </w:rPr>
        <w:t>. Notably, different CT-FFR algorithm models exhibit varying sensitivities to calcification artifacts. Traditional algorithms heavily rely on accurate geometric lumen segmentation. However, halo and beam-hardening artifacts induced by severe calcification can compromise coronary centerline identification and lumen segmentation accuracy, resulting in systematic biases during hemodynamic assessment. In contrast, newer algorithms integrating TAG and additional hemodynamic parameters maintain consistent diagnos</w:t>
      </w:r>
      <w:r w:rsidRPr="00A97D92">
        <w:rPr>
          <w:rFonts w:cs="Times New Roman"/>
          <w:color w:val="231F20"/>
          <w:szCs w:val="24"/>
        </w:rPr>
        <w:t>tic accuracy across coronary arteries with different calcification levels, remodeling indices, and CAC stratifications by optimizing boundary conditions</w:t>
      </w:r>
      <w:r w:rsidR="004A328C">
        <w:rPr>
          <w:rFonts w:cs="Times New Roman"/>
          <w:color w:val="231F20"/>
          <w:szCs w:val="24"/>
        </w:rPr>
        <w:t xml:space="preserve"> </w:t>
      </w:r>
      <w:r w:rsidRPr="00A97D92">
        <w:rPr>
          <w:rFonts w:cs="Times New Roman"/>
          <w:szCs w:val="24"/>
          <w:vertAlign w:val="superscript"/>
        </w:rPr>
        <w:t>[24]</w:t>
      </w:r>
      <w:r w:rsidRPr="00A97D92">
        <w:rPr>
          <w:rFonts w:cs="Times New Roman"/>
          <w:color w:val="231F20"/>
          <w:szCs w:val="24"/>
        </w:rPr>
        <w:t>. Nevertheless, the performance of current CT-FFR models in patients with severe calcification requires further validation through large-scale studies. Consequently, there is an urgent need to develop CT-FFR models incorporating quantitative corrections based on calcification characteristics to mitigate assessment biases and enhance diagnostic reliability.</w:t>
      </w:r>
    </w:p>
    <w:p w14:paraId="5868E1D8" w14:textId="02A56AC3" w:rsidR="00CF56C8" w:rsidRPr="00A97D92" w:rsidRDefault="00870545" w:rsidP="00E20574">
      <w:pPr>
        <w:ind w:firstLine="420"/>
        <w:rPr>
          <w:rFonts w:cs="Times New Roman"/>
          <w:color w:val="231F20"/>
          <w:szCs w:val="24"/>
        </w:rPr>
      </w:pPr>
      <w:r w:rsidRPr="00A97D92">
        <w:rPr>
          <w:rFonts w:cs="Times New Roman"/>
          <w:color w:val="231F20"/>
          <w:szCs w:val="24"/>
        </w:rPr>
        <w:lastRenderedPageBreak/>
        <w:t>Image quality is another critical factor influencing the diagnostic accuracy of CT-FFR. A multicenter retrospective study demonstrated significantly higher diagnostic performance in the high-quality image group compared to the low-quality group (AUC: 0.93 vs. 0.80; specificity: 0.98 vs. 0.86; PPV: 0.95 vs. 0.82), confirming that reduced image quality diminishes the accuracy of vascular morphology reconstruction and lesion feature extraction</w:t>
      </w:r>
      <w:r w:rsidR="004A328C">
        <w:rPr>
          <w:rFonts w:cs="Times New Roman"/>
          <w:color w:val="231F20"/>
          <w:szCs w:val="24"/>
        </w:rPr>
        <w:t xml:space="preserve"> </w:t>
      </w:r>
      <w:r w:rsidRPr="00A97D92">
        <w:rPr>
          <w:rFonts w:cs="Times New Roman"/>
          <w:szCs w:val="24"/>
          <w:vertAlign w:val="superscript"/>
        </w:rPr>
        <w:t>[25]</w:t>
      </w:r>
      <w:r w:rsidRPr="00A97D92">
        <w:rPr>
          <w:rFonts w:cs="Times New Roman"/>
          <w:color w:val="231F20"/>
          <w:szCs w:val="24"/>
        </w:rPr>
        <w:t>. The same study also revealed that heart rate significantly affects diagnostic accuracy. Patients with low heart rates (≤</w:t>
      </w:r>
      <w:r w:rsidR="004A328C">
        <w:rPr>
          <w:rFonts w:cs="Times New Roman"/>
          <w:color w:val="231F20"/>
          <w:szCs w:val="24"/>
        </w:rPr>
        <w:t xml:space="preserve"> </w:t>
      </w:r>
      <w:r w:rsidRPr="00A97D92">
        <w:rPr>
          <w:rFonts w:cs="Times New Roman"/>
          <w:color w:val="231F20"/>
          <w:szCs w:val="24"/>
        </w:rPr>
        <w:t>70 bpm) exhibited superior specificity (0.98 vs. 0.89) and PPV (0.96 vs. 0.77) compared to those with higher heart rates (&gt;</w:t>
      </w:r>
      <w:r w:rsidR="004A328C">
        <w:rPr>
          <w:rFonts w:cs="Times New Roman"/>
          <w:color w:val="231F20"/>
          <w:szCs w:val="24"/>
        </w:rPr>
        <w:t xml:space="preserve"> </w:t>
      </w:r>
      <w:r w:rsidRPr="00A97D92">
        <w:rPr>
          <w:rFonts w:cs="Times New Roman"/>
          <w:color w:val="231F20"/>
          <w:szCs w:val="24"/>
        </w:rPr>
        <w:t>80 bpm). This difference primarily arises because stable heart rates reduce motion artifacts, thus optimizing the accuracy of vascular morphology reconstruction</w:t>
      </w:r>
      <w:r w:rsidR="004A328C">
        <w:rPr>
          <w:rFonts w:cs="Times New Roman"/>
          <w:color w:val="231F20"/>
          <w:szCs w:val="24"/>
        </w:rPr>
        <w:t xml:space="preserve"> </w:t>
      </w:r>
      <w:r w:rsidRPr="00A97D92">
        <w:rPr>
          <w:rFonts w:cs="Times New Roman"/>
          <w:szCs w:val="24"/>
          <w:vertAlign w:val="superscript"/>
        </w:rPr>
        <w:t>[25]</w:t>
      </w:r>
      <w:r w:rsidRPr="00A97D92">
        <w:rPr>
          <w:rFonts w:cs="Times New Roman"/>
          <w:color w:val="231F20"/>
          <w:szCs w:val="24"/>
        </w:rPr>
        <w:t>. Therefore, rigorous adherence to cardiovascular CT imaging protocols, optimization of scan parameters, and effective heart-rate control strategies are essential for improving CT-FFR diagnostic accuracy.</w:t>
      </w:r>
    </w:p>
    <w:p w14:paraId="0F4D0045" w14:textId="77777777" w:rsidR="00CF56C8" w:rsidRPr="00A97D92" w:rsidRDefault="00CF56C8" w:rsidP="00E20574">
      <w:pPr>
        <w:rPr>
          <w:rFonts w:cs="Times New Roman"/>
          <w:color w:val="231F20"/>
          <w:szCs w:val="24"/>
        </w:rPr>
      </w:pPr>
    </w:p>
    <w:p w14:paraId="724AAE09" w14:textId="77777777"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2</w:t>
      </w:r>
      <w:r w:rsidRPr="00E20574">
        <w:rPr>
          <w:rFonts w:eastAsia="Times New Roman" w:cs="Times New Roman"/>
          <w:b/>
          <w:bCs/>
          <w:color w:val="231F20"/>
          <w:spacing w:val="-6"/>
          <w:szCs w:val="24"/>
          <w:lang w:bidi="zh-CN"/>
        </w:rPr>
        <w:t>.2. CTP</w:t>
      </w:r>
    </w:p>
    <w:p w14:paraId="360373C0" w14:textId="77777777"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2</w:t>
      </w:r>
      <w:r w:rsidRPr="00E20574">
        <w:rPr>
          <w:rFonts w:eastAsia="Times New Roman" w:cs="Times New Roman"/>
          <w:b/>
          <w:bCs/>
          <w:color w:val="231F20"/>
          <w:spacing w:val="-6"/>
          <w:szCs w:val="24"/>
          <w:lang w:bidi="zh-CN"/>
        </w:rPr>
        <w:t>.2.1. Principles and techniques of CTP</w:t>
      </w:r>
    </w:p>
    <w:p w14:paraId="3D7C568E" w14:textId="20F8B5A6" w:rsidR="00CF56C8" w:rsidRPr="00A97D92" w:rsidRDefault="00870545" w:rsidP="00E20574">
      <w:pPr>
        <w:rPr>
          <w:rFonts w:cs="Times New Roman"/>
          <w:color w:val="231F20"/>
          <w:szCs w:val="24"/>
        </w:rPr>
      </w:pPr>
      <w:r w:rsidRPr="00A97D92">
        <w:rPr>
          <w:rFonts w:cs="Times New Roman"/>
          <w:color w:val="231F20"/>
          <w:szCs w:val="24"/>
        </w:rPr>
        <w:t>CCTA provides anatomical information regarding the coronary arteries, while CT-FFR allows noninvasive FFR assessment. However, neither modality can directly evaluate myocardial perfusion. To address this limitation, myocardial CTP technology has been introduced, enabling direct evaluation of myocardial perfusion status and microcirculatory function. The fundamental principle of CTP involves detecting reduced or delayed myocardial contrast uptake through subjective assessment and quantitative analysis</w:t>
      </w:r>
      <w:r w:rsidR="004A328C">
        <w:rPr>
          <w:rFonts w:cs="Times New Roman"/>
          <w:color w:val="231F20"/>
          <w:szCs w:val="24"/>
        </w:rPr>
        <w:t xml:space="preserve"> </w:t>
      </w:r>
      <w:r w:rsidRPr="00A97D92">
        <w:rPr>
          <w:rFonts w:cs="Times New Roman"/>
          <w:szCs w:val="24"/>
          <w:vertAlign w:val="superscript"/>
        </w:rPr>
        <w:t>[26]</w:t>
      </w:r>
      <w:r w:rsidRPr="00A97D92">
        <w:rPr>
          <w:rFonts w:cs="Times New Roman"/>
          <w:color w:val="231F20"/>
          <w:szCs w:val="24"/>
        </w:rPr>
        <w:t>. Specifically, following intravenous contrast injection via the antecubital vein, CTP identifies perfusion abnormalities by assessing contrast distribution characteristics during its initial passage through the myocardium. A marked reduction in contrast concentration indicates potential myocardial perfusion defects</w:t>
      </w:r>
      <w:r w:rsidR="004A328C">
        <w:rPr>
          <w:rFonts w:cs="Times New Roman"/>
          <w:color w:val="231F20"/>
          <w:szCs w:val="24"/>
        </w:rPr>
        <w:t xml:space="preserve"> </w:t>
      </w:r>
      <w:r w:rsidRPr="00A97D92">
        <w:rPr>
          <w:rFonts w:cs="Times New Roman"/>
          <w:szCs w:val="24"/>
          <w:vertAlign w:val="superscript"/>
        </w:rPr>
        <w:t>[27,28]</w:t>
      </w:r>
      <w:r w:rsidRPr="00A97D92">
        <w:rPr>
          <w:rFonts w:cs="Times New Roman"/>
          <w:color w:val="231F20"/>
          <w:szCs w:val="24"/>
        </w:rPr>
        <w:t>.</w:t>
      </w:r>
    </w:p>
    <w:p w14:paraId="66115C33" w14:textId="3B81D112" w:rsidR="00CF56C8" w:rsidRPr="00A97D92" w:rsidRDefault="00870545" w:rsidP="00E20574">
      <w:pPr>
        <w:ind w:firstLine="420"/>
        <w:rPr>
          <w:rFonts w:cs="Times New Roman"/>
          <w:color w:val="231F20"/>
          <w:szCs w:val="24"/>
        </w:rPr>
      </w:pPr>
      <w:r w:rsidRPr="00A97D92">
        <w:rPr>
          <w:rFonts w:cs="Times New Roman"/>
          <w:color w:val="231F20"/>
          <w:szCs w:val="24"/>
        </w:rPr>
        <w:t>CTP scanning protocols include resting and stress modes. At rest, MBF can remain normal even with coronary artery stenosis up to 85%, facilitated by collateral circulation or compensatory vasodilation. However, under stress conditions, microcirculation within stenotic vascular territories cannot adequately dilate, resulting in reduced regional MBF</w:t>
      </w:r>
      <w:r w:rsidR="004A328C">
        <w:rPr>
          <w:rFonts w:cs="Times New Roman"/>
          <w:color w:val="231F20"/>
          <w:szCs w:val="24"/>
        </w:rPr>
        <w:t xml:space="preserve"> </w:t>
      </w:r>
      <w:r w:rsidRPr="00A97D92">
        <w:rPr>
          <w:rFonts w:cs="Times New Roman"/>
          <w:szCs w:val="24"/>
          <w:vertAlign w:val="superscript"/>
        </w:rPr>
        <w:t>[29]</w:t>
      </w:r>
      <w:r w:rsidRPr="00A97D92">
        <w:rPr>
          <w:rFonts w:cs="Times New Roman"/>
          <w:color w:val="231F20"/>
          <w:szCs w:val="24"/>
        </w:rPr>
        <w:t>. Due to differences in blood flow regulatory mechanisms, the primary limitation of resting CTP is its difficulty detecting cases with impaired coronary flow reserve but preserved resting perfusion. Conversely, stress CTP effectively exposes coronary flow reserve abnormalities through cardiac stress stimulation, significantly enhancing myocardial ischemia detection. In stress testing, adenosine is widely used due to its short half-life but is contraindicated in patients with airway hyperresponsiveness, such</w:t>
      </w:r>
      <w:r w:rsidRPr="00A97D92">
        <w:rPr>
          <w:rFonts w:cs="Times New Roman"/>
          <w:color w:val="231F20"/>
          <w:szCs w:val="24"/>
        </w:rPr>
        <w:t xml:space="preserve"> as chronic obstructive pulmonary disease (COPD), owing to its </w:t>
      </w:r>
      <w:proofErr w:type="spellStart"/>
      <w:r w:rsidRPr="00A97D92">
        <w:rPr>
          <w:rFonts w:cs="Times New Roman"/>
          <w:color w:val="231F20"/>
          <w:szCs w:val="24"/>
        </w:rPr>
        <w:t>bronchoconstrictive</w:t>
      </w:r>
      <w:proofErr w:type="spellEnd"/>
      <w:r w:rsidRPr="00A97D92">
        <w:rPr>
          <w:rFonts w:cs="Times New Roman"/>
          <w:color w:val="231F20"/>
          <w:szCs w:val="24"/>
        </w:rPr>
        <w:t xml:space="preserve"> effects. </w:t>
      </w:r>
      <w:proofErr w:type="spellStart"/>
      <w:r w:rsidRPr="00A97D92">
        <w:rPr>
          <w:rFonts w:cs="Times New Roman"/>
          <w:color w:val="231F20"/>
          <w:szCs w:val="24"/>
        </w:rPr>
        <w:t>Lexiscan</w:t>
      </w:r>
      <w:proofErr w:type="spellEnd"/>
      <w:r w:rsidRPr="00A97D92">
        <w:rPr>
          <w:rFonts w:cs="Times New Roman"/>
          <w:color w:val="231F20"/>
          <w:szCs w:val="24"/>
        </w:rPr>
        <w:t>, a selective coronary vasodilator with rapid onset, prolonged action, and milder side effects, represents a preferable alternative for COPD patients</w:t>
      </w:r>
      <w:r w:rsidR="004A328C">
        <w:rPr>
          <w:rFonts w:cs="Times New Roman"/>
          <w:color w:val="231F20"/>
          <w:szCs w:val="24"/>
        </w:rPr>
        <w:t xml:space="preserve"> </w:t>
      </w:r>
      <w:r w:rsidRPr="00A97D92">
        <w:rPr>
          <w:rFonts w:cs="Times New Roman"/>
          <w:szCs w:val="24"/>
          <w:vertAlign w:val="superscript"/>
        </w:rPr>
        <w:t>[27]</w:t>
      </w:r>
      <w:r w:rsidRPr="00A97D92">
        <w:rPr>
          <w:rFonts w:cs="Times New Roman"/>
          <w:color w:val="231F20"/>
          <w:szCs w:val="24"/>
        </w:rPr>
        <w:t>.</w:t>
      </w:r>
    </w:p>
    <w:p w14:paraId="52666A83" w14:textId="77777777" w:rsidR="00CF56C8" w:rsidRPr="00A97D92" w:rsidRDefault="00CF56C8" w:rsidP="00E20574">
      <w:pPr>
        <w:rPr>
          <w:rFonts w:cs="Times New Roman"/>
          <w:color w:val="231F20"/>
          <w:szCs w:val="24"/>
        </w:rPr>
      </w:pPr>
    </w:p>
    <w:p w14:paraId="57DB4417" w14:textId="77777777" w:rsidR="00CF56C8" w:rsidRPr="00E20574" w:rsidRDefault="00870545" w:rsidP="00E20574">
      <w:pPr>
        <w:rPr>
          <w:rFonts w:cs="Times New Roman"/>
          <w:b/>
          <w:bCs/>
          <w:color w:val="231F20"/>
          <w:spacing w:val="-6"/>
          <w:szCs w:val="24"/>
        </w:rPr>
      </w:pPr>
      <w:r w:rsidRPr="00E20574">
        <w:rPr>
          <w:rFonts w:cs="Times New Roman"/>
          <w:b/>
          <w:bCs/>
          <w:color w:val="231F20"/>
          <w:spacing w:val="-6"/>
          <w:szCs w:val="24"/>
        </w:rPr>
        <w:t>2.2.2</w:t>
      </w:r>
      <w:r w:rsidRPr="00E20574">
        <w:rPr>
          <w:rFonts w:eastAsia="SimSun" w:cs="Times New Roman"/>
          <w:b/>
          <w:bCs/>
          <w:color w:val="231F20"/>
          <w:spacing w:val="-6"/>
          <w:szCs w:val="24"/>
        </w:rPr>
        <w:t>.</w:t>
      </w:r>
      <w:r w:rsidRPr="00E20574">
        <w:rPr>
          <w:rFonts w:cs="Times New Roman"/>
          <w:b/>
          <w:bCs/>
          <w:color w:val="231F20"/>
          <w:spacing w:val="-6"/>
          <w:szCs w:val="24"/>
        </w:rPr>
        <w:t xml:space="preserve"> Diagnostic </w:t>
      </w:r>
      <w:r w:rsidRPr="00E20574">
        <w:rPr>
          <w:rFonts w:eastAsia="SimSun" w:cs="Times New Roman"/>
          <w:b/>
          <w:bCs/>
          <w:color w:val="231F20"/>
          <w:spacing w:val="-6"/>
          <w:szCs w:val="24"/>
        </w:rPr>
        <w:t>v</w:t>
      </w:r>
      <w:r w:rsidRPr="00E20574">
        <w:rPr>
          <w:rFonts w:cs="Times New Roman"/>
          <w:b/>
          <w:bCs/>
          <w:color w:val="231F20"/>
          <w:spacing w:val="-6"/>
          <w:szCs w:val="24"/>
        </w:rPr>
        <w:t>alue of CTP for CAD</w:t>
      </w:r>
    </w:p>
    <w:p w14:paraId="11D01939" w14:textId="77777777" w:rsidR="00CF56C8" w:rsidRPr="00A97D92" w:rsidRDefault="00870545" w:rsidP="00E20574">
      <w:pPr>
        <w:rPr>
          <w:rFonts w:cs="Times New Roman"/>
          <w:color w:val="231F20"/>
          <w:szCs w:val="24"/>
        </w:rPr>
      </w:pPr>
      <w:r w:rsidRPr="00A97D92">
        <w:rPr>
          <w:rFonts w:cs="Times New Roman"/>
          <w:color w:val="231F20"/>
          <w:szCs w:val="24"/>
        </w:rPr>
        <w:t xml:space="preserve">The diagnostic efficacy of CTP has been validated in multiple studies. A comparative study by Nous </w:t>
      </w:r>
      <w:proofErr w:type="gramStart"/>
      <w:r w:rsidRPr="00A97D92">
        <w:rPr>
          <w:rFonts w:cs="Times New Roman"/>
          <w:color w:val="231F20"/>
          <w:szCs w:val="24"/>
        </w:rPr>
        <w:t>et al.</w:t>
      </w:r>
      <w:r w:rsidRPr="00A97D92">
        <w:rPr>
          <w:rFonts w:cs="Times New Roman"/>
          <w:szCs w:val="24"/>
          <w:vertAlign w:val="superscript"/>
        </w:rPr>
        <w:t>[</w:t>
      </w:r>
      <w:proofErr w:type="gramEnd"/>
      <w:r w:rsidRPr="00A97D92">
        <w:rPr>
          <w:rFonts w:cs="Times New Roman"/>
          <w:szCs w:val="24"/>
          <w:vertAlign w:val="superscript"/>
        </w:rPr>
        <w:t>30]</w:t>
      </w:r>
      <w:r w:rsidRPr="00A97D92">
        <w:rPr>
          <w:rFonts w:cs="Times New Roman"/>
          <w:color w:val="231F20"/>
          <w:szCs w:val="24"/>
        </w:rPr>
        <w:t xml:space="preserve"> demonstrated that combining dynamic CTP with CCTA significantly improved diagnostic specificity (89% vs. 72%) and overall accuracy (88% vs. 78%) compared to CCTA alone. This advantage was especially notable when distinguishing moderate stenoses (50–69%), elevating diagnostic accuracy from 44% to 71%. Although the combined method exhibited slightly lower sensitivity compared to CCTA alone (84% vs. 96%), it provided significant additional value through hemodynamic assessment. The median MBF in ischemic regio</w:t>
      </w:r>
      <w:r w:rsidRPr="00A97D92">
        <w:rPr>
          <w:rFonts w:cs="Times New Roman"/>
          <w:color w:val="231F20"/>
          <w:szCs w:val="24"/>
        </w:rPr>
        <w:t>ns was 97 mL/100 mL/min, significantly lower than in non-ischemic regions (158 mL/100 mL/min), thereby offering important quantitative evidence for clinical decision-making. However, definitions of MBF thresholds vary across studies, and the lack of standardized parameters directly limits broader clinical adoption of CTP. Comparative studies indicate that dynamic CTP combined with CCTA achieves sensitivity and specificity comparable to MR and PET in detecting myocardial ischemia, surpassing SPECT. This comb</w:t>
      </w:r>
      <w:r w:rsidRPr="00A97D92">
        <w:rPr>
          <w:rFonts w:cs="Times New Roman"/>
          <w:color w:val="231F20"/>
          <w:szCs w:val="24"/>
        </w:rPr>
        <w:t xml:space="preserve">ined modality is particularly suitable for patients contraindicated for MR or </w:t>
      </w:r>
      <w:proofErr w:type="gramStart"/>
      <w:r w:rsidRPr="00A97D92">
        <w:rPr>
          <w:rFonts w:cs="Times New Roman"/>
          <w:color w:val="231F20"/>
          <w:szCs w:val="24"/>
        </w:rPr>
        <w:t>PET</w:t>
      </w:r>
      <w:r w:rsidRPr="00A97D92">
        <w:rPr>
          <w:rFonts w:cs="Times New Roman"/>
          <w:szCs w:val="24"/>
          <w:vertAlign w:val="superscript"/>
        </w:rPr>
        <w:t>[</w:t>
      </w:r>
      <w:proofErr w:type="gramEnd"/>
      <w:r w:rsidRPr="00A97D92">
        <w:rPr>
          <w:rFonts w:cs="Times New Roman"/>
          <w:szCs w:val="24"/>
          <w:vertAlign w:val="superscript"/>
        </w:rPr>
        <w:t>31]</w:t>
      </w:r>
      <w:r w:rsidRPr="00A97D92">
        <w:rPr>
          <w:rFonts w:cs="Times New Roman"/>
          <w:color w:val="231F20"/>
          <w:szCs w:val="24"/>
        </w:rPr>
        <w:t xml:space="preserve">. Notably, </w:t>
      </w:r>
      <w:r w:rsidRPr="00A97D92">
        <w:rPr>
          <w:rFonts w:cs="Times New Roman"/>
          <w:color w:val="231F20"/>
          <w:szCs w:val="24"/>
        </w:rPr>
        <w:lastRenderedPageBreak/>
        <w:t>most current CTP studies utilize dual-source CT platforms and commonly exclude obese patients (BMI &gt;30 kg/m2). Future prospective, multicenter studies involving conventional CT equipment and obese patient subgroups are needed to validate the clinical generalizability of this technology.</w:t>
      </w:r>
    </w:p>
    <w:p w14:paraId="45496D6E" w14:textId="7E8FEF59" w:rsidR="00CF56C8" w:rsidRPr="00A97D92" w:rsidRDefault="00870545" w:rsidP="00E20574">
      <w:pPr>
        <w:ind w:firstLine="420"/>
        <w:rPr>
          <w:rFonts w:cs="Times New Roman"/>
          <w:color w:val="231F20"/>
          <w:szCs w:val="24"/>
        </w:rPr>
      </w:pPr>
      <w:r w:rsidRPr="00A97D92">
        <w:rPr>
          <w:rFonts w:cs="Times New Roman"/>
          <w:color w:val="231F20"/>
          <w:szCs w:val="24"/>
        </w:rPr>
        <w:t>Evidence from multicenter studies shows clear advantages of integrating CTP with CCTA for optimizing ICA indications</w:t>
      </w:r>
      <w:r w:rsidR="00E962D5">
        <w:rPr>
          <w:rFonts w:cs="Times New Roman"/>
          <w:color w:val="231F20"/>
          <w:szCs w:val="24"/>
        </w:rPr>
        <w:t xml:space="preserve"> </w:t>
      </w:r>
      <w:r w:rsidRPr="00A97D92">
        <w:rPr>
          <w:rFonts w:cs="Times New Roman"/>
          <w:szCs w:val="24"/>
          <w:vertAlign w:val="superscript"/>
        </w:rPr>
        <w:t>[32</w:t>
      </w:r>
      <w:r w:rsidR="00E962D5">
        <w:rPr>
          <w:rFonts w:cs="Times New Roman"/>
          <w:szCs w:val="24"/>
          <w:vertAlign w:val="superscript"/>
        </w:rPr>
        <w:t>–</w:t>
      </w:r>
      <w:r w:rsidRPr="00A97D92">
        <w:rPr>
          <w:rFonts w:cs="Times New Roman"/>
          <w:szCs w:val="24"/>
          <w:vertAlign w:val="superscript"/>
        </w:rPr>
        <w:t>35]</w:t>
      </w:r>
      <w:r w:rsidRPr="00A97D92">
        <w:rPr>
          <w:rFonts w:cs="Times New Roman"/>
          <w:color w:val="231F20"/>
          <w:szCs w:val="24"/>
        </w:rPr>
        <w:t>. Notably, the PERFECTION study demonstrated that combining static CTP with CCTA significantly improved specificity (95% vs. 76%) and PPV (87% vs. 61%) compared to anatomical assessment alone, while maintaining high sensitivity (92%)</w:t>
      </w:r>
      <w:r w:rsidR="00E962D5">
        <w:rPr>
          <w:rFonts w:cs="Times New Roman"/>
          <w:color w:val="231F20"/>
          <w:szCs w:val="24"/>
        </w:rPr>
        <w:t xml:space="preserve"> </w:t>
      </w:r>
      <w:r w:rsidRPr="00A97D92">
        <w:rPr>
          <w:rFonts w:cs="Times New Roman"/>
          <w:szCs w:val="24"/>
          <w:vertAlign w:val="superscript"/>
        </w:rPr>
        <w:t>[33]</w:t>
      </w:r>
      <w:r w:rsidRPr="00A97D92">
        <w:rPr>
          <w:rFonts w:cs="Times New Roman"/>
          <w:color w:val="231F20"/>
          <w:szCs w:val="24"/>
        </w:rPr>
        <w:t xml:space="preserve">. This combined approach accurately identifies functionally ischemic lesions warranting revascularization, effectively excluding cases of anatomical stenosis without associated hemodynamic abnormalities, thus reducing false positives and unnecessary ICA procedures. However, the </w:t>
      </w:r>
      <w:proofErr w:type="spellStart"/>
      <w:r w:rsidRPr="00A97D92">
        <w:rPr>
          <w:rFonts w:cs="Times New Roman"/>
          <w:color w:val="231F20"/>
          <w:szCs w:val="24"/>
        </w:rPr>
        <w:t>AMPLIFiED</w:t>
      </w:r>
      <w:proofErr w:type="spellEnd"/>
      <w:r w:rsidRPr="00A97D92">
        <w:rPr>
          <w:rFonts w:cs="Times New Roman"/>
          <w:color w:val="231F20"/>
          <w:szCs w:val="24"/>
        </w:rPr>
        <w:t xml:space="preserve"> study found that dynamic CTP combined with CCTA improved specificity (from 36% to 75%) compared to CCTA alone but reduced sensitivity (from 93% to 72%). This sensitivity reduction may be related to the selected MBF threshold and the complexity of multivessel disease</w:t>
      </w:r>
      <w:r w:rsidR="00E962D5">
        <w:rPr>
          <w:rFonts w:cs="Times New Roman"/>
          <w:color w:val="231F20"/>
          <w:szCs w:val="24"/>
        </w:rPr>
        <w:t xml:space="preserve"> </w:t>
      </w:r>
      <w:r w:rsidRPr="00A97D92">
        <w:rPr>
          <w:rFonts w:cs="Times New Roman"/>
          <w:szCs w:val="24"/>
          <w:vertAlign w:val="superscript"/>
        </w:rPr>
        <w:t>[32]</w:t>
      </w:r>
      <w:r w:rsidRPr="00A97D92">
        <w:rPr>
          <w:rFonts w:cs="Times New Roman"/>
          <w:color w:val="231F20"/>
          <w:szCs w:val="24"/>
        </w:rPr>
        <w:t>. Therefore, considering its operational simplicity and high specificity, static CTP may be preferable for screening high-risk populations. Dynamic CTP, due to its longer imaging time and greater susceptibility to artifacts, may lack sufficient resolution or demonstrate significant measurement inaccuracies when assessing multivessel disease or extensive perfusion defects.</w:t>
      </w:r>
    </w:p>
    <w:p w14:paraId="5A7D5125" w14:textId="77777777" w:rsidR="00CF56C8" w:rsidRPr="00A97D92" w:rsidRDefault="00CF56C8" w:rsidP="00E20574">
      <w:pPr>
        <w:rPr>
          <w:rFonts w:cs="Times New Roman"/>
          <w:color w:val="231F20"/>
          <w:szCs w:val="24"/>
        </w:rPr>
      </w:pPr>
    </w:p>
    <w:p w14:paraId="578EB6FF" w14:textId="77777777" w:rsidR="00CF56C8" w:rsidRPr="00E20574" w:rsidRDefault="00870545" w:rsidP="00E20574">
      <w:pPr>
        <w:rPr>
          <w:rFonts w:cs="Times New Roman"/>
          <w:b/>
          <w:bCs/>
          <w:color w:val="231F20"/>
          <w:spacing w:val="-6"/>
          <w:szCs w:val="24"/>
        </w:rPr>
      </w:pPr>
      <w:r w:rsidRPr="00E20574">
        <w:rPr>
          <w:rFonts w:cs="Times New Roman"/>
          <w:b/>
          <w:bCs/>
          <w:color w:val="231F20"/>
          <w:spacing w:val="-6"/>
          <w:szCs w:val="24"/>
        </w:rPr>
        <w:t>2.2.3</w:t>
      </w:r>
      <w:r w:rsidRPr="00E20574">
        <w:rPr>
          <w:rFonts w:eastAsia="SimSun" w:cs="Times New Roman"/>
          <w:b/>
          <w:bCs/>
          <w:color w:val="231F20"/>
          <w:spacing w:val="-6"/>
          <w:szCs w:val="24"/>
        </w:rPr>
        <w:t>.</w:t>
      </w:r>
      <w:r w:rsidRPr="00E20574">
        <w:rPr>
          <w:rFonts w:cs="Times New Roman"/>
          <w:b/>
          <w:bCs/>
          <w:color w:val="231F20"/>
          <w:spacing w:val="-6"/>
          <w:szCs w:val="24"/>
        </w:rPr>
        <w:t xml:space="preserve"> Limitations and </w:t>
      </w:r>
      <w:r w:rsidRPr="00E20574">
        <w:rPr>
          <w:rFonts w:eastAsia="SimSun" w:cs="Times New Roman"/>
          <w:b/>
          <w:bCs/>
          <w:color w:val="231F20"/>
          <w:spacing w:val="-6"/>
          <w:szCs w:val="24"/>
        </w:rPr>
        <w:t>f</w:t>
      </w:r>
      <w:r w:rsidRPr="00E20574">
        <w:rPr>
          <w:rFonts w:cs="Times New Roman"/>
          <w:b/>
          <w:bCs/>
          <w:color w:val="231F20"/>
          <w:spacing w:val="-6"/>
          <w:szCs w:val="24"/>
        </w:rPr>
        <w:t xml:space="preserve">uture </w:t>
      </w:r>
      <w:r w:rsidRPr="00E20574">
        <w:rPr>
          <w:rFonts w:eastAsia="SimSun" w:cs="Times New Roman"/>
          <w:b/>
          <w:bCs/>
          <w:color w:val="231F20"/>
          <w:spacing w:val="-6"/>
          <w:szCs w:val="24"/>
        </w:rPr>
        <w:t>d</w:t>
      </w:r>
      <w:r w:rsidRPr="00E20574">
        <w:rPr>
          <w:rFonts w:cs="Times New Roman"/>
          <w:b/>
          <w:bCs/>
          <w:color w:val="231F20"/>
          <w:spacing w:val="-6"/>
          <w:szCs w:val="24"/>
        </w:rPr>
        <w:t>irections of CTP</w:t>
      </w:r>
    </w:p>
    <w:p w14:paraId="190F2DE1" w14:textId="23F9B328" w:rsidR="00CF56C8" w:rsidRPr="00A97D92" w:rsidRDefault="00870545" w:rsidP="00E20574">
      <w:pPr>
        <w:rPr>
          <w:rFonts w:cs="Times New Roman"/>
          <w:color w:val="231F20"/>
          <w:szCs w:val="24"/>
        </w:rPr>
      </w:pPr>
      <w:r w:rsidRPr="00A97D92">
        <w:rPr>
          <w:rFonts w:cs="Times New Roman"/>
          <w:color w:val="231F20"/>
          <w:szCs w:val="24"/>
        </w:rPr>
        <w:t>Although the clinical value of CTP in CAD diagnosis has been clearly demonstrated, radiation exposure remains a primary limitation hindering its broader clinical adoption. Static CTP has a significantly lower radiation dose than dynamic CTP (2.8 ± 1.2 mSv vs. 5.3 ± 0.7 mSv)</w:t>
      </w:r>
      <w:r w:rsidR="00E962D5">
        <w:rPr>
          <w:rFonts w:cs="Times New Roman"/>
          <w:color w:val="231F20"/>
          <w:szCs w:val="24"/>
        </w:rPr>
        <w:t xml:space="preserve"> </w:t>
      </w:r>
      <w:r w:rsidRPr="00A97D92">
        <w:rPr>
          <w:rFonts w:cs="Times New Roman"/>
          <w:szCs w:val="24"/>
          <w:vertAlign w:val="superscript"/>
        </w:rPr>
        <w:t>[36]</w:t>
      </w:r>
      <w:r w:rsidRPr="00A97D92">
        <w:rPr>
          <w:rFonts w:cs="Times New Roman"/>
          <w:color w:val="231F20"/>
          <w:szCs w:val="24"/>
        </w:rPr>
        <w:t>. Due to radiation safety concerns, clinical practice currently favors static CTP because of its lower radiation dose. Radiation exposure from CTP can be further minimized through techniques such as low-tube-voltage scanning and wide-coverage CT scanners</w:t>
      </w:r>
      <w:r w:rsidR="00E962D5">
        <w:rPr>
          <w:rFonts w:cs="Times New Roman"/>
          <w:color w:val="231F20"/>
          <w:szCs w:val="24"/>
        </w:rPr>
        <w:t xml:space="preserve"> </w:t>
      </w:r>
      <w:r w:rsidRPr="00A97D92">
        <w:rPr>
          <w:rFonts w:cs="Times New Roman"/>
          <w:szCs w:val="24"/>
          <w:vertAlign w:val="superscript"/>
        </w:rPr>
        <w:t>[36,37]</w:t>
      </w:r>
      <w:r w:rsidRPr="00A97D92">
        <w:rPr>
          <w:rFonts w:cs="Times New Roman"/>
          <w:color w:val="231F20"/>
          <w:szCs w:val="24"/>
        </w:rPr>
        <w:t>.</w:t>
      </w:r>
    </w:p>
    <w:p w14:paraId="765FD106" w14:textId="002F7FFE" w:rsidR="00CF56C8" w:rsidRPr="00A97D92" w:rsidRDefault="00870545" w:rsidP="00E20574">
      <w:pPr>
        <w:ind w:firstLine="420"/>
        <w:rPr>
          <w:rFonts w:cs="Times New Roman"/>
          <w:color w:val="231F20"/>
          <w:szCs w:val="24"/>
        </w:rPr>
      </w:pPr>
      <w:r w:rsidRPr="00A97D92">
        <w:rPr>
          <w:rFonts w:cs="Times New Roman"/>
          <w:color w:val="231F20"/>
          <w:szCs w:val="24"/>
        </w:rPr>
        <w:t>In the future, PCCT is expected to enable precise quantitative analysis of myocardial contrast distribution, leveraging enhanced detector sensitivity and spatial resolution to substantially improve the accuracy of perfusion assessments</w:t>
      </w:r>
      <w:r w:rsidR="00E962D5">
        <w:rPr>
          <w:rFonts w:cs="Times New Roman"/>
          <w:color w:val="231F20"/>
          <w:szCs w:val="24"/>
        </w:rPr>
        <w:t xml:space="preserve"> </w:t>
      </w:r>
      <w:r w:rsidRPr="00A97D92">
        <w:rPr>
          <w:rFonts w:cs="Times New Roman"/>
          <w:szCs w:val="24"/>
          <w:vertAlign w:val="superscript"/>
        </w:rPr>
        <w:t>[38]</w:t>
      </w:r>
      <w:r w:rsidRPr="00A97D92">
        <w:rPr>
          <w:rFonts w:cs="Times New Roman"/>
          <w:color w:val="231F20"/>
          <w:szCs w:val="24"/>
        </w:rPr>
        <w:t>. Concurrently, deep learning (DL)-based image processing algorithms offer notable advantages for artifact suppression and image contrast enhancement, providing innovative solutions for optimizing CTP image quality.</w:t>
      </w:r>
    </w:p>
    <w:p w14:paraId="579855C2" w14:textId="77777777" w:rsidR="00CF56C8" w:rsidRPr="00A97D92" w:rsidRDefault="00CF56C8" w:rsidP="00E20574">
      <w:pPr>
        <w:rPr>
          <w:rFonts w:cs="Times New Roman"/>
          <w:color w:val="231F20"/>
          <w:szCs w:val="24"/>
        </w:rPr>
      </w:pPr>
    </w:p>
    <w:p w14:paraId="277046B1" w14:textId="6831B24E" w:rsidR="00CF56C8" w:rsidRPr="00E20574" w:rsidRDefault="00870545" w:rsidP="00E20574">
      <w:pPr>
        <w:rPr>
          <w:rFonts w:eastAsia="Times New Roman" w:cs="Times New Roman"/>
          <w:b/>
          <w:bCs/>
          <w:color w:val="231F20"/>
          <w:spacing w:val="-6"/>
          <w:szCs w:val="24"/>
          <w:lang w:bidi="zh-CN"/>
        </w:rPr>
      </w:pPr>
      <w:r w:rsidRPr="00E20574">
        <w:rPr>
          <w:rFonts w:cs="Times New Roman"/>
          <w:b/>
          <w:bCs/>
          <w:color w:val="231F20"/>
          <w:spacing w:val="-6"/>
          <w:szCs w:val="24"/>
          <w:lang w:bidi="zh-CN"/>
        </w:rPr>
        <w:t>3</w:t>
      </w:r>
      <w:r w:rsidRPr="00E20574">
        <w:rPr>
          <w:rFonts w:eastAsia="Times New Roman" w:cs="Times New Roman"/>
          <w:b/>
          <w:bCs/>
          <w:color w:val="231F20"/>
          <w:spacing w:val="-6"/>
          <w:szCs w:val="24"/>
          <w:lang w:bidi="zh-CN"/>
        </w:rPr>
        <w:t xml:space="preserve">. </w:t>
      </w:r>
      <w:r w:rsidR="00E962D5">
        <w:rPr>
          <w:rFonts w:eastAsia="Times New Roman" w:cs="Times New Roman"/>
          <w:b/>
          <w:bCs/>
          <w:color w:val="231F20"/>
          <w:spacing w:val="-6"/>
          <w:szCs w:val="24"/>
          <w:lang w:bidi="zh-CN"/>
        </w:rPr>
        <w:t>Conclusion</w:t>
      </w:r>
    </w:p>
    <w:p w14:paraId="1954AB87" w14:textId="640F6B50" w:rsidR="00CF56C8" w:rsidRPr="00A97D92" w:rsidRDefault="00870545" w:rsidP="00E20574">
      <w:pPr>
        <w:rPr>
          <w:rFonts w:cs="Times New Roman"/>
          <w:color w:val="231F20"/>
          <w:szCs w:val="24"/>
        </w:rPr>
      </w:pPr>
      <w:r w:rsidRPr="00A97D92">
        <w:rPr>
          <w:rFonts w:cs="Times New Roman"/>
          <w:color w:val="231F20"/>
          <w:szCs w:val="24"/>
        </w:rPr>
        <w:t>Multimodal CT technology has reshaped the diagnostic paradigm for CAD by integrating anatomical imaging and functional assessment. As the cornerstone of anatomical imaging, CCTA has become the gold standard for noninvasive diagnosis of coronary artery stenosis due to its high spatial resolution. However, it inherently possesses limitations, including calcification artifacts and a lack of functional information. In functional imaging, CT-FFR employs computational fluid dynamics to simulate FFR, and CTP visua</w:t>
      </w:r>
      <w:r w:rsidRPr="00A97D92">
        <w:rPr>
          <w:rFonts w:cs="Times New Roman"/>
          <w:color w:val="231F20"/>
          <w:szCs w:val="24"/>
        </w:rPr>
        <w:t xml:space="preserve">lizes myocardial ischemia. Their combined use advances CAD diagnosis from anatomical stenosis evaluation to functional ischemia assessment, significantly reducing unnecessary invasive interventions. Multimodal CT integrates three-dimensional anatomical and functional </w:t>
      </w:r>
      <w:r w:rsidR="00E962D5">
        <w:rPr>
          <w:rFonts w:cs="Times New Roman"/>
          <w:color w:val="231F20"/>
          <w:szCs w:val="24"/>
        </w:rPr>
        <w:t xml:space="preserve">information </w:t>
      </w:r>
      <w:r w:rsidRPr="00A97D92">
        <w:rPr>
          <w:rFonts w:cs="Times New Roman"/>
          <w:color w:val="231F20"/>
          <w:szCs w:val="24"/>
        </w:rPr>
        <w:t>through single-visit examinations, elevating CAD assessment from purely anatomical description to comprehensive quantification. This integrated approach offers clinicians a more holistic perspective to support decision-making.</w:t>
      </w:r>
    </w:p>
    <w:p w14:paraId="28F330CB" w14:textId="77777777" w:rsidR="00CF56C8" w:rsidRPr="00A97D92" w:rsidRDefault="00CF56C8" w:rsidP="00E20574">
      <w:pPr>
        <w:rPr>
          <w:rFonts w:cs="Times New Roman"/>
          <w:color w:val="231F20"/>
          <w:szCs w:val="24"/>
        </w:rPr>
      </w:pPr>
    </w:p>
    <w:p w14:paraId="25FDC8F9" w14:textId="77777777" w:rsidR="00CF56C8" w:rsidRPr="00E20574" w:rsidRDefault="00870545" w:rsidP="00E20574">
      <w:pPr>
        <w:rPr>
          <w:rFonts w:eastAsia="SimSun" w:cs="Times New Roman"/>
          <w:b/>
          <w:bCs/>
          <w:szCs w:val="24"/>
        </w:rPr>
      </w:pPr>
      <w:r w:rsidRPr="00E20574">
        <w:rPr>
          <w:rFonts w:eastAsia="Times New Roman" w:cs="Times New Roman"/>
          <w:b/>
          <w:bCs/>
          <w:color w:val="231F20"/>
          <w:spacing w:val="-6"/>
          <w:szCs w:val="24"/>
          <w:lang w:bidi="zh-CN"/>
        </w:rPr>
        <w:t>Funding</w:t>
      </w:r>
    </w:p>
    <w:p w14:paraId="0C8FDEA1" w14:textId="6815EF6B" w:rsidR="00CF56C8" w:rsidRPr="00A97D92" w:rsidRDefault="00870545" w:rsidP="00E20574">
      <w:pPr>
        <w:rPr>
          <w:rFonts w:eastAsia="Times New Roman" w:cs="Times New Roman"/>
          <w:color w:val="231F20"/>
          <w:szCs w:val="24"/>
          <w:lang w:bidi="zh-CN"/>
        </w:rPr>
      </w:pPr>
      <w:r w:rsidRPr="00A97D92">
        <w:rPr>
          <w:rFonts w:eastAsia="Times New Roman" w:cs="Times New Roman"/>
          <w:color w:val="231F20"/>
          <w:szCs w:val="24"/>
          <w:lang w:bidi="zh-CN"/>
        </w:rPr>
        <w:t>National Natural Science Foundation of China (</w:t>
      </w:r>
      <w:r w:rsidR="00A97D92">
        <w:rPr>
          <w:rFonts w:eastAsia="Times New Roman" w:cs="Times New Roman"/>
          <w:color w:val="231F20"/>
          <w:szCs w:val="24"/>
          <w:lang w:bidi="zh-CN"/>
        </w:rPr>
        <w:t xml:space="preserve">Project No.: </w:t>
      </w:r>
      <w:r w:rsidRPr="00A97D92">
        <w:rPr>
          <w:rFonts w:eastAsia="Times New Roman" w:cs="Times New Roman"/>
          <w:color w:val="231F20"/>
          <w:szCs w:val="24"/>
          <w:lang w:bidi="zh-CN"/>
        </w:rPr>
        <w:t>82260147, 82460170, 82360626 and 82560886), Natural Science Foundation of Jiangxi Province (</w:t>
      </w:r>
      <w:r w:rsidR="00A97D92">
        <w:rPr>
          <w:rFonts w:eastAsia="Times New Roman" w:cs="Times New Roman"/>
          <w:color w:val="231F20"/>
          <w:szCs w:val="24"/>
          <w:lang w:bidi="zh-CN"/>
        </w:rPr>
        <w:t xml:space="preserve">Project No.: </w:t>
      </w:r>
      <w:r w:rsidRPr="00A97D92">
        <w:rPr>
          <w:rFonts w:eastAsia="Times New Roman" w:cs="Times New Roman"/>
          <w:color w:val="231F20"/>
          <w:szCs w:val="24"/>
          <w:lang w:bidi="zh-CN"/>
        </w:rPr>
        <w:t>20224BAB206030</w:t>
      </w:r>
      <w:bookmarkStart w:id="5" w:name="_Hlk210121129"/>
      <w:r w:rsidRPr="00A97D92">
        <w:rPr>
          <w:rFonts w:eastAsia="Times New Roman" w:cs="Times New Roman"/>
          <w:color w:val="231F20"/>
          <w:szCs w:val="24"/>
          <w:lang w:bidi="zh-CN"/>
        </w:rPr>
        <w:t>, 20242BAB20370</w:t>
      </w:r>
      <w:bookmarkEnd w:id="5"/>
      <w:r w:rsidRPr="00A97D92">
        <w:rPr>
          <w:rFonts w:eastAsia="Times New Roman" w:cs="Times New Roman"/>
          <w:color w:val="231F20"/>
          <w:szCs w:val="24"/>
          <w:lang w:bidi="zh-CN"/>
        </w:rPr>
        <w:t xml:space="preserve"> and 20252BAC240556), </w:t>
      </w:r>
      <w:bookmarkStart w:id="6" w:name="_Hlk210122517"/>
      <w:r w:rsidRPr="00A97D92">
        <w:rPr>
          <w:rFonts w:eastAsia="Times New Roman" w:cs="Times New Roman"/>
          <w:color w:val="231F20"/>
          <w:szCs w:val="24"/>
          <w:lang w:bidi="zh-CN"/>
        </w:rPr>
        <w:t>Science and Technology Research Project of Jiangxi Provincial Department of Education (</w:t>
      </w:r>
      <w:r w:rsidR="00A97D92">
        <w:rPr>
          <w:rFonts w:eastAsia="Times New Roman" w:cs="Times New Roman"/>
          <w:color w:val="231F20"/>
          <w:szCs w:val="24"/>
          <w:lang w:bidi="zh-CN"/>
        </w:rPr>
        <w:t xml:space="preserve">Project No.: </w:t>
      </w:r>
      <w:r w:rsidRPr="00A97D92">
        <w:rPr>
          <w:rFonts w:eastAsia="Times New Roman" w:cs="Times New Roman"/>
          <w:color w:val="231F20"/>
          <w:szCs w:val="24"/>
          <w:lang w:bidi="zh-CN"/>
        </w:rPr>
        <w:t>GJJ2201920</w:t>
      </w:r>
      <w:bookmarkEnd w:id="6"/>
      <w:r w:rsidRPr="00A97D92">
        <w:rPr>
          <w:rFonts w:eastAsia="Times New Roman" w:cs="Times New Roman"/>
          <w:color w:val="231F20"/>
          <w:szCs w:val="24"/>
          <w:lang w:bidi="zh-CN"/>
        </w:rPr>
        <w:t>, GJJ2201941, GJJ2401806 and GJJ2401825)</w:t>
      </w:r>
    </w:p>
    <w:p w14:paraId="491A4496" w14:textId="77777777" w:rsidR="00CF56C8" w:rsidRPr="00E20574" w:rsidRDefault="00CF56C8" w:rsidP="00E20574">
      <w:pPr>
        <w:rPr>
          <w:rFonts w:eastAsia="Times New Roman" w:cs="Times New Roman"/>
          <w:b/>
          <w:bCs/>
          <w:color w:val="231F20"/>
          <w:szCs w:val="24"/>
          <w:lang w:bidi="zh-CN"/>
        </w:rPr>
      </w:pPr>
    </w:p>
    <w:p w14:paraId="7B7E580E" w14:textId="77777777" w:rsidR="00CF56C8" w:rsidRPr="00E20574" w:rsidRDefault="00870545" w:rsidP="00E20574">
      <w:pPr>
        <w:rPr>
          <w:rFonts w:cs="Times New Roman"/>
          <w:b/>
          <w:bCs/>
          <w:szCs w:val="24"/>
        </w:rPr>
      </w:pPr>
      <w:bookmarkStart w:id="7" w:name="_Hlk181689731"/>
      <w:r w:rsidRPr="00E20574">
        <w:rPr>
          <w:rFonts w:cs="Times New Roman"/>
          <w:b/>
          <w:bCs/>
          <w:szCs w:val="24"/>
        </w:rPr>
        <w:t>Disclosure statement</w:t>
      </w:r>
    </w:p>
    <w:p w14:paraId="4738A73B" w14:textId="77777777" w:rsidR="00CF56C8" w:rsidRPr="00A97D92" w:rsidRDefault="00870545" w:rsidP="00E20574">
      <w:pPr>
        <w:rPr>
          <w:rFonts w:cs="Times New Roman"/>
          <w:szCs w:val="24"/>
        </w:rPr>
      </w:pPr>
      <w:r w:rsidRPr="00A97D92">
        <w:rPr>
          <w:rFonts w:cs="Times New Roman"/>
          <w:szCs w:val="24"/>
        </w:rPr>
        <w:t xml:space="preserve">The authors declare no conflict of interest. </w:t>
      </w:r>
    </w:p>
    <w:bookmarkEnd w:id="7"/>
    <w:p w14:paraId="4BD124FD" w14:textId="77777777" w:rsidR="00CF56C8" w:rsidRPr="00A97D92" w:rsidRDefault="00CF56C8" w:rsidP="00E20574">
      <w:pPr>
        <w:rPr>
          <w:rFonts w:eastAsia="DengXian" w:cs="Times New Roman"/>
          <w:szCs w:val="24"/>
        </w:rPr>
      </w:pPr>
    </w:p>
    <w:p w14:paraId="7F0287D7" w14:textId="77777777" w:rsidR="00CF56C8" w:rsidRDefault="00870545" w:rsidP="00A97D92">
      <w:pPr>
        <w:rPr>
          <w:rFonts w:eastAsia="Times New Roman" w:cs="Times New Roman"/>
          <w:b/>
          <w:bCs/>
          <w:color w:val="231F20"/>
          <w:spacing w:val="-6"/>
          <w:szCs w:val="24"/>
          <w:lang w:bidi="zh-CN"/>
        </w:rPr>
      </w:pPr>
      <w:r w:rsidRPr="00E20574">
        <w:rPr>
          <w:rFonts w:eastAsia="Times New Roman" w:cs="Times New Roman"/>
          <w:b/>
          <w:bCs/>
          <w:color w:val="231F20"/>
          <w:spacing w:val="-6"/>
          <w:szCs w:val="24"/>
          <w:lang w:bidi="zh-CN"/>
        </w:rPr>
        <w:t>References</w:t>
      </w:r>
    </w:p>
    <w:p w14:paraId="1BE0D515" w14:textId="5D02106B" w:rsidR="00A97D92" w:rsidRDefault="00A97D92" w:rsidP="00A97D92">
      <w:pPr>
        <w:ind w:left="454" w:hanging="454"/>
      </w:pPr>
      <w:bookmarkStart w:id="8" w:name="_Hlk185327419"/>
      <w:r>
        <w:t>[1]</w:t>
      </w:r>
      <w:r w:rsidR="007C6A60">
        <w:tab/>
      </w:r>
      <w:r>
        <w:t>Sharma AV, Ambrose JA, 2023, Pathophysiology of Ischemic Syndromes in Coronary Artery Disease. Ischemic Heart Disease: From Diagnosis to Treatment, 2023: 67–81.</w:t>
      </w:r>
    </w:p>
    <w:p w14:paraId="197CE532" w14:textId="29B69DF7" w:rsidR="00A97D92" w:rsidRDefault="00A97D92" w:rsidP="00A97D92">
      <w:pPr>
        <w:ind w:left="454" w:hanging="454"/>
      </w:pPr>
      <w:r>
        <w:t>[2]</w:t>
      </w:r>
      <w:r w:rsidR="007C6A60">
        <w:tab/>
      </w:r>
      <w:r>
        <w:t xml:space="preserve">Gambre A, Liew C, Hettiarachchi G, et al., 2018, Accuracy and Clinical Outcomes of Coronary CT Angiography for Patients </w:t>
      </w:r>
      <w:proofErr w:type="gramStart"/>
      <w:r>
        <w:t>With</w:t>
      </w:r>
      <w:proofErr w:type="gramEnd"/>
      <w:r>
        <w:t xml:space="preserve"> Suspected Coronary Artery Disease: A Single-Centre Study in Singapore. Singapore Medical Journal, 59(8): 413–418.</w:t>
      </w:r>
    </w:p>
    <w:p w14:paraId="0315E870" w14:textId="0154A933" w:rsidR="00A97D92" w:rsidRDefault="00A97D92" w:rsidP="00A97D92">
      <w:pPr>
        <w:ind w:left="454" w:hanging="454"/>
      </w:pPr>
      <w:r>
        <w:t>[3]</w:t>
      </w:r>
      <w:r w:rsidR="007C6A60">
        <w:tab/>
      </w:r>
      <w:proofErr w:type="spellStart"/>
      <w:r>
        <w:t>Baggiano</w:t>
      </w:r>
      <w:proofErr w:type="spellEnd"/>
      <w:r>
        <w:t xml:space="preserve"> A, Guglielmo M, Mushtaq S, et al., 2023, Stress Computed Tomography Perfusion Versus Stress Cardiac Magnetic Resonance for the Management of Suspected or Known Coronary Artery Disease: Resources and Outcomes Impact (STRATEGY II Study). European Heart Journal, 44(Supplement_2): ehad655.132.</w:t>
      </w:r>
    </w:p>
    <w:p w14:paraId="03760A6A" w14:textId="712DAE68" w:rsidR="00A97D92" w:rsidRDefault="00A97D92" w:rsidP="00A97D92">
      <w:pPr>
        <w:ind w:left="454" w:hanging="454"/>
      </w:pPr>
      <w:r>
        <w:t>[4]</w:t>
      </w:r>
      <w:r w:rsidR="007C6A60">
        <w:tab/>
      </w:r>
      <w:r>
        <w:t xml:space="preserve">Shah NR, Pierce JD, </w:t>
      </w:r>
      <w:proofErr w:type="spellStart"/>
      <w:r>
        <w:t>Kikano</w:t>
      </w:r>
      <w:proofErr w:type="spellEnd"/>
      <w:r>
        <w:t xml:space="preserve"> EG, et al., 2021, CT Coronary Angiography Fractional Flow Reserve: New Advances in the Diagnosis and Treatment of Coronary Artery Disease. Current Problems in Diagnostic Radiology, 50(6): 925–936.</w:t>
      </w:r>
    </w:p>
    <w:p w14:paraId="0452A0C7" w14:textId="12332ED2" w:rsidR="00A97D92" w:rsidRDefault="00A97D92" w:rsidP="00A97D92">
      <w:pPr>
        <w:ind w:left="454" w:hanging="454"/>
      </w:pPr>
      <w:r>
        <w:t>[5]</w:t>
      </w:r>
      <w:r w:rsidR="007C6A60">
        <w:tab/>
      </w:r>
      <w:r>
        <w:t>Han W, Liang L, Han T, et al., 2024, Diagnostic Performance of the Quantitative Flow Ratio and CT-FFR for Coronary Lesion-Specific Ischemia. Scientific Reports, 14(1): 16969.</w:t>
      </w:r>
    </w:p>
    <w:p w14:paraId="0CD91992" w14:textId="7F2A8ED5" w:rsidR="00A97D92" w:rsidRDefault="00A97D92" w:rsidP="00A97D92">
      <w:pPr>
        <w:ind w:left="454" w:hanging="454"/>
      </w:pPr>
      <w:r>
        <w:t>[6]</w:t>
      </w:r>
      <w:r w:rsidR="007C6A60">
        <w:tab/>
      </w:r>
      <w:r>
        <w:t>Yang W, Yu L, Yu Y, et al., 2024, Novel Motion Correction Algorithm Improves Diagnostic Performance of CT Fractional Flow Reserve. European Journal of Radiology, 176: 111538.</w:t>
      </w:r>
    </w:p>
    <w:p w14:paraId="1FC56548" w14:textId="24F1EBFB" w:rsidR="00A97D92" w:rsidRDefault="00A97D92" w:rsidP="00A97D92">
      <w:pPr>
        <w:ind w:left="454" w:hanging="454"/>
      </w:pPr>
      <w:r>
        <w:t>[7]</w:t>
      </w:r>
      <w:r w:rsidR="007C6A60">
        <w:tab/>
      </w:r>
      <w:r>
        <w:t>Peper J, Becker LM, van den Berg H, et al., 2022, Diagnostic Performance of CCTA and CT-FFR for the Detection of CAD in TAVR Work-Up. JACC: Cardiovascular Interventions, 15(11): 1140–1149.</w:t>
      </w:r>
    </w:p>
    <w:p w14:paraId="776CD2A9" w14:textId="5314C45D" w:rsidR="00A97D92" w:rsidRDefault="00A97D92" w:rsidP="00A97D92">
      <w:pPr>
        <w:ind w:left="454" w:hanging="454"/>
      </w:pPr>
      <w:r>
        <w:t>[8]</w:t>
      </w:r>
      <w:r w:rsidR="007C6A60">
        <w:tab/>
      </w:r>
      <w:r>
        <w:t xml:space="preserve">Okada-Nozaki Y, Fujimoto S, </w:t>
      </w:r>
      <w:proofErr w:type="spellStart"/>
      <w:r>
        <w:t>Aoshima</w:t>
      </w:r>
      <w:proofErr w:type="spellEnd"/>
      <w:r>
        <w:t xml:space="preserve"> C, et al., 2021, Optimal Measurement Location of On-Site Based CT-Derived FFR on Midterm Prognosis. European Heart Journal, 42(Supplement_1): ehab724.0194.</w:t>
      </w:r>
    </w:p>
    <w:p w14:paraId="6E956E17" w14:textId="6EDDC284" w:rsidR="00A97D92" w:rsidRDefault="00A97D92" w:rsidP="00A97D92">
      <w:pPr>
        <w:ind w:left="454" w:hanging="454"/>
      </w:pPr>
      <w:r>
        <w:t>[9]</w:t>
      </w:r>
      <w:r w:rsidR="007C6A60">
        <w:tab/>
      </w:r>
      <w:r>
        <w:t>Becker LM, Peper J, van Nes SH, et al., 2024, Non-Invasive Physiological Assessment of Coronary Artery Obstruction on Coronary Computed Tomography Angiography. Netherlands Heart Journal, 32(11): 397–404.</w:t>
      </w:r>
    </w:p>
    <w:p w14:paraId="15E7C66D" w14:textId="4C43CFD9" w:rsidR="00A97D92" w:rsidRDefault="00A97D92" w:rsidP="00A97D92">
      <w:pPr>
        <w:ind w:left="454" w:hanging="454"/>
      </w:pPr>
      <w:r>
        <w:t>[10]</w:t>
      </w:r>
      <w:r w:rsidR="007C6A60">
        <w:tab/>
      </w:r>
      <w:r>
        <w:t>Gao Y, Zhao N, Song L, et al., 2022, Diastolic Versus Systolic Coronary Computed Tomography Angiography Derived Fractional Flow Reserve for the Identification of Lesion-Specific Ischemia. European Journal of Radiology, 147: 110098.</w:t>
      </w:r>
    </w:p>
    <w:p w14:paraId="4D0671FD" w14:textId="1A1E2587" w:rsidR="00A97D92" w:rsidRDefault="00A97D92" w:rsidP="00A97D92">
      <w:pPr>
        <w:ind w:left="454" w:hanging="454"/>
      </w:pPr>
      <w:r>
        <w:t>[11]</w:t>
      </w:r>
      <w:r w:rsidR="007C6A60">
        <w:tab/>
      </w:r>
      <w:proofErr w:type="spellStart"/>
      <w:r>
        <w:t>Ihdayhid</w:t>
      </w:r>
      <w:proofErr w:type="spellEnd"/>
      <w:r>
        <w:t xml:space="preserve"> AR, Fujimoto S, Motoyama S, et al., 2019, P6187 </w:t>
      </w:r>
      <w:proofErr w:type="spellStart"/>
      <w:r>
        <w:t>Multicentre</w:t>
      </w:r>
      <w:proofErr w:type="spellEnd"/>
      <w:r>
        <w:t xml:space="preserve"> Diagnostic Performance of On-Site Workstation CT Derived Fractional Flow Reserve. European Heart Journal, 40(Supplement_1): ehz746.0793.</w:t>
      </w:r>
    </w:p>
    <w:p w14:paraId="11C89340" w14:textId="6F27CC32" w:rsidR="00A97D92" w:rsidRDefault="00A97D92" w:rsidP="00A97D92">
      <w:pPr>
        <w:ind w:left="454" w:hanging="454"/>
      </w:pPr>
      <w:r>
        <w:t>[12]</w:t>
      </w:r>
      <w:r w:rsidR="007C6A60">
        <w:tab/>
      </w:r>
      <w:r>
        <w:t xml:space="preserve">Sinclair H, </w:t>
      </w:r>
      <w:proofErr w:type="spellStart"/>
      <w:r>
        <w:t>Yongli</w:t>
      </w:r>
      <w:proofErr w:type="spellEnd"/>
      <w:r>
        <w:t xml:space="preserve"> RL, Beattie A, et al., 2021, Positive Predictive Value of CT Coronary Angiography vs. CT Fractional Flow Reserve in a Real-World Population. European Heart Journal, 42(Supplement_1): ehab724.0195.</w:t>
      </w:r>
    </w:p>
    <w:p w14:paraId="7A932EFA" w14:textId="7317A01D" w:rsidR="00A97D92" w:rsidRDefault="00A97D92" w:rsidP="00A97D92">
      <w:pPr>
        <w:ind w:left="454" w:hanging="454"/>
      </w:pPr>
      <w:r>
        <w:t>[13]</w:t>
      </w:r>
      <w:r w:rsidR="007C6A60">
        <w:tab/>
      </w:r>
      <w:r>
        <w:t xml:space="preserve">Zeng Y, Wang X, Tang Z, et al., 2024, Diagnostic Accuracy of CT-FFR With a New Coarse-to-Fine Subpixel Algorithm in Detecting Lesion-Specific Ischemia: A Prospective Multicenter Study. Revista Española de </w:t>
      </w:r>
      <w:proofErr w:type="spellStart"/>
      <w:r>
        <w:t>Cardiología</w:t>
      </w:r>
      <w:proofErr w:type="spellEnd"/>
      <w:r>
        <w:t xml:space="preserve"> (English Edition), 77(2): 129–137.</w:t>
      </w:r>
    </w:p>
    <w:p w14:paraId="345DFC3C" w14:textId="7A0AE3B0" w:rsidR="00A97D92" w:rsidRDefault="00A97D92" w:rsidP="00A97D92">
      <w:pPr>
        <w:ind w:left="454" w:hanging="454"/>
      </w:pPr>
      <w:r>
        <w:t>[14]</w:t>
      </w:r>
      <w:r w:rsidR="007C6A60">
        <w:tab/>
      </w:r>
      <w:r>
        <w:t xml:space="preserve">Driessen RS, </w:t>
      </w:r>
      <w:proofErr w:type="spellStart"/>
      <w:r>
        <w:t>Danad</w:t>
      </w:r>
      <w:proofErr w:type="spellEnd"/>
      <w:r>
        <w:t xml:space="preserve"> I, </w:t>
      </w:r>
      <w:proofErr w:type="spellStart"/>
      <w:r>
        <w:t>Stuijfzand</w:t>
      </w:r>
      <w:proofErr w:type="spellEnd"/>
      <w:r>
        <w:t xml:space="preserve"> WJ, et al., 2019, Comparison of Coronary Computed Tomography Angiography, Fractional Flow Reserve, and Perfusion Imaging for Ischemia Diagnosis. Journal of the American College of Cardiology, 73(2): 161–173.</w:t>
      </w:r>
    </w:p>
    <w:p w14:paraId="34BE36EC" w14:textId="73AE434D" w:rsidR="00A97D92" w:rsidRDefault="00A97D92" w:rsidP="00A97D92">
      <w:pPr>
        <w:ind w:left="454" w:hanging="454"/>
      </w:pPr>
      <w:r>
        <w:t>[15]</w:t>
      </w:r>
      <w:r w:rsidR="007C6A60">
        <w:tab/>
      </w:r>
      <w:r>
        <w:t>Fairbairn TA, Dobson R, Hurwitz-</w:t>
      </w:r>
      <w:proofErr w:type="spellStart"/>
      <w:r>
        <w:t>Koweek</w:t>
      </w:r>
      <w:proofErr w:type="spellEnd"/>
      <w:r>
        <w:t xml:space="preserve"> L, et al., 2020, Sex Differences in Coronary Computed Tomography Angiography-Derived Fractional Flow Reserve: Lessons From ADVANCE. JACC: Cardiovascular Imaging, 13(12): 2576–2587.</w:t>
      </w:r>
    </w:p>
    <w:p w14:paraId="44270429" w14:textId="25C4EC80" w:rsidR="00A97D92" w:rsidRDefault="00A97D92" w:rsidP="00A97D92">
      <w:pPr>
        <w:ind w:left="454" w:hanging="454"/>
      </w:pPr>
      <w:r>
        <w:t>[16]</w:t>
      </w:r>
      <w:r w:rsidR="007C6A60">
        <w:tab/>
      </w:r>
      <w:r>
        <w:t xml:space="preserve">Brandt V, Schoepf UJ, Aquino GJ, et al., 2022, Impact of Machine-Learning-Based Coronary Computed Tomography Angiography-Derived Fractional Flow Reserve on Decision-Making in </w:t>
      </w:r>
      <w:r>
        <w:lastRenderedPageBreak/>
        <w:t xml:space="preserve">Patients </w:t>
      </w:r>
      <w:proofErr w:type="gramStart"/>
      <w:r>
        <w:t>With</w:t>
      </w:r>
      <w:proofErr w:type="gramEnd"/>
      <w:r>
        <w:t xml:space="preserve"> Severe Aortic Stenosis Undergoing Transcatheter Aortic Valve Replacement. European Radiology, 32(9): 6008–6016.</w:t>
      </w:r>
    </w:p>
    <w:p w14:paraId="1175DE0B" w14:textId="3B09DCF7" w:rsidR="00A97D92" w:rsidRDefault="00A97D92" w:rsidP="00A97D92">
      <w:pPr>
        <w:ind w:left="454" w:hanging="454"/>
      </w:pPr>
      <w:r>
        <w:t>[17]</w:t>
      </w:r>
      <w:r w:rsidR="007C6A60">
        <w:tab/>
      </w:r>
      <w:r>
        <w:t>Giannopoulos A, Keller LK, Sepulcri DS, et al., 2022, Validation and Diagnostic Performance of a Fast On-Site Deep Learning-Based CT-FFR Algorithm. European Heart Journal, 43(Supplement_2): ehac544.203.</w:t>
      </w:r>
    </w:p>
    <w:p w14:paraId="70D3AA66" w14:textId="59F2C6F3" w:rsidR="00A97D92" w:rsidRDefault="00A97D92" w:rsidP="00A97D92">
      <w:pPr>
        <w:ind w:left="454" w:hanging="454"/>
      </w:pPr>
      <w:r>
        <w:t>[18]</w:t>
      </w:r>
      <w:r w:rsidR="007C6A60">
        <w:tab/>
      </w:r>
      <w:r>
        <w:t xml:space="preserve">Renker M, Baumann S, Hamm CW, et al., 2021, Influence of Coronary Stenosis Location on Diagnostic Performance of Machine Learning-Based Fractional Flow Reserve </w:t>
      </w:r>
      <w:proofErr w:type="gramStart"/>
      <w:r>
        <w:t>From</w:t>
      </w:r>
      <w:proofErr w:type="gramEnd"/>
      <w:r>
        <w:t xml:space="preserve"> CT Angiography. Journal of Cardiovascular Computed Tomography, 15(6): 492–498.</w:t>
      </w:r>
    </w:p>
    <w:p w14:paraId="5395E662" w14:textId="10CD08EF" w:rsidR="00A97D92" w:rsidRDefault="00A97D92" w:rsidP="00A97D92">
      <w:pPr>
        <w:ind w:left="454" w:hanging="454"/>
      </w:pPr>
      <w:r>
        <w:t>[19]</w:t>
      </w:r>
      <w:r w:rsidR="007C6A60">
        <w:tab/>
      </w:r>
      <w:r>
        <w:t xml:space="preserve">Tang CX, Wang YN, Zhou F, et al., 2019, Diagnostic Performance of Fractional Flow Reserve Derived </w:t>
      </w:r>
      <w:proofErr w:type="gramStart"/>
      <w:r>
        <w:t>From</w:t>
      </w:r>
      <w:proofErr w:type="gramEnd"/>
      <w:r>
        <w:t xml:space="preserve"> Coronary CT Angiography for Detection of Lesion-Specific Ischemia: A Multi-Center Study and Meta-Analysis. European Journal of Radiology, 116: 90–97.</w:t>
      </w:r>
    </w:p>
    <w:p w14:paraId="725E36EB" w14:textId="02D24894" w:rsidR="00A97D92" w:rsidRDefault="00A97D92" w:rsidP="00A97D92">
      <w:pPr>
        <w:ind w:left="454" w:hanging="454"/>
      </w:pPr>
      <w:r>
        <w:t>[20]</w:t>
      </w:r>
      <w:r w:rsidR="007C6A60">
        <w:tab/>
      </w:r>
      <w:r>
        <w:t xml:space="preserve">Guo W, Zhao S, Xu H, et al., 2024, Comparison of Machine Learning-Based CT Fractional Flow Reserve </w:t>
      </w:r>
      <w:proofErr w:type="gramStart"/>
      <w:r>
        <w:t>With</w:t>
      </w:r>
      <w:proofErr w:type="gramEnd"/>
      <w:r>
        <w:t xml:space="preserve"> Cardiac MR Perfusion Mapping for Ischemia Diagnosis in Stable Coronary Artery Disease. European Radiology, 34(9): 5654–5665.</w:t>
      </w:r>
    </w:p>
    <w:p w14:paraId="45AD50E9" w14:textId="7E973FFC" w:rsidR="00A97D92" w:rsidRDefault="00A97D92" w:rsidP="00A97D92">
      <w:pPr>
        <w:ind w:left="454" w:hanging="454"/>
      </w:pPr>
      <w:r>
        <w:t>[21]</w:t>
      </w:r>
      <w:r w:rsidR="007C6A60">
        <w:tab/>
      </w:r>
      <w:r>
        <w:t>Ma Z, Tu C, Zhang B, et al., 2024, A Meta-Analysis Comparing the Diagnostic Performance of Computed Tomography-Derived Fractional Flow Reserve and Coronary Computed Tomography Angiography at Different Levels of Coronary Artery Calcium Score. European Radiology, 34(9): 5621–5632.</w:t>
      </w:r>
    </w:p>
    <w:p w14:paraId="6C2585AC" w14:textId="43AABDD9" w:rsidR="00A97D92" w:rsidRDefault="00A97D92" w:rsidP="00A97D92">
      <w:pPr>
        <w:ind w:left="454" w:hanging="454"/>
      </w:pPr>
      <w:r>
        <w:t>[22]</w:t>
      </w:r>
      <w:r w:rsidR="007C6A60">
        <w:tab/>
      </w:r>
      <w:proofErr w:type="spellStart"/>
      <w:r>
        <w:t>Tesche</w:t>
      </w:r>
      <w:proofErr w:type="spellEnd"/>
      <w:r>
        <w:t xml:space="preserve"> C, Otani K, De CCN, et al., 2020, Influence of Coronary Calcium on Diagnostic Performance of Machine Learning CT-FFR. JACC: Cardiovascular Imaging, 13(3): 760–770.</w:t>
      </w:r>
    </w:p>
    <w:p w14:paraId="101F79EF" w14:textId="1BF488E9" w:rsidR="00A97D92" w:rsidRDefault="00A97D92" w:rsidP="00A97D92">
      <w:pPr>
        <w:ind w:left="454" w:hanging="454"/>
      </w:pPr>
      <w:r>
        <w:t>[23]</w:t>
      </w:r>
      <w:r w:rsidR="007C6A60">
        <w:tab/>
      </w:r>
      <w:r>
        <w:t xml:space="preserve">Sidhu R, </w:t>
      </w:r>
      <w:proofErr w:type="spellStart"/>
      <w:r>
        <w:t>Kosturakis</w:t>
      </w:r>
      <w:proofErr w:type="spellEnd"/>
      <w:r>
        <w:t xml:space="preserve"> R, Almeida S, et al., 2019, TCT-202 Predicting Revascularization Rate of Positive CT-FFR vs. Invasive FFR in Elevated Coronary Calcium Score. Journal of the American College of Cardiology, 74(13, Supplement): B201.</w:t>
      </w:r>
    </w:p>
    <w:p w14:paraId="5BABCD06" w14:textId="119563F9" w:rsidR="00A97D92" w:rsidRDefault="00A97D92" w:rsidP="00A97D92">
      <w:pPr>
        <w:ind w:left="454" w:hanging="454"/>
      </w:pPr>
      <w:r>
        <w:t>[24]</w:t>
      </w:r>
      <w:r w:rsidR="007C6A60">
        <w:tab/>
      </w:r>
      <w:r>
        <w:t>Tang CX, Liu CY, Lu MJ, et al., 2020, CT FFR for Ischemia-Specific CAD With a New Computational Fluid Dynamics Algorithm. JACC: Cardiovascular Imaging, 13(4): 980–990.</w:t>
      </w:r>
    </w:p>
    <w:p w14:paraId="3CAC87C8" w14:textId="5EDE99F9" w:rsidR="00A97D92" w:rsidRDefault="00A97D92" w:rsidP="00A97D92">
      <w:pPr>
        <w:ind w:left="454" w:hanging="454"/>
      </w:pPr>
      <w:r>
        <w:t>[25]</w:t>
      </w:r>
      <w:r w:rsidR="007C6A60">
        <w:tab/>
      </w:r>
      <w:r>
        <w:t xml:space="preserve">Xu PP, Li JH, Zhou F, et al., 2020, The Influence of Image Quality on Diagnostic Performance of a Machine Learning-Based Fractional Flow Reserve Derived </w:t>
      </w:r>
      <w:proofErr w:type="gramStart"/>
      <w:r>
        <w:t>From</w:t>
      </w:r>
      <w:proofErr w:type="gramEnd"/>
      <w:r>
        <w:t xml:space="preserve"> Coronary CT Angiography. European Radiology, 30(5): 2525–2534.</w:t>
      </w:r>
    </w:p>
    <w:p w14:paraId="11571EAC" w14:textId="631DF533" w:rsidR="00A97D92" w:rsidRDefault="00A97D92" w:rsidP="00A97D92">
      <w:pPr>
        <w:ind w:left="454" w:hanging="454"/>
      </w:pPr>
      <w:r>
        <w:t>[26]</w:t>
      </w:r>
      <w:r w:rsidR="007C6A60">
        <w:tab/>
      </w:r>
      <w:r>
        <w:t xml:space="preserve">Meyer M, Henzler T, 2017, </w:t>
      </w:r>
      <w:proofErr w:type="spellStart"/>
      <w:r>
        <w:t>Stellenwert</w:t>
      </w:r>
      <w:proofErr w:type="spellEnd"/>
      <w:r>
        <w:t xml:space="preserve"> Der Herz-CT in Der </w:t>
      </w:r>
      <w:proofErr w:type="spellStart"/>
      <w:r>
        <w:t>Diagnostik</w:t>
      </w:r>
      <w:proofErr w:type="spellEnd"/>
      <w:r>
        <w:t xml:space="preserve"> Der </w:t>
      </w:r>
      <w:proofErr w:type="spellStart"/>
      <w:r>
        <w:t>Koronaren</w:t>
      </w:r>
      <w:proofErr w:type="spellEnd"/>
      <w:r>
        <w:t xml:space="preserve"> </w:t>
      </w:r>
      <w:proofErr w:type="spellStart"/>
      <w:r>
        <w:t>Herzerkrankung</w:t>
      </w:r>
      <w:proofErr w:type="spellEnd"/>
      <w:r>
        <w:t xml:space="preserve">. </w:t>
      </w:r>
      <w:proofErr w:type="spellStart"/>
      <w:r>
        <w:t>Zeitschrift</w:t>
      </w:r>
      <w:proofErr w:type="spellEnd"/>
      <w:r>
        <w:t xml:space="preserve"> für Herz-, Thorax- und </w:t>
      </w:r>
      <w:proofErr w:type="spellStart"/>
      <w:r>
        <w:t>Gefäßchirurgie</w:t>
      </w:r>
      <w:proofErr w:type="spellEnd"/>
      <w:r>
        <w:t>, 31(6): 379–391.</w:t>
      </w:r>
    </w:p>
    <w:p w14:paraId="01D8CD93" w14:textId="0D8841AD" w:rsidR="00A97D92" w:rsidRDefault="00A97D92" w:rsidP="00A97D92">
      <w:pPr>
        <w:ind w:left="454" w:hanging="454"/>
      </w:pPr>
      <w:r>
        <w:t>[27]</w:t>
      </w:r>
      <w:r w:rsidR="007C6A60">
        <w:tab/>
      </w:r>
      <w:r>
        <w:t>Zdanowicz A, Guzinski M, Pula M, et al., 2023, Dynamic CT Myocardial Perfusion: The Role of Functional Evaluation in the Diagnosis of Coronary Artery Disease. Journal of Clinical Medicine, 12(22): 7062.</w:t>
      </w:r>
    </w:p>
    <w:p w14:paraId="1239A497" w14:textId="3B529F77" w:rsidR="00A97D92" w:rsidRDefault="00A97D92" w:rsidP="00A97D92">
      <w:pPr>
        <w:ind w:left="454" w:hanging="454"/>
      </w:pPr>
      <w:r>
        <w:t>[28]</w:t>
      </w:r>
      <w:r w:rsidR="007C6A60">
        <w:tab/>
      </w:r>
      <w:proofErr w:type="spellStart"/>
      <w:r>
        <w:t>Seitun</w:t>
      </w:r>
      <w:proofErr w:type="spellEnd"/>
      <w:r>
        <w:t xml:space="preserve"> S, De Lorenzi C, </w:t>
      </w:r>
      <w:proofErr w:type="spellStart"/>
      <w:r>
        <w:t>Cademartiri</w:t>
      </w:r>
      <w:proofErr w:type="spellEnd"/>
      <w:r>
        <w:t xml:space="preserve"> F, et al., 2018, CT Myocardial Perfusion Imaging: A New Frontier in Cardiac Imaging. BioMed Research International, 2018(1): 7295460.</w:t>
      </w:r>
    </w:p>
    <w:p w14:paraId="70BC7F87" w14:textId="38B0425B" w:rsidR="00A97D92" w:rsidRDefault="00A97D92" w:rsidP="00A97D92">
      <w:pPr>
        <w:ind w:left="454" w:hanging="454"/>
      </w:pPr>
      <w:r>
        <w:t>[29]</w:t>
      </w:r>
      <w:r w:rsidR="007C6A60">
        <w:tab/>
      </w:r>
      <w:r>
        <w:t>Shah SM, Pfau SE, 2019, Coronary Physiology in the Cardiac Catheterization Laboratory. Journal of Clinical Medicine, 8(2): 255.</w:t>
      </w:r>
    </w:p>
    <w:p w14:paraId="52E9F16D" w14:textId="132C410B" w:rsidR="00A97D92" w:rsidRDefault="00A97D92" w:rsidP="00A97D92">
      <w:pPr>
        <w:ind w:left="454" w:hanging="454"/>
      </w:pPr>
      <w:r>
        <w:t>[30]</w:t>
      </w:r>
      <w:r w:rsidR="007C6A60">
        <w:tab/>
      </w:r>
      <w:r>
        <w:t xml:space="preserve">Ma M, Hu Y, Shang S, et al., 2024, Dynamic CT Myocardial Perfusion Combined </w:t>
      </w:r>
      <w:proofErr w:type="gramStart"/>
      <w:r>
        <w:t>With</w:t>
      </w:r>
      <w:proofErr w:type="gramEnd"/>
      <w:r>
        <w:t xml:space="preserve"> Coronary CT Angiography for Detecting Hemodynamical Significance of Coronary Artery Stenosis: A Comparative Study. Scientific Reports, 14(1): 28153.</w:t>
      </w:r>
    </w:p>
    <w:p w14:paraId="6C0766EE" w14:textId="5917938F" w:rsidR="00A97D92" w:rsidRDefault="00A97D92" w:rsidP="00A97D92">
      <w:pPr>
        <w:ind w:left="454" w:hanging="454"/>
      </w:pPr>
      <w:r>
        <w:t>[31]</w:t>
      </w:r>
      <w:r w:rsidR="007C6A60">
        <w:tab/>
      </w:r>
      <w:proofErr w:type="spellStart"/>
      <w:r>
        <w:t>Sliwicka</w:t>
      </w:r>
      <w:proofErr w:type="spellEnd"/>
      <w:r>
        <w:t xml:space="preserve"> O, </w:t>
      </w:r>
      <w:proofErr w:type="spellStart"/>
      <w:r>
        <w:t>Sechopoulos</w:t>
      </w:r>
      <w:proofErr w:type="spellEnd"/>
      <w:r>
        <w:t xml:space="preserve"> I, </w:t>
      </w:r>
      <w:proofErr w:type="spellStart"/>
      <w:r>
        <w:t>Baggiano</w:t>
      </w:r>
      <w:proofErr w:type="spellEnd"/>
      <w:r>
        <w:t xml:space="preserve"> A, et al., 2023, Dynamic Myocardial CT Perfusion—State of the Art. European Radiology, 33(8): 5509–5525.</w:t>
      </w:r>
    </w:p>
    <w:p w14:paraId="16866B02" w14:textId="371BFB3D" w:rsidR="00A97D92" w:rsidRDefault="00A97D92" w:rsidP="00A97D92">
      <w:pPr>
        <w:ind w:left="454" w:hanging="454"/>
      </w:pPr>
      <w:r>
        <w:t>[32]</w:t>
      </w:r>
      <w:r w:rsidR="007C6A60">
        <w:tab/>
      </w:r>
      <w:r>
        <w:t>Kitagawa K, Nakamura S, Ota H, et al., 2021, Diagnostic Performance of Dynamic Myocardial Perfusion Imaging Using Dual-Source Computed Tomography. Journal of the American College of Cardiology, 78(20): 1937–1949.</w:t>
      </w:r>
    </w:p>
    <w:p w14:paraId="20A6C4EC" w14:textId="7C0B71ED" w:rsidR="00A97D92" w:rsidRDefault="00A97D92" w:rsidP="00A97D92">
      <w:pPr>
        <w:ind w:left="454" w:hanging="454"/>
      </w:pPr>
      <w:r>
        <w:t>[33]</w:t>
      </w:r>
      <w:r w:rsidR="007C6A60">
        <w:tab/>
      </w:r>
      <w:r>
        <w:t xml:space="preserve">Pontone G, </w:t>
      </w:r>
      <w:proofErr w:type="spellStart"/>
      <w:r>
        <w:t>Baggiano</w:t>
      </w:r>
      <w:proofErr w:type="spellEnd"/>
      <w:r>
        <w:t xml:space="preserve"> A, Andreini D, et al., 2019, Stress Computed Tomography Perfusion Versus Fractional Flow Reserve CT Derived in Suspected Coronary Artery Disease: The PERFECTION Study. JACC: Cardiovascular Imaging, 12(8, Part 1): 1487–1497.</w:t>
      </w:r>
    </w:p>
    <w:p w14:paraId="20A5C163" w14:textId="648A68C9" w:rsidR="00A97D92" w:rsidRDefault="00A97D92" w:rsidP="00A97D92">
      <w:pPr>
        <w:ind w:left="454" w:hanging="454"/>
      </w:pPr>
      <w:r>
        <w:t>[34]</w:t>
      </w:r>
      <w:r w:rsidR="007C6A60">
        <w:tab/>
      </w:r>
      <w:r>
        <w:t xml:space="preserve">Dewey M, </w:t>
      </w:r>
      <w:proofErr w:type="spellStart"/>
      <w:r>
        <w:t>Siebes</w:t>
      </w:r>
      <w:proofErr w:type="spellEnd"/>
      <w:r>
        <w:t xml:space="preserve"> M, </w:t>
      </w:r>
      <w:proofErr w:type="spellStart"/>
      <w:r>
        <w:t>Kachelrieß</w:t>
      </w:r>
      <w:proofErr w:type="spellEnd"/>
      <w:r>
        <w:t xml:space="preserve"> M, et al., 2020, Clinical Quantitative Cardiac Imaging for the Assessment of Myocardial </w:t>
      </w:r>
      <w:proofErr w:type="spellStart"/>
      <w:r>
        <w:t>Ischaemia</w:t>
      </w:r>
      <w:proofErr w:type="spellEnd"/>
      <w:r>
        <w:t>. Nature Reviews Cardiology, 17(7): 427–450.</w:t>
      </w:r>
    </w:p>
    <w:p w14:paraId="0F3D9EE0" w14:textId="5F10103A" w:rsidR="00A97D92" w:rsidRDefault="00A97D92" w:rsidP="00A97D92">
      <w:pPr>
        <w:ind w:left="454" w:hanging="454"/>
      </w:pPr>
      <w:r>
        <w:lastRenderedPageBreak/>
        <w:t>[35]</w:t>
      </w:r>
      <w:r w:rsidR="007C6A60">
        <w:tab/>
      </w:r>
      <w:r>
        <w:t xml:space="preserve">Dewey M, </w:t>
      </w:r>
      <w:proofErr w:type="spellStart"/>
      <w:r>
        <w:t>Rochitte</w:t>
      </w:r>
      <w:proofErr w:type="spellEnd"/>
      <w:r>
        <w:t xml:space="preserve"> CE, </w:t>
      </w:r>
      <w:proofErr w:type="spellStart"/>
      <w:r>
        <w:t>Ostovaneh</w:t>
      </w:r>
      <w:proofErr w:type="spellEnd"/>
      <w:r>
        <w:t xml:space="preserve"> MR, et al., 2021, Prognostic Value of Noninvasive Combined Anatomic/Functional Assessment by Cardiac CT in Patients </w:t>
      </w:r>
      <w:proofErr w:type="gramStart"/>
      <w:r>
        <w:t>With</w:t>
      </w:r>
      <w:proofErr w:type="gramEnd"/>
      <w:r>
        <w:t xml:space="preserve"> Suspected Coronary Artery Disease—Comparison </w:t>
      </w:r>
      <w:proofErr w:type="gramStart"/>
      <w:r>
        <w:t>With</w:t>
      </w:r>
      <w:proofErr w:type="gramEnd"/>
      <w:r>
        <w:t xml:space="preserve"> Invasive Coronary Angiography and Nuclear Myocardial Perfusion Imaging for the Five-Year Follow-Up of the CORE320 Multicenter Study. Journal of Cardiovascular Computed Tomography, 15(6): 485–491.</w:t>
      </w:r>
    </w:p>
    <w:p w14:paraId="317FAED5" w14:textId="6A367194" w:rsidR="00A97D92" w:rsidRDefault="00A97D92" w:rsidP="00A97D92">
      <w:pPr>
        <w:ind w:left="454" w:hanging="454"/>
      </w:pPr>
      <w:r>
        <w:t>[36]</w:t>
      </w:r>
      <w:r w:rsidR="007C6A60">
        <w:tab/>
      </w:r>
      <w:r>
        <w:t xml:space="preserve">Pontone G, </w:t>
      </w:r>
      <w:proofErr w:type="spellStart"/>
      <w:r>
        <w:t>Baggiano</w:t>
      </w:r>
      <w:proofErr w:type="spellEnd"/>
      <w:r>
        <w:t xml:space="preserve"> A, Andreini D, et al., 2019, Dynamic Stress Computed Tomography Perfusion </w:t>
      </w:r>
      <w:proofErr w:type="gramStart"/>
      <w:r>
        <w:t>With</w:t>
      </w:r>
      <w:proofErr w:type="gramEnd"/>
      <w:r>
        <w:t xml:space="preserve"> a Whole-Heart Coverage Scanner in Addition to Coronary Computed Tomography Angiography and Fractional Flow Reserve Computed Tomography Derived. JACC: Cardiovascular Imaging, 12(12): 2460–2471.</w:t>
      </w:r>
    </w:p>
    <w:p w14:paraId="1063BB01" w14:textId="5C35FB0B" w:rsidR="00A97D92" w:rsidRDefault="00A97D92" w:rsidP="00A97D92">
      <w:pPr>
        <w:ind w:left="454" w:hanging="454"/>
      </w:pPr>
      <w:r>
        <w:t>[37]</w:t>
      </w:r>
      <w:r w:rsidR="007C6A60">
        <w:tab/>
      </w:r>
      <w:r>
        <w:t>Geng W, Gao Y, Zhao N, et al., 2022, Dose Reduction of Dynamic Computed Tomography Myocardial Perfusion Imaging by Tube Voltage Change: Investigation in a Swine Model. Frontiers in Cardiovascular Medicine, 2022</w:t>
      </w:r>
      <w:r w:rsidR="007C6A60">
        <w:rPr>
          <w:lang w:val="en-MY"/>
        </w:rPr>
        <w:t>:</w:t>
      </w:r>
      <w:r>
        <w:t xml:space="preserve"> 9.</w:t>
      </w:r>
    </w:p>
    <w:p w14:paraId="7EE1530C" w14:textId="321C19EF" w:rsidR="00A97D92" w:rsidRDefault="00A97D92" w:rsidP="00A97D92">
      <w:pPr>
        <w:ind w:left="454" w:hanging="454"/>
      </w:pPr>
      <w:r>
        <w:t>[38]</w:t>
      </w:r>
      <w:r w:rsidR="007C6A60">
        <w:tab/>
      </w:r>
      <w:r>
        <w:t xml:space="preserve">Stålhammar F, </w:t>
      </w:r>
      <w:proofErr w:type="spellStart"/>
      <w:r>
        <w:t>Aurumskjöld</w:t>
      </w:r>
      <w:proofErr w:type="spellEnd"/>
      <w:r>
        <w:t xml:space="preserve"> ML, Meyer S, et al., 2024, Photon-Counting Computed Tomography for </w:t>
      </w:r>
      <w:proofErr w:type="spellStart"/>
      <w:r>
        <w:t>Paediatric</w:t>
      </w:r>
      <w:proofErr w:type="spellEnd"/>
      <w:r>
        <w:t xml:space="preserve"> Congenital Heart Defects Yields Images of High Diagnostic Quality </w:t>
      </w:r>
      <w:proofErr w:type="gramStart"/>
      <w:r>
        <w:t>With</w:t>
      </w:r>
      <w:proofErr w:type="gramEnd"/>
      <w:r>
        <w:t xml:space="preserve"> Low Radiation Doses at Both 70 kV and 90 kV. Pediatric Radiology, 54(7): 1187–1196.</w:t>
      </w:r>
    </w:p>
    <w:p w14:paraId="664D1A31" w14:textId="77777777" w:rsidR="00A97D92" w:rsidRDefault="00A97D92" w:rsidP="00A97D92"/>
    <w:p w14:paraId="36F2B40D" w14:textId="77777777" w:rsidR="00A97D92" w:rsidRDefault="00A97D92" w:rsidP="00A97D92">
      <w:pPr>
        <w:widowControl/>
        <w:autoSpaceDE w:val="0"/>
        <w:autoSpaceDN w:val="0"/>
        <w:snapToGrid/>
        <w:jc w:val="left"/>
        <w:rPr>
          <w:rFonts w:eastAsia="SimSun"/>
          <w:b/>
          <w:bCs/>
          <w:kern w:val="0"/>
          <w:sz w:val="20"/>
          <w:lang w:eastAsia="en-US"/>
        </w:rPr>
      </w:pPr>
      <w:r>
        <w:rPr>
          <w:rFonts w:eastAsia="SimSun"/>
          <w:b/>
          <w:bCs/>
          <w:kern w:val="0"/>
          <w:sz w:val="20"/>
          <w:lang w:eastAsia="en-US"/>
        </w:rPr>
        <w:t>Publisher’s note</w:t>
      </w:r>
    </w:p>
    <w:p w14:paraId="17F21FEE" w14:textId="77777777" w:rsidR="00A97D92" w:rsidRDefault="00A97D92" w:rsidP="00A97D92">
      <w:pPr>
        <w:adjustRightInd/>
        <w:snapToGrid/>
      </w:pPr>
      <w:r>
        <w:rPr>
          <w:rFonts w:eastAsia="SimSun"/>
          <w:kern w:val="0"/>
          <w:sz w:val="20"/>
          <w:lang w:eastAsia="en-US"/>
        </w:rPr>
        <w:t>Bio-Byword Scientific Publishing remains neutral with regard to jurisdictional claims in published maps and institutional affiliations.</w:t>
      </w:r>
      <w:r w:rsidRPr="00471541">
        <w:t xml:space="preserve"> </w:t>
      </w:r>
    </w:p>
    <w:bookmarkEnd w:id="8"/>
    <w:p w14:paraId="5DD321EC" w14:textId="77777777" w:rsidR="00CF56C8" w:rsidRPr="00A97D92" w:rsidRDefault="00CF56C8" w:rsidP="00E20574">
      <w:pPr>
        <w:rPr>
          <w:rFonts w:eastAsia="Times New Roman" w:cs="Times New Roman"/>
          <w:color w:val="231F20"/>
          <w:spacing w:val="-6"/>
          <w:szCs w:val="24"/>
          <w:lang w:bidi="zh-CN"/>
        </w:rPr>
      </w:pPr>
    </w:p>
    <w:sectPr w:rsidR="00CF56C8" w:rsidRPr="00A97D92" w:rsidSect="00E20574">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818"/>
    <w:rsid w:val="00016B06"/>
    <w:rsid w:val="00036EC9"/>
    <w:rsid w:val="00040D0D"/>
    <w:rsid w:val="00081D31"/>
    <w:rsid w:val="0008215B"/>
    <w:rsid w:val="000826DA"/>
    <w:rsid w:val="000860C2"/>
    <w:rsid w:val="000912D3"/>
    <w:rsid w:val="000C1F71"/>
    <w:rsid w:val="000E0E9C"/>
    <w:rsid w:val="00110A11"/>
    <w:rsid w:val="00113452"/>
    <w:rsid w:val="00122D97"/>
    <w:rsid w:val="001678F8"/>
    <w:rsid w:val="00184E12"/>
    <w:rsid w:val="001A187E"/>
    <w:rsid w:val="001A3043"/>
    <w:rsid w:val="001E6D73"/>
    <w:rsid w:val="002122FA"/>
    <w:rsid w:val="002341BC"/>
    <w:rsid w:val="00237648"/>
    <w:rsid w:val="0024326B"/>
    <w:rsid w:val="00265B97"/>
    <w:rsid w:val="00270880"/>
    <w:rsid w:val="0027264C"/>
    <w:rsid w:val="002753D4"/>
    <w:rsid w:val="0029672C"/>
    <w:rsid w:val="002F0EA1"/>
    <w:rsid w:val="00305266"/>
    <w:rsid w:val="00317EA5"/>
    <w:rsid w:val="00326F6D"/>
    <w:rsid w:val="00360F18"/>
    <w:rsid w:val="00426848"/>
    <w:rsid w:val="00464B22"/>
    <w:rsid w:val="004737A3"/>
    <w:rsid w:val="00476B3C"/>
    <w:rsid w:val="004A328C"/>
    <w:rsid w:val="004B293C"/>
    <w:rsid w:val="004C3378"/>
    <w:rsid w:val="004C3E3E"/>
    <w:rsid w:val="00517038"/>
    <w:rsid w:val="00523BF8"/>
    <w:rsid w:val="0053480D"/>
    <w:rsid w:val="005443CC"/>
    <w:rsid w:val="005511FE"/>
    <w:rsid w:val="0057307E"/>
    <w:rsid w:val="005765C8"/>
    <w:rsid w:val="0059306A"/>
    <w:rsid w:val="005D41F7"/>
    <w:rsid w:val="005E2215"/>
    <w:rsid w:val="00610225"/>
    <w:rsid w:val="00612638"/>
    <w:rsid w:val="0061440F"/>
    <w:rsid w:val="00620A05"/>
    <w:rsid w:val="00622368"/>
    <w:rsid w:val="00625AD4"/>
    <w:rsid w:val="006440E4"/>
    <w:rsid w:val="00656582"/>
    <w:rsid w:val="00671E64"/>
    <w:rsid w:val="006A2097"/>
    <w:rsid w:val="006A7E95"/>
    <w:rsid w:val="006B2703"/>
    <w:rsid w:val="006C0A62"/>
    <w:rsid w:val="006C20E3"/>
    <w:rsid w:val="006C6568"/>
    <w:rsid w:val="006D3E08"/>
    <w:rsid w:val="006D70A3"/>
    <w:rsid w:val="006F1EDF"/>
    <w:rsid w:val="00722638"/>
    <w:rsid w:val="00761A69"/>
    <w:rsid w:val="007722AB"/>
    <w:rsid w:val="00772FB2"/>
    <w:rsid w:val="00772FE1"/>
    <w:rsid w:val="007A2CC3"/>
    <w:rsid w:val="007B4A90"/>
    <w:rsid w:val="007C6A60"/>
    <w:rsid w:val="007C7D78"/>
    <w:rsid w:val="007D023D"/>
    <w:rsid w:val="00804818"/>
    <w:rsid w:val="008059BE"/>
    <w:rsid w:val="008135F8"/>
    <w:rsid w:val="00826E0F"/>
    <w:rsid w:val="00850963"/>
    <w:rsid w:val="0086729E"/>
    <w:rsid w:val="00870545"/>
    <w:rsid w:val="008E1363"/>
    <w:rsid w:val="008E5C3B"/>
    <w:rsid w:val="008F13D6"/>
    <w:rsid w:val="00903F3F"/>
    <w:rsid w:val="00960C8E"/>
    <w:rsid w:val="00965BA2"/>
    <w:rsid w:val="009800E8"/>
    <w:rsid w:val="009904C9"/>
    <w:rsid w:val="009B6F25"/>
    <w:rsid w:val="00A00F84"/>
    <w:rsid w:val="00A328E5"/>
    <w:rsid w:val="00A33A6F"/>
    <w:rsid w:val="00A566A3"/>
    <w:rsid w:val="00A65317"/>
    <w:rsid w:val="00A708F3"/>
    <w:rsid w:val="00A75353"/>
    <w:rsid w:val="00A75B0B"/>
    <w:rsid w:val="00A77C58"/>
    <w:rsid w:val="00A97D92"/>
    <w:rsid w:val="00AC6FD4"/>
    <w:rsid w:val="00AD31E6"/>
    <w:rsid w:val="00AD5C92"/>
    <w:rsid w:val="00B30EBF"/>
    <w:rsid w:val="00B46A43"/>
    <w:rsid w:val="00B73B75"/>
    <w:rsid w:val="00B9581C"/>
    <w:rsid w:val="00BE174D"/>
    <w:rsid w:val="00C176B2"/>
    <w:rsid w:val="00C35031"/>
    <w:rsid w:val="00C520A8"/>
    <w:rsid w:val="00C712B7"/>
    <w:rsid w:val="00C800CA"/>
    <w:rsid w:val="00CB738C"/>
    <w:rsid w:val="00CE6173"/>
    <w:rsid w:val="00CF56C8"/>
    <w:rsid w:val="00D13D82"/>
    <w:rsid w:val="00D24CCE"/>
    <w:rsid w:val="00D60104"/>
    <w:rsid w:val="00D634FB"/>
    <w:rsid w:val="00D942B0"/>
    <w:rsid w:val="00DA6435"/>
    <w:rsid w:val="00DC3C5B"/>
    <w:rsid w:val="00DD0AE9"/>
    <w:rsid w:val="00DF1E58"/>
    <w:rsid w:val="00E065FD"/>
    <w:rsid w:val="00E20574"/>
    <w:rsid w:val="00E212D8"/>
    <w:rsid w:val="00E32E61"/>
    <w:rsid w:val="00E36F17"/>
    <w:rsid w:val="00E45DCF"/>
    <w:rsid w:val="00E64EA0"/>
    <w:rsid w:val="00E77EFB"/>
    <w:rsid w:val="00E9298D"/>
    <w:rsid w:val="00E962D5"/>
    <w:rsid w:val="00EA7F23"/>
    <w:rsid w:val="00EE780C"/>
    <w:rsid w:val="00EF1E5F"/>
    <w:rsid w:val="00EF6DD9"/>
    <w:rsid w:val="00F31300"/>
    <w:rsid w:val="00F343EC"/>
    <w:rsid w:val="00F35D54"/>
    <w:rsid w:val="00F364FF"/>
    <w:rsid w:val="00F43BE7"/>
    <w:rsid w:val="00F560C8"/>
    <w:rsid w:val="00F65B7E"/>
    <w:rsid w:val="00F85AA2"/>
    <w:rsid w:val="00F921AF"/>
    <w:rsid w:val="00F95A78"/>
    <w:rsid w:val="00FC1E59"/>
    <w:rsid w:val="2B763E6E"/>
    <w:rsid w:val="66786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A23BF"/>
  <w15:docId w15:val="{44FBD081-4E94-4F21-B7EF-6296951D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D92"/>
    <w:pPr>
      <w:widowControl w:val="0"/>
      <w:suppressAutoHyphens/>
      <w:adjustRightInd w:val="0"/>
      <w:snapToGrid w:val="0"/>
      <w:jc w:val="both"/>
    </w:pPr>
    <w:rPr>
      <w:rFonts w:ascii="Times New Roman" w:hAnsi="Times New Roman"/>
      <w:kern w:val="2"/>
      <w:sz w:val="24"/>
      <w:szCs w:val="22"/>
      <w:lang w:val="en-US"/>
    </w:rPr>
  </w:style>
  <w:style w:type="paragraph" w:styleId="Heading1">
    <w:name w:val="heading 1"/>
    <w:basedOn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qFormat/>
    <w:pPr>
      <w:jc w:val="left"/>
    </w:pPr>
  </w:style>
  <w:style w:type="paragraph" w:styleId="BodyText">
    <w:name w:val="Body Text"/>
    <w:basedOn w:val="Normal"/>
    <w:uiPriority w:val="1"/>
    <w:qFormat/>
    <w:rPr>
      <w:rFonts w:eastAsia="Times New Roman" w:cs="Times New Roman"/>
      <w:sz w:val="20"/>
      <w:szCs w:val="20"/>
      <w:lang w:val="zh-CN" w:bidi="zh-CN"/>
    </w:rPr>
  </w:style>
  <w:style w:type="paragraph" w:styleId="Footer">
    <w:name w:val="footer"/>
    <w:basedOn w:val="Normal"/>
    <w:link w:val="FooterChar"/>
    <w:uiPriority w:val="99"/>
    <w:unhideWhenUsed/>
    <w:qFormat/>
    <w:pPr>
      <w:tabs>
        <w:tab w:val="center" w:pos="4153"/>
        <w:tab w:val="right" w:pos="8306"/>
      </w:tabs>
      <w:jc w:val="left"/>
    </w:pPr>
    <w:rPr>
      <w:sz w:val="18"/>
      <w:szCs w:val="18"/>
    </w:rPr>
  </w:style>
  <w:style w:type="paragraph" w:styleId="Header">
    <w:name w:val="header"/>
    <w:basedOn w:val="Normal"/>
    <w:link w:val="HeaderChar"/>
    <w:uiPriority w:val="99"/>
    <w:unhideWhenUsed/>
    <w:qFormat/>
    <w:pPr>
      <w:tabs>
        <w:tab w:val="center" w:pos="4153"/>
        <w:tab w:val="right" w:pos="8306"/>
      </w:tabs>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HTMLPreformatted">
    <w:name w:val="HTML Preformatted"/>
    <w:basedOn w:val="Normal"/>
    <w:link w:val="HTMLPreformattedChar"/>
    <w:uiPriority w:val="99"/>
    <w:semiHidden/>
    <w:unhideWhenUsed/>
    <w:qFormat/>
    <w:rPr>
      <w:rFonts w:ascii="Courier New" w:hAnsi="Courier New" w:cs="Courier New"/>
      <w:sz w:val="20"/>
      <w:szCs w:val="20"/>
    </w:rPr>
  </w:style>
  <w:style w:type="paragraph" w:styleId="NormalWeb">
    <w:name w:val="Normal (Web)"/>
    <w:basedOn w:val="Normal"/>
    <w:qFormat/>
    <w:pPr>
      <w:spacing w:beforeAutospacing="1" w:afterAutospacing="1"/>
      <w:jc w:val="left"/>
    </w:pPr>
    <w:rPr>
      <w:rFonts w:cs="Times New Roman"/>
      <w:kern w:val="0"/>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467886"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FooterChar">
    <w:name w:val="Footer Char"/>
    <w:basedOn w:val="DefaultParagraphFont"/>
    <w:link w:val="Footer"/>
    <w:uiPriority w:val="99"/>
    <w:qFormat/>
    <w:rPr>
      <w:sz w:val="18"/>
      <w:szCs w:val="18"/>
    </w:rPr>
  </w:style>
  <w:style w:type="character" w:customStyle="1" w:styleId="HeaderChar">
    <w:name w:val="Header Char"/>
    <w:basedOn w:val="DefaultParagraphFont"/>
    <w:link w:val="Header"/>
    <w:uiPriority w:val="99"/>
    <w:qFormat/>
    <w:rPr>
      <w:sz w:val="18"/>
      <w:szCs w:val="18"/>
    </w:rPr>
  </w:style>
  <w:style w:type="character" w:customStyle="1" w:styleId="11">
    <w:name w:val="超链接1"/>
    <w:basedOn w:val="DefaultParagraphFont"/>
    <w:uiPriority w:val="99"/>
    <w:unhideWhenUsed/>
    <w:qFormat/>
    <w:rPr>
      <w:color w:val="467886"/>
      <w:u w:val="single"/>
    </w:rPr>
  </w:style>
  <w:style w:type="character" w:customStyle="1" w:styleId="110">
    <w:name w:val="明显强调11"/>
    <w:basedOn w:val="DefaultParagraphFont"/>
    <w:uiPriority w:val="21"/>
    <w:qFormat/>
    <w:rPr>
      <w:i/>
      <w:iCs/>
      <w:color w:val="0F4761"/>
    </w:rPr>
  </w:style>
  <w:style w:type="character" w:customStyle="1" w:styleId="111">
    <w:name w:val="明显参考11"/>
    <w:basedOn w:val="DefaultParagraphFont"/>
    <w:uiPriority w:val="32"/>
    <w:qFormat/>
    <w:rPr>
      <w:b/>
      <w:bCs/>
      <w:smallCaps/>
      <w:color w:val="0F4761"/>
      <w:spacing w:val="5"/>
    </w:rPr>
  </w:style>
  <w:style w:type="paragraph" w:customStyle="1" w:styleId="12">
    <w:name w:val="书目1"/>
    <w:basedOn w:val="Normal"/>
    <w:next w:val="Normal"/>
    <w:uiPriority w:val="37"/>
    <w:unhideWhenUsed/>
    <w:qFormat/>
    <w:pPr>
      <w:tabs>
        <w:tab w:val="left" w:pos="384"/>
      </w:tabs>
      <w:spacing w:after="240"/>
      <w:ind w:left="384" w:hanging="384"/>
    </w:pPr>
  </w:style>
  <w:style w:type="table" w:customStyle="1" w:styleId="21">
    <w:name w:val="无格式表格 21"/>
    <w:basedOn w:val="TableNormal"/>
    <w:uiPriority w:val="42"/>
    <w:qFormat/>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13">
    <w:name w:val="未处理的提及1"/>
    <w:basedOn w:val="DefaultParagraphFont"/>
    <w:uiPriority w:val="99"/>
    <w:semiHidden/>
    <w:unhideWhenUsed/>
    <w:qFormat/>
    <w:rPr>
      <w:color w:val="605E5C"/>
      <w:shd w:val="clear" w:color="auto" w:fill="E1DFDD"/>
    </w:rPr>
  </w:style>
  <w:style w:type="paragraph" w:customStyle="1" w:styleId="14">
    <w:name w:val="修订1"/>
    <w:hidden/>
    <w:uiPriority w:val="99"/>
    <w:unhideWhenUsed/>
    <w:qFormat/>
    <w:rPr>
      <w:kern w:val="2"/>
      <w:sz w:val="21"/>
      <w:szCs w:val="22"/>
      <w:lang w:val="en-US"/>
    </w:rPr>
  </w:style>
  <w:style w:type="table" w:customStyle="1" w:styleId="22">
    <w:name w:val="无格式表格 22"/>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TMLPreformattedChar">
    <w:name w:val="HTML Preformatted Char"/>
    <w:basedOn w:val="DefaultParagraphFont"/>
    <w:link w:val="HTMLPreformatted"/>
    <w:uiPriority w:val="99"/>
    <w:semiHidden/>
    <w:rPr>
      <w:rFonts w:ascii="Courier New" w:hAnsi="Courier New" w:cs="Courier New"/>
      <w:sz w:val="20"/>
      <w:szCs w:val="20"/>
    </w:rPr>
  </w:style>
  <w:style w:type="paragraph" w:customStyle="1" w:styleId="Bibliography1">
    <w:name w:val="Bibliography1"/>
    <w:basedOn w:val="Normal"/>
    <w:next w:val="Normal"/>
    <w:uiPriority w:val="37"/>
    <w:unhideWhenUsed/>
    <w:qFormat/>
    <w:pPr>
      <w:tabs>
        <w:tab w:val="left" w:pos="504"/>
      </w:tabs>
      <w:ind w:left="504" w:hanging="504"/>
    </w:pPr>
  </w:style>
  <w:style w:type="paragraph" w:styleId="Revision">
    <w:name w:val="Revision"/>
    <w:hidden/>
    <w:uiPriority w:val="99"/>
    <w:unhideWhenUsed/>
    <w:rsid w:val="00A97D92"/>
    <w:rPr>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EDDFE-D5BD-443A-B4C9-BFC768884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4393</Words>
  <Characters>25045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yx0aqjad@outlook.com</dc:creator>
  <cp:lastModifiedBy>Editor J</cp:lastModifiedBy>
  <cp:revision>2</cp:revision>
  <dcterms:created xsi:type="dcterms:W3CDTF">2026-09-17T09:21:00Z</dcterms:created>
  <dcterms:modified xsi:type="dcterms:W3CDTF">2026-09-17T09:21:00Z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2052-12.1.0.28043</vt:lpwstr>
  </property>
  <property fmtid="{D5CDD505-2E9C-101B-9397-08002B2CF9AE}" pid="4" name="ICV">
    <vt:lpwstr>3534BCAE42C84C808DDB6B9F4979033E_12</vt:lpwstr>
  </property>
  <property fmtid="{D5CDD505-2E9C-101B-9397-08002B2CF9AE}" pid="5" name="ZOTERO_PREF_1">
    <vt:lpwstr>&lt;data data-version="3" zotero-version="9.0.6"&gt;&lt;session id="3EKTRIsi"/&gt;&lt;style id="https://www.zotero-chinese.com/styles/GB-T-7714—2015（顺序编码，双语，姓名不大写，无URL、DOI）" hasBibliography="1" bibliographyStyleHasBeenSet="1"/&gt;&lt;prefs&gt;&lt;pref name="fieldType" value="Field"</vt:lpwstr>
  </property>
  <property fmtid="{D5CDD505-2E9C-101B-9397-08002B2CF9AE}" pid="6" name="ZOTERO_PREF_2">
    <vt:lpwstr>/&gt;&lt;/prefs&gt;&lt;/data&gt;</vt:lpwstr>
  </property>
  <property fmtid="{D5CDD505-2E9C-101B-9397-08002B2CF9AE}" pid="7" name="GrammarlyDocumentId">
    <vt:lpwstr>bd502194-12d8-484f-bca6-d0f17f80ebd7</vt:lpwstr>
  </property>
</Properties>
</file>