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80FBE" w14:textId="0A6B057B" w:rsidR="00D70856" w:rsidRPr="00AD2547" w:rsidRDefault="00000000" w:rsidP="00AD2547">
      <w:pPr>
        <w:jc w:val="left"/>
        <w:rPr>
          <w:rFonts w:eastAsia="SimSun" w:cs="Times New Roman"/>
          <w:b/>
          <w:bCs/>
          <w:sz w:val="44"/>
          <w:szCs w:val="44"/>
        </w:rPr>
      </w:pPr>
      <w:r w:rsidRPr="00AD2547">
        <w:rPr>
          <w:rFonts w:cs="Times New Roman"/>
          <w:b/>
          <w:bCs/>
          <w:sz w:val="44"/>
          <w:szCs w:val="44"/>
        </w:rPr>
        <w:t xml:space="preserve">Calculation Method of Coronary Artery OCT Quantitative Flow Fraction (OFR) to Evaluate the Morphological and Functional Effects of Enhanced </w:t>
      </w:r>
      <w:r w:rsidR="006E4E87">
        <w:rPr>
          <w:rFonts w:cs="Times New Roman"/>
          <w:b/>
          <w:bCs/>
          <w:sz w:val="44"/>
          <w:szCs w:val="44"/>
        </w:rPr>
        <w:t>Lipid-Lowering</w:t>
      </w:r>
      <w:r w:rsidRPr="00AD2547">
        <w:rPr>
          <w:rFonts w:cs="Times New Roman"/>
          <w:b/>
          <w:bCs/>
          <w:sz w:val="44"/>
          <w:szCs w:val="44"/>
        </w:rPr>
        <w:t xml:space="preserve"> Therapy on Primary Coronary Vulnerable Plaques</w:t>
      </w:r>
    </w:p>
    <w:p w14:paraId="3B991758" w14:textId="77777777" w:rsidR="00D70856" w:rsidRPr="00AD2547" w:rsidRDefault="00000000" w:rsidP="00120300">
      <w:pPr>
        <w:rPr>
          <w:rFonts w:cs="Times New Roman"/>
          <w:b/>
          <w:bCs/>
        </w:rPr>
      </w:pPr>
      <w:r w:rsidRPr="00AD2547">
        <w:rPr>
          <w:rFonts w:cs="Times New Roman"/>
          <w:b/>
          <w:bCs/>
        </w:rPr>
        <w:t xml:space="preserve">Tianbao Xu, Dong Xu, Jinghe Zhao, Maihemitijiang Keyoumu, Muneer Zairi* </w:t>
      </w:r>
    </w:p>
    <w:p w14:paraId="7D6D823C" w14:textId="77777777" w:rsidR="00D70856" w:rsidRPr="00120300" w:rsidRDefault="00000000" w:rsidP="00120300">
      <w:pPr>
        <w:rPr>
          <w:rFonts w:cs="Times New Roman"/>
        </w:rPr>
      </w:pPr>
      <w:r w:rsidRPr="00120300">
        <w:rPr>
          <w:rFonts w:cs="Times New Roman"/>
        </w:rPr>
        <w:t xml:space="preserve">Kizilsu Prefecture People’s Hospital, Kizilsu 845350, Xinjiang Uygur Autonomous Region, China </w:t>
      </w:r>
    </w:p>
    <w:p w14:paraId="26F88683" w14:textId="77777777" w:rsidR="00120300" w:rsidRPr="003017C3" w:rsidRDefault="00120300" w:rsidP="00120300">
      <w:pPr>
        <w:rPr>
          <w:rFonts w:eastAsia="DengXian"/>
          <w:b/>
          <w:bCs/>
          <w:i/>
          <w:iCs/>
          <w:kern w:val="0"/>
        </w:rPr>
      </w:pPr>
      <w:r w:rsidRPr="003017C3">
        <w:rPr>
          <w:rFonts w:eastAsia="DengXian"/>
          <w:b/>
          <w:bCs/>
          <w:i/>
          <w:iCs/>
          <w:kern w:val="0"/>
          <w:lang w:bidi="ar"/>
        </w:rPr>
        <w:t>*Author to whom correspondence should be addressed</w:t>
      </w:r>
      <w:r w:rsidRPr="004636F6">
        <w:rPr>
          <w:rFonts w:eastAsia="DengXian"/>
          <w:b/>
          <w:bCs/>
          <w:i/>
          <w:iCs/>
          <w:kern w:val="0"/>
          <w:lang w:bidi="ar"/>
        </w:rPr>
        <w:t>.</w:t>
      </w:r>
    </w:p>
    <w:p w14:paraId="274D06E4" w14:textId="77777777" w:rsidR="00120300" w:rsidRDefault="00120300" w:rsidP="00120300">
      <w:pPr>
        <w:rPr>
          <w:highlight w:val="yellow"/>
        </w:rPr>
      </w:pPr>
    </w:p>
    <w:p w14:paraId="510E0E40" w14:textId="77777777" w:rsidR="00120300" w:rsidRDefault="00120300" w:rsidP="00120300">
      <w:pPr>
        <w:widowControl/>
        <w:autoSpaceDE w:val="0"/>
        <w:autoSpaceDN w:val="0"/>
        <w:snapToGrid/>
        <w:rPr>
          <w:rFonts w:eastAsia="SimSun"/>
          <w:kern w:val="0"/>
          <w:sz w:val="20"/>
          <w:szCs w:val="20"/>
          <w:lang w:eastAsia="en-US"/>
        </w:rPr>
      </w:pPr>
      <w:bookmarkStart w:id="0"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39325C79" w14:textId="77777777" w:rsidR="00D70856" w:rsidRPr="00120300" w:rsidRDefault="00D70856" w:rsidP="00AD2547">
      <w:pPr>
        <w:rPr>
          <w:rFonts w:cs="Times New Roman"/>
        </w:rPr>
      </w:pPr>
    </w:p>
    <w:p w14:paraId="50B3F268" w14:textId="7EF86B24" w:rsidR="00D70856" w:rsidRPr="00120300" w:rsidRDefault="00000000" w:rsidP="00120300">
      <w:pPr>
        <w:rPr>
          <w:rFonts w:eastAsia="SimSun" w:cs="Times New Roman"/>
        </w:rPr>
      </w:pPr>
      <w:r w:rsidRPr="00AD2547">
        <w:rPr>
          <w:rFonts w:cs="Times New Roman"/>
          <w:b/>
          <w:bCs/>
        </w:rPr>
        <w:t>Abstract:</w:t>
      </w:r>
      <w:r w:rsidRPr="00120300">
        <w:rPr>
          <w:rFonts w:cs="Times New Roman"/>
        </w:rPr>
        <w:t xml:space="preserve"> </w:t>
      </w:r>
      <w:r w:rsidRPr="00120300">
        <w:rPr>
          <w:rFonts w:cs="Times New Roman"/>
          <w:i/>
          <w:iCs/>
        </w:rPr>
        <w:t>Objective</w:t>
      </w:r>
      <w:r w:rsidRPr="00120300">
        <w:rPr>
          <w:rFonts w:cs="Times New Roman"/>
        </w:rPr>
        <w:t xml:space="preserve">: Based on the quantitative calculation method of coronary optical coherence tomography (OCT) for blood flow fraction (OFR), this study aimed to evaluate the intervention effects of intensive lipid-lowering therapy on plaque morphological characteristics and vascular functional parameters in patients with primary coronary vulnerable plaques, providing clinical evidence for precise lipid-lowering treatment and improvement of vascular function in coronary artery disease (CAD). </w:t>
      </w:r>
      <w:r w:rsidRPr="00120300">
        <w:rPr>
          <w:rFonts w:cs="Times New Roman"/>
          <w:i/>
          <w:iCs/>
        </w:rPr>
        <w:t>Methods</w:t>
      </w:r>
      <w:r w:rsidRPr="00120300">
        <w:rPr>
          <w:rFonts w:cs="Times New Roman"/>
        </w:rPr>
        <w:t xml:space="preserve">: A total of 40 patients with primary coronary vulnerable plaques admitted to our hospital from June 2025 to June 2026 were enrolled as study subjects and randomly divided into a control group and an experimental group, with 20 cases in each group. The control group received </w:t>
      </w:r>
      <w:r w:rsidR="006E4E87">
        <w:rPr>
          <w:rFonts w:cs="Times New Roman"/>
        </w:rPr>
        <w:t>conventional-dose</w:t>
      </w:r>
      <w:r w:rsidRPr="00120300">
        <w:rPr>
          <w:rFonts w:cs="Times New Roman"/>
        </w:rPr>
        <w:t xml:space="preserve"> statin therapy, while the experimental group underwent intensive statin therapy, with an intervention period of 6 months. OCT was used to assess morphological indicators of vulnerable plaques before and after intervention in both groups, and standardized OFR calculation methods were employed to evaluate changes in vascular functionality. The improvements in plaque morphology and vascular function recovery were compared between the two groups. </w:t>
      </w:r>
      <w:r w:rsidRPr="00120300">
        <w:rPr>
          <w:rFonts w:cs="Times New Roman"/>
          <w:i/>
          <w:iCs/>
        </w:rPr>
        <w:t>Results</w:t>
      </w:r>
      <w:r w:rsidRPr="00120300">
        <w:rPr>
          <w:rFonts w:cs="Times New Roman"/>
        </w:rPr>
        <w:t>: After intervention, the plaque fibrous cap thickness in the experimental group was significantly greater than that in the control group; plaque lipid area, plaque burden, and minimum lumen area were all significantly superior to those in the control group (</w:t>
      </w:r>
      <w:r w:rsidRPr="00120300">
        <w:rPr>
          <w:rFonts w:cs="Times New Roman"/>
          <w:i/>
          <w:iCs/>
        </w:rPr>
        <w:t xml:space="preserve">P </w:t>
      </w:r>
      <w:r w:rsidRPr="00120300">
        <w:rPr>
          <w:rFonts w:cs="Times New Roman"/>
        </w:rPr>
        <w:t>&lt; 0.05); the OFR value in the experimental group was significantly higher than that in the control group, and the incidence of vascular dysfunction was significantly lower (</w:t>
      </w:r>
      <w:r w:rsidRPr="00120300">
        <w:rPr>
          <w:rFonts w:cs="Times New Roman"/>
          <w:i/>
          <w:iCs/>
        </w:rPr>
        <w:t xml:space="preserve">P </w:t>
      </w:r>
      <w:r w:rsidRPr="00120300">
        <w:rPr>
          <w:rFonts w:cs="Times New Roman"/>
        </w:rPr>
        <w:t xml:space="preserve">&lt; 0.05); the improvement in lipid profiles in the experimental group was significantly more pronounced than in the control group, with statistically significant differences between the groups. </w:t>
      </w:r>
      <w:r w:rsidRPr="00120300">
        <w:rPr>
          <w:rFonts w:cs="Times New Roman"/>
          <w:i/>
          <w:iCs/>
        </w:rPr>
        <w:t>Conclusion</w:t>
      </w:r>
      <w:r w:rsidRPr="00120300">
        <w:rPr>
          <w:rFonts w:cs="Times New Roman"/>
        </w:rPr>
        <w:t>: The OFR calculation method enables precise assessment of vascular functional status in coronary artery lesions. Intensive lipid-lowering therapy effectively improves the morphological characteristics of primary coronary vulnerable plaques, stabilizes plaques, reduces vascular stenosis, significantly enhances blood flow reserve function in affected vessels, and lowers the risk of cardiovascular adverse events, demonstrating high clinical value.</w:t>
      </w:r>
    </w:p>
    <w:p w14:paraId="127C05DE" w14:textId="77777777" w:rsidR="00D70856" w:rsidRPr="00120300" w:rsidRDefault="00000000" w:rsidP="00120300">
      <w:pPr>
        <w:rPr>
          <w:rFonts w:cs="Times New Roman"/>
        </w:rPr>
      </w:pPr>
      <w:r w:rsidRPr="00AD2547">
        <w:rPr>
          <w:rFonts w:cs="Times New Roman"/>
          <w:b/>
          <w:bCs/>
        </w:rPr>
        <w:t>Keywords:</w:t>
      </w:r>
      <w:r w:rsidRPr="00120300">
        <w:rPr>
          <w:rFonts w:cs="Times New Roman"/>
        </w:rPr>
        <w:t xml:space="preserve"> OCT quantitative flow fraction; OFR calculation method; Enhanced lipid-lowering therapy; Coronary artery disease; Vulnerable plaque; Vascular function</w:t>
      </w:r>
    </w:p>
    <w:p w14:paraId="7D3E32C9" w14:textId="77777777" w:rsidR="00D70856" w:rsidRDefault="00D70856" w:rsidP="00120300">
      <w:pPr>
        <w:rPr>
          <w:rFonts w:cs="Times New Roman"/>
        </w:rPr>
      </w:pPr>
    </w:p>
    <w:p w14:paraId="125B8BB4" w14:textId="6D9583F8" w:rsidR="00120300" w:rsidRPr="00AD2547" w:rsidRDefault="00120300" w:rsidP="00120300">
      <w:pPr>
        <w:rPr>
          <w:rFonts w:cs="Times New Roman"/>
          <w:b/>
          <w:bCs/>
        </w:rPr>
      </w:pPr>
      <w:r>
        <w:rPr>
          <w:rFonts w:cs="Times New Roman"/>
          <w:b/>
          <w:bCs/>
        </w:rPr>
        <w:t>Online publication:</w:t>
      </w:r>
    </w:p>
    <w:p w14:paraId="55DA09D4" w14:textId="77777777" w:rsidR="00120300" w:rsidRPr="00120300" w:rsidRDefault="00120300" w:rsidP="00120300">
      <w:pPr>
        <w:rPr>
          <w:rFonts w:cs="Times New Roman"/>
        </w:rPr>
      </w:pPr>
    </w:p>
    <w:p w14:paraId="64D55469" w14:textId="77777777" w:rsidR="00D70856" w:rsidRPr="00AD2547" w:rsidRDefault="00000000" w:rsidP="00120300">
      <w:pPr>
        <w:rPr>
          <w:rFonts w:cs="Times New Roman"/>
          <w:b/>
          <w:bCs/>
        </w:rPr>
      </w:pPr>
      <w:r w:rsidRPr="00AD2547">
        <w:rPr>
          <w:rFonts w:cs="Times New Roman"/>
          <w:b/>
          <w:bCs/>
        </w:rPr>
        <w:t>1. Introduction</w:t>
      </w:r>
    </w:p>
    <w:p w14:paraId="7A98AFA4" w14:textId="1B334E8C" w:rsidR="00D70856" w:rsidRPr="00120300" w:rsidRDefault="00000000" w:rsidP="00120300">
      <w:pPr>
        <w:rPr>
          <w:rFonts w:cs="Times New Roman"/>
        </w:rPr>
      </w:pPr>
      <w:r w:rsidRPr="00120300">
        <w:rPr>
          <w:rFonts w:cs="Times New Roman"/>
        </w:rPr>
        <w:t xml:space="preserve">Coronary artery disease (CAD) has become one of the leading causes of death from cardiovascular diseases globally, with acute cardiovascular events such as acute myocardial infarction and sudden </w:t>
      </w:r>
      <w:r w:rsidRPr="00120300">
        <w:rPr>
          <w:rFonts w:cs="Times New Roman"/>
        </w:rPr>
        <w:lastRenderedPageBreak/>
        <w:t xml:space="preserve">cardiac death mainly caused by the rupture of vulnerable coronary plaques followed by thrombogenesis. In recent years, increasing clinical evidence has shown that the instability of vulnerable plaques is closely associated with abnormal lipid metabolism, and lipid-lowering therapy is a core intervention measure to stabilize plaques and reduce the risk of adverse cardiovascular events. However, there is still controversy in clinical practice over whether enhanced lipid-lowering therapy can bring additional benefits in improving plaque characteristics and vascular function compared with conventional-dose statin therapy, and how </w:t>
      </w:r>
      <w:r w:rsidR="006E4E87">
        <w:rPr>
          <w:rFonts w:cs="Times New Roman"/>
        </w:rPr>
        <w:t>to evaluate the intervention effect accurately</w:t>
      </w:r>
      <w:r w:rsidRPr="00120300">
        <w:rPr>
          <w:rFonts w:cs="Times New Roman"/>
        </w:rPr>
        <w:t>.</w:t>
      </w:r>
    </w:p>
    <w:p w14:paraId="3C1C903F" w14:textId="67E4FC6C" w:rsidR="00D70856" w:rsidRPr="00120300" w:rsidRDefault="00000000" w:rsidP="00AD2547">
      <w:pPr>
        <w:ind w:firstLine="420"/>
        <w:rPr>
          <w:rFonts w:cs="Times New Roman"/>
        </w:rPr>
      </w:pPr>
      <w:r w:rsidRPr="00120300">
        <w:rPr>
          <w:rFonts w:cs="Times New Roman"/>
        </w:rPr>
        <w:t xml:space="preserve">Coronary optical coherence tomography (OCT) has high spatial resolution and can clearly display the microstructural characteristics of coronary plaques, which is recognized as an important means for identifying vulnerable plaques. The OFR technology derived from OCT imaging realizes the simultaneous evaluation of plaque morphology and vascular function by integrating morphological information with hemodynamic calculation, which avoids the additional damage and examination cost brought by invasive functional measurement. At present, relevant research on applying OFR to evaluate the effect of enhanced lipid-lowering therapy on primary vulnerable coronary plaques is still relatively limited in China. Based on this, this study took patients with primary coronary vulnerable plaques treated in our hospital as the research </w:t>
      </w:r>
      <w:r w:rsidR="006E4E87">
        <w:rPr>
          <w:rFonts w:cs="Times New Roman"/>
        </w:rPr>
        <w:t>subjects and</w:t>
      </w:r>
      <w:r w:rsidR="006E4E87" w:rsidRPr="00120300">
        <w:rPr>
          <w:rFonts w:cs="Times New Roman"/>
        </w:rPr>
        <w:t xml:space="preserve"> </w:t>
      </w:r>
      <w:r w:rsidRPr="00120300">
        <w:rPr>
          <w:rFonts w:cs="Times New Roman"/>
        </w:rPr>
        <w:t>used the OCT-based OFR quantitative calculation method to evaluate the effect of intensive lipid-lowering intervention on plaque morphology and vascular function, aiming to provide a reliable reference for the optimization of clinical lipid-lowering treatment strategies for CAD.</w:t>
      </w:r>
    </w:p>
    <w:p w14:paraId="6468D9D5" w14:textId="0DC25923" w:rsidR="00D70856" w:rsidRPr="00120300" w:rsidRDefault="00BD41BA" w:rsidP="00AD2547">
      <w:pPr>
        <w:rPr>
          <w:rFonts w:cs="Times New Roman"/>
        </w:rPr>
      </w:pPr>
      <w:r>
        <w:rPr>
          <w:rFonts w:cs="Times New Roman"/>
        </w:rPr>
        <w:tab/>
      </w:r>
    </w:p>
    <w:p w14:paraId="07EAF978" w14:textId="77777777" w:rsidR="00D70856" w:rsidRPr="00AD2547" w:rsidRDefault="00000000" w:rsidP="00120300">
      <w:pPr>
        <w:rPr>
          <w:rFonts w:eastAsia="SimSun" w:cs="Times New Roman"/>
          <w:b/>
          <w:bCs/>
        </w:rPr>
      </w:pPr>
      <w:r w:rsidRPr="00AD2547">
        <w:rPr>
          <w:rFonts w:cs="Times New Roman"/>
          <w:b/>
          <w:bCs/>
        </w:rPr>
        <w:t>2. Materials and methods</w:t>
      </w:r>
    </w:p>
    <w:p w14:paraId="1BF78CB2" w14:textId="77777777" w:rsidR="00D70856" w:rsidRPr="00AD2547" w:rsidRDefault="00000000" w:rsidP="00120300">
      <w:pPr>
        <w:rPr>
          <w:rFonts w:eastAsia="SimSun" w:cs="Times New Roman"/>
          <w:b/>
          <w:bCs/>
        </w:rPr>
      </w:pPr>
      <w:r w:rsidRPr="00AD2547">
        <w:rPr>
          <w:rFonts w:cs="Times New Roman"/>
          <w:b/>
          <w:bCs/>
        </w:rPr>
        <w:t>2.1. General information</w:t>
      </w:r>
    </w:p>
    <w:p w14:paraId="64BE0B1A" w14:textId="76B69994" w:rsidR="00D70856" w:rsidRPr="00120300" w:rsidRDefault="00000000" w:rsidP="00120300">
      <w:pPr>
        <w:rPr>
          <w:rFonts w:cs="Times New Roman"/>
        </w:rPr>
      </w:pPr>
      <w:r w:rsidRPr="00120300">
        <w:rPr>
          <w:rFonts w:cs="Times New Roman"/>
        </w:rPr>
        <w:t xml:space="preserve">A total of 40 patients who </w:t>
      </w:r>
      <w:r w:rsidR="006E4E87">
        <w:rPr>
          <w:rFonts w:cs="Times New Roman"/>
        </w:rPr>
        <w:t>were diagnosed with primary coronary vulnerable plaques and who were admitted to the Cardiology Department of our hospital during the period from June 2025 to June 2026 participated</w:t>
      </w:r>
      <w:r w:rsidRPr="00120300">
        <w:rPr>
          <w:rFonts w:cs="Times New Roman"/>
        </w:rPr>
        <w:t xml:space="preserve"> in this study. All of the participants </w:t>
      </w:r>
      <w:r w:rsidR="006E4E87">
        <w:rPr>
          <w:rFonts w:cs="Times New Roman"/>
        </w:rPr>
        <w:t>underwent</w:t>
      </w:r>
      <w:r w:rsidRPr="00120300">
        <w:rPr>
          <w:rFonts w:cs="Times New Roman"/>
        </w:rPr>
        <w:t xml:space="preserve"> a process of definitive confirmation of the primary vulnerable plaques by means of coronary optical coherence tomography (OCT) imaging, and this imaging consistently </w:t>
      </w:r>
      <w:r w:rsidR="006E4E87">
        <w:rPr>
          <w:rFonts w:cs="Times New Roman"/>
        </w:rPr>
        <w:t>showed</w:t>
      </w:r>
      <w:r w:rsidRPr="00120300">
        <w:rPr>
          <w:rFonts w:cs="Times New Roman"/>
        </w:rPr>
        <w:t xml:space="preserve"> the hallmark morphological characteristics of such plaques, that is to say, thin fibrous caps </w:t>
      </w:r>
      <w:r w:rsidR="006E4E87">
        <w:rPr>
          <w:rFonts w:cs="Times New Roman"/>
        </w:rPr>
        <w:t>that</w:t>
      </w:r>
      <w:r w:rsidR="006E4E87" w:rsidRPr="00120300">
        <w:rPr>
          <w:rFonts w:cs="Times New Roman"/>
        </w:rPr>
        <w:t xml:space="preserve"> </w:t>
      </w:r>
      <w:r w:rsidRPr="00120300">
        <w:rPr>
          <w:rFonts w:cs="Times New Roman"/>
        </w:rPr>
        <w:t xml:space="preserve">enclose large cores that are rich in lipid. Then, the patients were randomly </w:t>
      </w:r>
      <w:r w:rsidR="006E4E87">
        <w:rPr>
          <w:rFonts w:cs="Times New Roman"/>
        </w:rPr>
        <w:t xml:space="preserve">assigned, using a computer - generated random number table, to either a control group or an experimental group, and there were 20 cases allocated to each group </w:t>
      </w:r>
      <w:r w:rsidRPr="00120300">
        <w:rPr>
          <w:rFonts w:cs="Times New Roman"/>
        </w:rPr>
        <w:t>to ensure a balanced distribution.</w:t>
      </w:r>
      <w:r w:rsidR="006E4E87">
        <w:rPr>
          <w:rFonts w:cs="Times New Roman"/>
        </w:rPr>
        <w:t xml:space="preserve"> </w:t>
      </w:r>
      <w:r w:rsidRPr="00120300">
        <w:rPr>
          <w:rFonts w:cs="Times New Roman"/>
        </w:rPr>
        <w:t xml:space="preserve">The attributes at the demographic and clinical baseline of the two cohorts were </w:t>
      </w:r>
      <w:r w:rsidR="006E4E87">
        <w:rPr>
          <w:rFonts w:cs="Times New Roman"/>
        </w:rPr>
        <w:t xml:space="preserve">as follows: The group that was taken as the control included 12 males and 8 </w:t>
      </w:r>
      <w:r w:rsidRPr="00120300">
        <w:rPr>
          <w:rFonts w:cs="Times New Roman"/>
        </w:rPr>
        <w:t xml:space="preserve">females. There was an age distribution </w:t>
      </w:r>
      <w:r w:rsidR="006E4E87">
        <w:rPr>
          <w:rFonts w:cs="Times New Roman"/>
        </w:rPr>
        <w:t>ranging</w:t>
      </w:r>
      <w:r w:rsidR="006E4E87" w:rsidRPr="00120300">
        <w:rPr>
          <w:rFonts w:cs="Times New Roman"/>
        </w:rPr>
        <w:t xml:space="preserve"> </w:t>
      </w:r>
      <w:r w:rsidRPr="00120300">
        <w:rPr>
          <w:rFonts w:cs="Times New Roman"/>
        </w:rPr>
        <w:t xml:space="preserve">from 48 years old to 75 years old. The age which was an average was 61.36 plus or minus 5.82 years. As for the involvement of coronary artery disease, 14 cases were found to have </w:t>
      </w:r>
      <w:r w:rsidR="006E4E87">
        <w:rPr>
          <w:rFonts w:cs="Times New Roman"/>
        </w:rPr>
        <w:t>single-vessel disease</w:t>
      </w:r>
      <w:r w:rsidRPr="00120300">
        <w:rPr>
          <w:rFonts w:cs="Times New Roman"/>
        </w:rPr>
        <w:t xml:space="preserve">. However, the remaining 6 cases were found to have </w:t>
      </w:r>
      <w:r w:rsidR="006E4E87">
        <w:rPr>
          <w:rFonts w:cs="Times New Roman"/>
        </w:rPr>
        <w:t>dual-vessel disease</w:t>
      </w:r>
      <w:r w:rsidRPr="00120300">
        <w:rPr>
          <w:rFonts w:cs="Times New Roman"/>
        </w:rPr>
        <w:t xml:space="preserve">. On the contrary, the group </w:t>
      </w:r>
      <w:r w:rsidR="006E4E87">
        <w:rPr>
          <w:rFonts w:cs="Times New Roman"/>
        </w:rPr>
        <w:t xml:space="preserve">that was set as the experimental group had 11 males and 9 </w:t>
      </w:r>
      <w:r w:rsidRPr="00120300">
        <w:rPr>
          <w:rFonts w:cs="Times New Roman"/>
        </w:rPr>
        <w:t xml:space="preserve">females. </w:t>
      </w:r>
      <w:r w:rsidR="006E4E87">
        <w:rPr>
          <w:rFonts w:cs="Times New Roman"/>
        </w:rPr>
        <w:t>The ages ranged</w:t>
      </w:r>
      <w:r w:rsidRPr="00120300">
        <w:rPr>
          <w:rFonts w:cs="Times New Roman"/>
        </w:rPr>
        <w:t xml:space="preserve"> from 47 years old to 76 years old. The age which was a mean was 60.92 plus or minus 5.65 years. Inside this group, 13 cases were identified to have </w:t>
      </w:r>
      <w:r w:rsidR="006E4E87">
        <w:rPr>
          <w:rFonts w:cs="Times New Roman"/>
        </w:rPr>
        <w:t>single-vessel lesions, and 7 cases were shown to have dual-vessel lesions</w:t>
      </w:r>
      <w:r w:rsidRPr="00120300">
        <w:rPr>
          <w:rFonts w:cs="Times New Roman"/>
        </w:rPr>
        <w:t xml:space="preserve">. Prior to the initiation of the study interventions, comprehensive statistical analyses were conducted to compare these baseline parameters between the two cohorts. The results showed that there were no statistically significant differences that could be seen between the control group and the experimental group when it comes to important baseline characteristics. These characteristics include things like age, the proportion of genders, the number of diseased coronary arteries, the profiles of baseline serum lipids, and relevant medical histories (and all of the </w:t>
      </w:r>
      <w:r w:rsidRPr="00120300">
        <w:rPr>
          <w:rFonts w:cs="Times New Roman"/>
          <w:i/>
          <w:iCs/>
        </w:rPr>
        <w:t>P</w:t>
      </w:r>
      <w:r w:rsidRPr="00120300">
        <w:rPr>
          <w:rFonts w:cs="Times New Roman"/>
        </w:rPr>
        <w:t xml:space="preserve"> values were greater than 0.05). This lack of remarkable differences in the baseline data </w:t>
      </w:r>
      <w:r w:rsidR="006E4E87">
        <w:rPr>
          <w:rFonts w:cs="Times New Roman"/>
        </w:rPr>
        <w:t>successfully proved</w:t>
      </w:r>
      <w:r w:rsidRPr="00120300">
        <w:rPr>
          <w:rFonts w:cs="Times New Roman"/>
        </w:rPr>
        <w:t xml:space="preserve"> the equality of the two groups for the comparative research. The whole research project was </w:t>
      </w:r>
      <w:r w:rsidR="006E4E87">
        <w:rPr>
          <w:rFonts w:cs="Times New Roman"/>
        </w:rPr>
        <w:t>reviewed formally and was authorized</w:t>
      </w:r>
      <w:r w:rsidRPr="00120300">
        <w:rPr>
          <w:rFonts w:cs="Times New Roman"/>
        </w:rPr>
        <w:t xml:space="preserve"> by the Medical Ethics Committee of our institution. Also, in strict accordance with ethical standards, all of the patients who were enrolled were fully informed about the nature of the study, the </w:t>
      </w:r>
      <w:r w:rsidRPr="00120300">
        <w:rPr>
          <w:rFonts w:cs="Times New Roman"/>
        </w:rPr>
        <w:lastRenderedPageBreak/>
        <w:t>procedures involved, the possible risks, and the advantages. As a consequence, each and every patient provided their informed consent and officially signed the formal consent forms prior to joining the study.</w:t>
      </w:r>
    </w:p>
    <w:p w14:paraId="0E14EFB6" w14:textId="77777777" w:rsidR="00D70856" w:rsidRPr="00120300" w:rsidRDefault="00D70856" w:rsidP="00120300">
      <w:pPr>
        <w:rPr>
          <w:rFonts w:cs="Times New Roman"/>
        </w:rPr>
      </w:pPr>
    </w:p>
    <w:p w14:paraId="3830DCFF" w14:textId="77777777" w:rsidR="00D70856" w:rsidRPr="00AD2547" w:rsidRDefault="00000000" w:rsidP="00120300">
      <w:pPr>
        <w:rPr>
          <w:rFonts w:eastAsia="SimSun" w:cs="Times New Roman"/>
          <w:b/>
          <w:bCs/>
        </w:rPr>
      </w:pPr>
      <w:r w:rsidRPr="00AD2547">
        <w:rPr>
          <w:rFonts w:cs="Times New Roman"/>
          <w:b/>
          <w:bCs/>
        </w:rPr>
        <w:t>2.2. Case selection criteria</w:t>
      </w:r>
    </w:p>
    <w:p w14:paraId="0E9C98A2" w14:textId="1F731DB6" w:rsidR="00D70856" w:rsidRPr="00120300" w:rsidRDefault="00000000" w:rsidP="00120300">
      <w:pPr>
        <w:rPr>
          <w:rFonts w:cs="Times New Roman"/>
        </w:rPr>
      </w:pPr>
      <w:r w:rsidRPr="00120300">
        <w:rPr>
          <w:rFonts w:cs="Times New Roman"/>
        </w:rPr>
        <w:t xml:space="preserve">To do this research, there was a series of standards that were strictly </w:t>
      </w:r>
      <w:r w:rsidR="006E4E87">
        <w:rPr>
          <w:rFonts w:cs="Times New Roman"/>
        </w:rPr>
        <w:t>set out, and these standards were applied to ensure that a cohort of uniform and suitable patients was</w:t>
      </w:r>
      <w:r w:rsidRPr="00120300">
        <w:rPr>
          <w:rFonts w:cs="Times New Roman"/>
        </w:rPr>
        <w:t xml:space="preserve"> recruited. The requirements for entry were multi-dimensional, and it was required that every participant should meet four different conditions. First, it was necessary to have a clear diagnosis of primary coronary vulnerable plaques, and this diagnosis was confirmed through a full optical coherence tomography (OCT) assessment of the coronary arteries. Second, candidates did not have any previous experience of having coronary interventional therapies, like percutaneous coronary intervention (PCI), and they had not gone through any intensive or long-lasting lipid-lowering drug plans before being enrolled. Third, participants had to be in the age range of 45 to 76 years old. Finally, they needed to show dyslipidemia that met the clinical criteria which were pre-specified for starting statin - based pharmaceutical lipid-lowering therapy.</w:t>
      </w:r>
      <w:r w:rsidR="006E4E87">
        <w:rPr>
          <w:rFonts w:cs="Times New Roman"/>
        </w:rPr>
        <w:t xml:space="preserve"> </w:t>
      </w:r>
      <w:r w:rsidRPr="00120300">
        <w:rPr>
          <w:rFonts w:cs="Times New Roman"/>
        </w:rPr>
        <w:t xml:space="preserve">Fifth, it is required that the participants who take part in the trial have to do the thing of maintaining the condition of clinical stability, which is characterized by the state of having stable vital signs. They should be both able and </w:t>
      </w:r>
      <w:r w:rsidR="006E4E87">
        <w:rPr>
          <w:rFonts w:cs="Times New Roman"/>
        </w:rPr>
        <w:t xml:space="preserve">willing to carry out all of the follow-up imaging assessments that have been scheduled, and they must have </w:t>
      </w:r>
      <w:r w:rsidRPr="00120300">
        <w:rPr>
          <w:rFonts w:cs="Times New Roman"/>
        </w:rPr>
        <w:t xml:space="preserve">clinical medical documentation that can be fully retrieved. The criteria for exclusion encompass the following: </w:t>
      </w:r>
      <w:r w:rsidR="006E4E87">
        <w:rPr>
          <w:rFonts w:cs="Times New Roman"/>
        </w:rPr>
        <w:t>some individuals have</w:t>
      </w:r>
      <w:r w:rsidRPr="00120300">
        <w:rPr>
          <w:rFonts w:cs="Times New Roman"/>
        </w:rPr>
        <w:t xml:space="preserve"> severe impairment of the liver or the kidney; </w:t>
      </w:r>
      <w:r w:rsidR="006E4E87">
        <w:rPr>
          <w:rFonts w:cs="Times New Roman"/>
        </w:rPr>
        <w:t>some are</w:t>
      </w:r>
      <w:r w:rsidRPr="00120300">
        <w:rPr>
          <w:rFonts w:cs="Times New Roman"/>
        </w:rPr>
        <w:t xml:space="preserve"> hypersensitive to statins or have had unfavorable reactions to them; </w:t>
      </w:r>
      <w:r w:rsidR="006E4E87">
        <w:rPr>
          <w:rFonts w:cs="Times New Roman"/>
        </w:rPr>
        <w:t>some patients have</w:t>
      </w:r>
      <w:r w:rsidRPr="00120300">
        <w:rPr>
          <w:rFonts w:cs="Times New Roman"/>
        </w:rPr>
        <w:t xml:space="preserve"> a previous history of having coronary stent placed or coronary artery bypass grafting (CABG) done; </w:t>
      </w:r>
      <w:r w:rsidR="006E4E87">
        <w:rPr>
          <w:rFonts w:cs="Times New Roman"/>
        </w:rPr>
        <w:t>some subjects have</w:t>
      </w:r>
      <w:r w:rsidRPr="00120300">
        <w:rPr>
          <w:rFonts w:cs="Times New Roman"/>
        </w:rPr>
        <w:t xml:space="preserve"> been found to have acute myocardial infarction, severe cardiac arrhythmias, or severe heart failure (NYHA Classes III to IV) during the screening phase; </w:t>
      </w:r>
      <w:r w:rsidR="006E4E87">
        <w:rPr>
          <w:rFonts w:cs="Times New Roman"/>
        </w:rPr>
        <w:t>some patients have</w:t>
      </w:r>
      <w:r w:rsidRPr="00120300">
        <w:rPr>
          <w:rFonts w:cs="Times New Roman"/>
        </w:rPr>
        <w:t xml:space="preserve"> active autoimmune disorders or a history of cancer; </w:t>
      </w:r>
      <w:r w:rsidR="006E4E87">
        <w:rPr>
          <w:rFonts w:cs="Times New Roman"/>
        </w:rPr>
        <w:t>some are</w:t>
      </w:r>
      <w:r w:rsidRPr="00120300">
        <w:rPr>
          <w:rFonts w:cs="Times New Roman"/>
        </w:rPr>
        <w:t xml:space="preserve"> expected to stop the study treatment ahead of time, to become lost during the follow-up process, or to withdraw from the study on their own initiative; and </w:t>
      </w:r>
      <w:r w:rsidR="006E4E87">
        <w:rPr>
          <w:rFonts w:cs="Times New Roman"/>
        </w:rPr>
        <w:t>some individuals have</w:t>
      </w:r>
      <w:r w:rsidRPr="00120300">
        <w:rPr>
          <w:rFonts w:cs="Times New Roman"/>
        </w:rPr>
        <w:t xml:space="preserve"> coronary artery lesions that are mainly made up of multiple severe calcified plaques.</w:t>
      </w:r>
    </w:p>
    <w:p w14:paraId="3CEEAA26" w14:textId="77777777" w:rsidR="00D70856" w:rsidRPr="00120300" w:rsidRDefault="00D70856" w:rsidP="00120300">
      <w:pPr>
        <w:rPr>
          <w:rFonts w:cs="Times New Roman"/>
        </w:rPr>
      </w:pPr>
    </w:p>
    <w:p w14:paraId="66302132" w14:textId="77777777" w:rsidR="00D70856" w:rsidRPr="00AD2547" w:rsidRDefault="00000000" w:rsidP="00120300">
      <w:pPr>
        <w:rPr>
          <w:rFonts w:cs="Times New Roman"/>
          <w:b/>
          <w:bCs/>
        </w:rPr>
      </w:pPr>
      <w:r w:rsidRPr="00AD2547">
        <w:rPr>
          <w:rFonts w:cs="Times New Roman"/>
          <w:b/>
          <w:bCs/>
        </w:rPr>
        <w:t>2.3. Method</w:t>
      </w:r>
    </w:p>
    <w:p w14:paraId="70CDE911" w14:textId="77777777" w:rsidR="00D70856" w:rsidRPr="00AD2547" w:rsidRDefault="00000000" w:rsidP="00120300">
      <w:pPr>
        <w:rPr>
          <w:rFonts w:cs="Times New Roman"/>
          <w:b/>
          <w:bCs/>
        </w:rPr>
      </w:pPr>
      <w:r w:rsidRPr="00AD2547">
        <w:rPr>
          <w:rFonts w:cs="Times New Roman"/>
          <w:b/>
          <w:bCs/>
        </w:rPr>
        <w:t>2.3.1. Control group</w:t>
      </w:r>
    </w:p>
    <w:p w14:paraId="277D8794" w14:textId="5FEA52CA" w:rsidR="00D70856" w:rsidRPr="00120300" w:rsidRDefault="00000000" w:rsidP="00120300">
      <w:pPr>
        <w:rPr>
          <w:rFonts w:cs="Times New Roman"/>
        </w:rPr>
      </w:pPr>
      <w:r w:rsidRPr="00120300">
        <w:rPr>
          <w:rFonts w:cs="Times New Roman"/>
        </w:rPr>
        <w:t xml:space="preserve">The control group </w:t>
      </w:r>
      <w:r w:rsidR="006E4E87">
        <w:rPr>
          <w:rFonts w:cs="Times New Roman"/>
        </w:rPr>
        <w:t xml:space="preserve">received conventional-dose statin therapy </w:t>
      </w:r>
      <w:r w:rsidRPr="00120300">
        <w:rPr>
          <w:rFonts w:cs="Times New Roman"/>
        </w:rPr>
        <w:t xml:space="preserve">for the purpose of lipid regulation. Specifically, it involved </w:t>
      </w:r>
      <w:r w:rsidR="006E4E87">
        <w:rPr>
          <w:rFonts w:cs="Times New Roman"/>
        </w:rPr>
        <w:t>orally taking 20 mg atorvastatin calcium tablets each night before sleep for a period of</w:t>
      </w:r>
      <w:r w:rsidRPr="00120300">
        <w:rPr>
          <w:rFonts w:cs="Times New Roman"/>
        </w:rPr>
        <w:t xml:space="preserve"> 6 months. At the same time, these patients carried out the action of following standard coronary heart disease basic management protocols. These protocols included </w:t>
      </w:r>
      <w:r w:rsidR="006E4E87">
        <w:rPr>
          <w:rFonts w:cs="Times New Roman"/>
        </w:rPr>
        <w:t>standardized antiplatelet treatment, strict control of blood pressure and blood glucose, adherence to a low-salt, low-fat diet, and moderate physical activity</w:t>
      </w:r>
      <w:r w:rsidRPr="00120300">
        <w:rPr>
          <w:rFonts w:cs="Times New Roman"/>
        </w:rPr>
        <w:t>. The action of using aggressive lipid-lowering regimens was not carried out. During the entire treatment phase, the action of regularly assessing lipid panels and liver/renal function was done, and patients had the action of educating them be carried out so that they would strictly abide by the standardized medication schedule in order to ensure the action of treatment adherence be achieved.</w:t>
      </w:r>
    </w:p>
    <w:p w14:paraId="2B730C8D" w14:textId="77777777" w:rsidR="00D70856" w:rsidRPr="00120300" w:rsidRDefault="00D70856" w:rsidP="00120300">
      <w:pPr>
        <w:rPr>
          <w:rFonts w:cs="Times New Roman"/>
        </w:rPr>
      </w:pPr>
    </w:p>
    <w:p w14:paraId="3C7A1A9F" w14:textId="77777777" w:rsidR="00D70856" w:rsidRPr="00AD2547" w:rsidRDefault="00000000" w:rsidP="00120300">
      <w:pPr>
        <w:rPr>
          <w:rFonts w:cs="Times New Roman"/>
          <w:b/>
          <w:bCs/>
        </w:rPr>
      </w:pPr>
      <w:r w:rsidRPr="00AD2547">
        <w:rPr>
          <w:rFonts w:cs="Times New Roman"/>
          <w:b/>
          <w:bCs/>
        </w:rPr>
        <w:t>2.3.2. Experimental group</w:t>
      </w:r>
    </w:p>
    <w:p w14:paraId="41E8A001" w14:textId="739EFC83" w:rsidR="00D70856" w:rsidRPr="00120300" w:rsidRDefault="00000000" w:rsidP="00120300">
      <w:pPr>
        <w:rPr>
          <w:rFonts w:cs="Times New Roman"/>
        </w:rPr>
      </w:pPr>
      <w:r w:rsidRPr="00120300">
        <w:rPr>
          <w:rFonts w:cs="Times New Roman"/>
        </w:rPr>
        <w:t xml:space="preserve">The cohort that was used for the experiment was given a strategy of lowering </w:t>
      </w:r>
      <w:r w:rsidR="006E4E87">
        <w:rPr>
          <w:rFonts w:cs="Times New Roman"/>
        </w:rPr>
        <w:t>lipids in an intensified way along with standard and fundamental care</w:t>
      </w:r>
      <w:r w:rsidRPr="00120300">
        <w:rPr>
          <w:rFonts w:cs="Times New Roman"/>
        </w:rPr>
        <w:t>. It had a protocol that was made to fit, which was about 40 mg of atorvastatin calcium tablets. These tablets were taken by mouth in an oral way, one time each day at the time of going to bed, and this lasted for a duration of six months. The management protocols at the starting point were made to be the same as those of the group that was used for control. This included the act of avoiding</w:t>
      </w:r>
      <w:r w:rsidR="006E4E87">
        <w:rPr>
          <w:rFonts w:cs="Times New Roman"/>
        </w:rPr>
        <w:t>, in a rigorous manner,</w:t>
      </w:r>
      <w:r w:rsidRPr="00120300">
        <w:rPr>
          <w:rFonts w:cs="Times New Roman"/>
        </w:rPr>
        <w:t xml:space="preserve"> the risk factors that can be </w:t>
      </w:r>
      <w:r w:rsidRPr="00120300">
        <w:rPr>
          <w:rFonts w:cs="Times New Roman"/>
        </w:rPr>
        <w:lastRenderedPageBreak/>
        <w:t xml:space="preserve">changed. These risk factors included patterns of diet that lead to high lipid levels, the act of using tobacco, and the intake of alcohol. There was also a </w:t>
      </w:r>
      <w:r w:rsidR="006E4E87">
        <w:rPr>
          <w:rFonts w:cs="Times New Roman"/>
        </w:rPr>
        <w:t>systematic surveillance of lipid profiles and indicators of liver and kidney function</w:t>
      </w:r>
      <w:r w:rsidRPr="00120300">
        <w:rPr>
          <w:rFonts w:cs="Times New Roman"/>
        </w:rPr>
        <w:t xml:space="preserve">. And there was the act of creating </w:t>
      </w:r>
      <w:r w:rsidR="006E4E87">
        <w:rPr>
          <w:rFonts w:cs="Times New Roman"/>
        </w:rPr>
        <w:t>treatment regimens</w:t>
      </w:r>
      <w:r w:rsidRPr="00120300">
        <w:rPr>
          <w:rFonts w:cs="Times New Roman"/>
        </w:rPr>
        <w:t xml:space="preserve"> that were made for each person. These regimens were adjusted according to the tolerability of each individual patient so as to guarantee both the safety and the effectiveness. Before the intervention took place and after the intervention was finished, both groups </w:t>
      </w:r>
      <w:r w:rsidR="006E4E87">
        <w:rPr>
          <w:rFonts w:cs="Times New Roman"/>
        </w:rPr>
        <w:t>underwent evaluations using</w:t>
      </w:r>
      <w:r w:rsidRPr="00120300">
        <w:rPr>
          <w:rFonts w:cs="Times New Roman"/>
        </w:rPr>
        <w:t xml:space="preserve"> coronary optical coherence tomography (OCT). The status of </w:t>
      </w:r>
      <w:r w:rsidR="006E4E87">
        <w:rPr>
          <w:rFonts w:cs="Times New Roman"/>
        </w:rPr>
        <w:t>blood vessel function was measured in a quantified way through the standardized calculation</w:t>
      </w:r>
      <w:r w:rsidRPr="00120300">
        <w:rPr>
          <w:rFonts w:cs="Times New Roman"/>
        </w:rPr>
        <w:t xml:space="preserve"> of the oxidative flow reserve (OFR).</w:t>
      </w:r>
    </w:p>
    <w:p w14:paraId="03CA8FEB" w14:textId="150B1F19" w:rsidR="00D70856" w:rsidRPr="00120300" w:rsidRDefault="00000000" w:rsidP="00AD2547">
      <w:pPr>
        <w:ind w:firstLine="420"/>
        <w:rPr>
          <w:rFonts w:cs="Times New Roman"/>
        </w:rPr>
      </w:pPr>
      <w:r w:rsidRPr="00120300">
        <w:rPr>
          <w:rFonts w:cs="Times New Roman"/>
        </w:rPr>
        <w:t xml:space="preserve">OFR calculation </w:t>
      </w:r>
      <w:r w:rsidR="006E4E87">
        <w:rPr>
          <w:rFonts w:cs="Times New Roman"/>
        </w:rPr>
        <w:t>method: A specialized system for OCT hemodynamic analysis is used to carry out three-dimensional reconstruction of the vessel of the target lesion, automatically delineate the contour of the lumen, and identify</w:t>
      </w:r>
      <w:r w:rsidRPr="00120300">
        <w:rPr>
          <w:rFonts w:cs="Times New Roman"/>
        </w:rPr>
        <w:t xml:space="preserve"> the branch vessels. By using a velocity of congested blood flow that is population-standardized and has a value of 0.35 m/s as a reference, the state of congestion of the coronary artery is simulated to calculate the ratio of pressure between the segment of the proximal part and the segment of the distal part of the lesion vessel, and this ratio is used to </w:t>
      </w:r>
      <w:r w:rsidR="006E4E87">
        <w:rPr>
          <w:rFonts w:cs="Times New Roman"/>
        </w:rPr>
        <w:t>determine</w:t>
      </w:r>
      <w:r w:rsidR="006E4E87" w:rsidRPr="00120300">
        <w:rPr>
          <w:rFonts w:cs="Times New Roman"/>
        </w:rPr>
        <w:t xml:space="preserve"> </w:t>
      </w:r>
      <w:r w:rsidRPr="00120300">
        <w:rPr>
          <w:rFonts w:cs="Times New Roman"/>
        </w:rPr>
        <w:t xml:space="preserve">the value of the OFR. When an OFR is greater than or equal to 0.80, it shows that the function of the blood flow of the </w:t>
      </w:r>
      <w:r w:rsidR="006E4E87">
        <w:rPr>
          <w:rFonts w:cs="Times New Roman"/>
        </w:rPr>
        <w:t>vessel</w:t>
      </w:r>
      <w:r w:rsidR="006E4E87" w:rsidRPr="00120300">
        <w:rPr>
          <w:rFonts w:cs="Times New Roman"/>
        </w:rPr>
        <w:t xml:space="preserve"> </w:t>
      </w:r>
      <w:r w:rsidRPr="00120300">
        <w:rPr>
          <w:rFonts w:cs="Times New Roman"/>
        </w:rPr>
        <w:t>is normal, while when an OFR is less than 0.80, it shows that there is functional ischemia. All the analysis of the image and the computation of the data were carried out independently by two radiologists who are senior, and cross-validation was applied in order to make sure that the accuracy of the result and to cut down the bias that is subjective.</w:t>
      </w:r>
    </w:p>
    <w:p w14:paraId="60832D74" w14:textId="77777777" w:rsidR="00D70856" w:rsidRPr="00120300" w:rsidRDefault="00D70856" w:rsidP="00AD2547">
      <w:pPr>
        <w:rPr>
          <w:rFonts w:cs="Times New Roman"/>
        </w:rPr>
      </w:pPr>
    </w:p>
    <w:p w14:paraId="6B54E467" w14:textId="77777777" w:rsidR="00D70856" w:rsidRPr="00AD2547" w:rsidRDefault="00000000" w:rsidP="00120300">
      <w:pPr>
        <w:rPr>
          <w:rFonts w:eastAsia="SimSun" w:cs="Times New Roman"/>
          <w:b/>
          <w:bCs/>
        </w:rPr>
      </w:pPr>
      <w:r w:rsidRPr="00AD2547">
        <w:rPr>
          <w:rFonts w:cs="Times New Roman"/>
          <w:b/>
          <w:bCs/>
        </w:rPr>
        <w:t>2.4. Observation indicators</w:t>
      </w:r>
    </w:p>
    <w:p w14:paraId="563AA986" w14:textId="77777777" w:rsidR="00D70856" w:rsidRPr="00120300" w:rsidRDefault="00000000" w:rsidP="00120300">
      <w:pPr>
        <w:rPr>
          <w:rFonts w:cs="Times New Roman"/>
        </w:rPr>
      </w:pPr>
      <w:r w:rsidRPr="00120300">
        <w:rPr>
          <w:rFonts w:cs="Times New Roman"/>
        </w:rPr>
        <w:t>(1) Plaque morphological parameters</w:t>
      </w:r>
    </w:p>
    <w:p w14:paraId="05517DFF" w14:textId="77777777" w:rsidR="00D70856" w:rsidRPr="00120300" w:rsidRDefault="00000000" w:rsidP="00120300">
      <w:pPr>
        <w:rPr>
          <w:rFonts w:cs="Times New Roman"/>
        </w:rPr>
      </w:pPr>
      <w:r w:rsidRPr="00120300">
        <w:rPr>
          <w:rFonts w:cs="Times New Roman"/>
        </w:rPr>
        <w:t>(2) Vascular functional indicators.</w:t>
      </w:r>
    </w:p>
    <w:p w14:paraId="16C4115E" w14:textId="77777777" w:rsidR="00D70856" w:rsidRPr="00120300" w:rsidRDefault="00000000" w:rsidP="00120300">
      <w:pPr>
        <w:rPr>
          <w:rFonts w:eastAsia="SimSun" w:cs="Times New Roman"/>
        </w:rPr>
      </w:pPr>
      <w:r w:rsidRPr="00120300">
        <w:rPr>
          <w:rFonts w:cs="Times New Roman"/>
        </w:rPr>
        <w:t>(3) Lipid parameters.</w:t>
      </w:r>
    </w:p>
    <w:p w14:paraId="77DCA8DA" w14:textId="77777777" w:rsidR="00D70856" w:rsidRPr="00120300" w:rsidRDefault="00D70856" w:rsidP="00AD2547">
      <w:pPr>
        <w:rPr>
          <w:rFonts w:cs="Times New Roman"/>
        </w:rPr>
      </w:pPr>
    </w:p>
    <w:p w14:paraId="73078246" w14:textId="77777777" w:rsidR="00D70856" w:rsidRPr="00AD2547" w:rsidRDefault="00000000" w:rsidP="00120300">
      <w:pPr>
        <w:rPr>
          <w:rFonts w:eastAsia="SimSun" w:cs="Times New Roman"/>
          <w:b/>
          <w:bCs/>
        </w:rPr>
      </w:pPr>
      <w:r w:rsidRPr="00AD2547">
        <w:rPr>
          <w:rFonts w:cs="Times New Roman"/>
          <w:b/>
          <w:bCs/>
        </w:rPr>
        <w:t>2.5. Statistical analysis</w:t>
      </w:r>
    </w:p>
    <w:p w14:paraId="2CA0C04B" w14:textId="77777777" w:rsidR="00D70856" w:rsidRPr="00120300" w:rsidRDefault="00000000" w:rsidP="00120300">
      <w:pPr>
        <w:rPr>
          <w:rFonts w:eastAsia="SimSun" w:cs="Times New Roman"/>
        </w:rPr>
      </w:pPr>
      <w:r w:rsidRPr="00120300">
        <w:rPr>
          <w:rFonts w:cs="Times New Roman"/>
        </w:rPr>
        <w:t>Data were analyzed using SPSS 26.0 statistical software.</w:t>
      </w:r>
    </w:p>
    <w:p w14:paraId="6C25E957" w14:textId="77777777" w:rsidR="00D70856" w:rsidRPr="00120300" w:rsidRDefault="00D70856" w:rsidP="00AD2547">
      <w:pPr>
        <w:rPr>
          <w:rFonts w:cs="Times New Roman"/>
        </w:rPr>
      </w:pPr>
    </w:p>
    <w:p w14:paraId="17EF3CAD" w14:textId="77777777" w:rsidR="00D70856" w:rsidRPr="00AD2547" w:rsidRDefault="00000000" w:rsidP="00120300">
      <w:pPr>
        <w:rPr>
          <w:rFonts w:eastAsia="SimSun" w:cs="Times New Roman"/>
          <w:b/>
          <w:bCs/>
        </w:rPr>
      </w:pPr>
      <w:r w:rsidRPr="00AD2547">
        <w:rPr>
          <w:rFonts w:cs="Times New Roman"/>
          <w:b/>
          <w:bCs/>
        </w:rPr>
        <w:t>3. Results</w:t>
      </w:r>
    </w:p>
    <w:p w14:paraId="16FA7A8F" w14:textId="77777777" w:rsidR="00D70856" w:rsidRPr="00AD2547" w:rsidRDefault="00000000" w:rsidP="00120300">
      <w:pPr>
        <w:rPr>
          <w:rFonts w:cs="Times New Roman"/>
          <w:b/>
          <w:bCs/>
        </w:rPr>
      </w:pPr>
      <w:r w:rsidRPr="00AD2547">
        <w:rPr>
          <w:rFonts w:cs="Times New Roman"/>
          <w:b/>
          <w:bCs/>
        </w:rPr>
        <w:t>3.1. Comparison of plaque morphology and lipid profile parameters between the two patient groups after intervention</w:t>
      </w:r>
    </w:p>
    <w:p w14:paraId="4D71F93B" w14:textId="77777777" w:rsidR="00D70856" w:rsidRDefault="00000000" w:rsidP="00120300">
      <w:pPr>
        <w:rPr>
          <w:rFonts w:cs="Times New Roman"/>
        </w:rPr>
      </w:pPr>
      <w:r w:rsidRPr="00120300">
        <w:rPr>
          <w:rFonts w:cs="Times New Roman"/>
        </w:rPr>
        <w:t xml:space="preserve">See </w:t>
      </w:r>
      <w:r w:rsidRPr="00AD2547">
        <w:rPr>
          <w:rFonts w:cs="Times New Roman"/>
          <w:b/>
          <w:bCs/>
        </w:rPr>
        <w:t>Table 1</w:t>
      </w:r>
      <w:r w:rsidRPr="00120300">
        <w:rPr>
          <w:rFonts w:cs="Times New Roman"/>
        </w:rPr>
        <w:t xml:space="preserve"> for details.</w:t>
      </w:r>
    </w:p>
    <w:p w14:paraId="4154024D" w14:textId="77777777" w:rsidR="00BD41BA" w:rsidRDefault="00BD41BA" w:rsidP="00120300">
      <w:pPr>
        <w:rPr>
          <w:rFonts w:cs="Times New Roman"/>
        </w:rPr>
      </w:pPr>
    </w:p>
    <w:p w14:paraId="5ECAD603" w14:textId="2BB61398" w:rsidR="00BD41BA" w:rsidRPr="00BD41BA" w:rsidRDefault="00BD41BA" w:rsidP="00120300">
      <w:pPr>
        <w:rPr>
          <w:rFonts w:eastAsia="SimSun" w:cs="Times New Roman"/>
        </w:rPr>
      </w:pPr>
      <w:r w:rsidRPr="00AD2547">
        <w:rPr>
          <w:rFonts w:cs="Times New Roman"/>
          <w:b/>
          <w:bCs/>
        </w:rPr>
        <w:t>Table 1.</w:t>
      </w:r>
      <w:r w:rsidRPr="00BD41BA">
        <w:rPr>
          <w:rFonts w:cs="Times New Roman"/>
        </w:rPr>
        <w:t xml:space="preserve"> </w:t>
      </w:r>
      <w:r w:rsidRPr="00AD2547">
        <w:rPr>
          <w:rFonts w:cs="Times New Roman"/>
        </w:rPr>
        <w:t>Comparison of plaque morphology and lipid profile parameters</w:t>
      </w:r>
    </w:p>
    <w:tbl>
      <w:tblPr>
        <w:tblW w:w="5000" w:type="pct"/>
        <w:jc w:val="center"/>
        <w:tblCellMar>
          <w:top w:w="15" w:type="dxa"/>
          <w:left w:w="15" w:type="dxa"/>
          <w:bottom w:w="15" w:type="dxa"/>
          <w:right w:w="15" w:type="dxa"/>
        </w:tblCellMar>
        <w:tblLook w:val="04A0" w:firstRow="1" w:lastRow="0" w:firstColumn="1" w:lastColumn="0" w:noHBand="0" w:noVBand="1"/>
      </w:tblPr>
      <w:tblGrid>
        <w:gridCol w:w="1453"/>
        <w:gridCol w:w="1050"/>
        <w:gridCol w:w="1540"/>
        <w:gridCol w:w="1163"/>
        <w:gridCol w:w="1294"/>
        <w:gridCol w:w="1294"/>
        <w:gridCol w:w="1844"/>
      </w:tblGrid>
      <w:tr w:rsidR="00D70856" w:rsidRPr="00120300" w14:paraId="2CC9AA1F" w14:textId="77777777" w:rsidTr="00AD2547">
        <w:trPr>
          <w:tblHeader/>
          <w:jc w:val="center"/>
        </w:trPr>
        <w:tc>
          <w:tcPr>
            <w:tcW w:w="743" w:type="pct"/>
            <w:tcBorders>
              <w:top w:val="single" w:sz="12" w:space="0" w:color="000000"/>
              <w:left w:val="nil"/>
              <w:bottom w:val="single" w:sz="4" w:space="0" w:color="000000"/>
              <w:right w:val="nil"/>
              <w:tl2br w:val="nil"/>
            </w:tcBorders>
            <w:shd w:val="clear" w:color="auto" w:fill="FFFFFF"/>
            <w:tcMar>
              <w:top w:w="80" w:type="dxa"/>
              <w:left w:w="80" w:type="dxa"/>
              <w:bottom w:w="80" w:type="dxa"/>
              <w:right w:w="80" w:type="dxa"/>
            </w:tcMar>
          </w:tcPr>
          <w:p w14:paraId="63D802D7" w14:textId="5B73AC66" w:rsidR="00D70856" w:rsidRPr="00AD2547" w:rsidRDefault="00BD41BA" w:rsidP="00AD2547">
            <w:pPr>
              <w:jc w:val="left"/>
              <w:rPr>
                <w:rFonts w:eastAsia="SimSun" w:cs="Times New Roman"/>
                <w:b/>
                <w:bCs/>
                <w:color w:val="000000"/>
              </w:rPr>
            </w:pPr>
            <w:r w:rsidRPr="00AD2547">
              <w:rPr>
                <w:rFonts w:cs="Times New Roman"/>
                <w:b/>
                <w:bCs/>
                <w:color w:val="000000"/>
              </w:rPr>
              <w:t>Group</w:t>
            </w:r>
          </w:p>
        </w:tc>
        <w:tc>
          <w:tcPr>
            <w:tcW w:w="547" w:type="pct"/>
            <w:tcBorders>
              <w:top w:val="single" w:sz="12" w:space="0" w:color="000000"/>
              <w:left w:val="nil"/>
              <w:bottom w:val="single" w:sz="4" w:space="0" w:color="000000"/>
              <w:right w:val="nil"/>
            </w:tcBorders>
            <w:shd w:val="clear" w:color="auto" w:fill="FFFFFF"/>
            <w:tcMar>
              <w:top w:w="80" w:type="dxa"/>
              <w:left w:w="80" w:type="dxa"/>
              <w:bottom w:w="80" w:type="dxa"/>
              <w:right w:w="80" w:type="dxa"/>
            </w:tcMar>
          </w:tcPr>
          <w:p w14:paraId="201487D8" w14:textId="77777777" w:rsidR="00D70856" w:rsidRPr="00AD2547" w:rsidRDefault="00000000" w:rsidP="00AD2547">
            <w:pPr>
              <w:jc w:val="center"/>
              <w:rPr>
                <w:rFonts w:eastAsia="SimSun" w:cs="Times New Roman"/>
                <w:b/>
                <w:bCs/>
                <w:color w:val="000000"/>
              </w:rPr>
            </w:pPr>
            <w:r w:rsidRPr="00AD2547">
              <w:rPr>
                <w:rFonts w:cs="Times New Roman"/>
                <w:b/>
                <w:bCs/>
                <w:color w:val="000000"/>
              </w:rPr>
              <w:t>Number of Cases</w:t>
            </w:r>
          </w:p>
        </w:tc>
        <w:tc>
          <w:tcPr>
            <w:tcW w:w="801" w:type="pct"/>
            <w:tcBorders>
              <w:top w:val="single" w:sz="12" w:space="0" w:color="000000"/>
              <w:left w:val="nil"/>
              <w:bottom w:val="single" w:sz="4" w:space="0" w:color="000000"/>
              <w:right w:val="nil"/>
            </w:tcBorders>
            <w:shd w:val="clear" w:color="auto" w:fill="FFFFFF"/>
            <w:tcMar>
              <w:top w:w="80" w:type="dxa"/>
              <w:left w:w="80" w:type="dxa"/>
              <w:bottom w:w="80" w:type="dxa"/>
              <w:right w:w="80" w:type="dxa"/>
            </w:tcMar>
          </w:tcPr>
          <w:p w14:paraId="064C870F" w14:textId="77777777" w:rsidR="00D70856" w:rsidRPr="00AD2547" w:rsidRDefault="00000000" w:rsidP="00AD2547">
            <w:pPr>
              <w:jc w:val="center"/>
              <w:rPr>
                <w:rFonts w:eastAsia="SimSun" w:cs="Times New Roman"/>
                <w:b/>
                <w:bCs/>
                <w:color w:val="000000"/>
              </w:rPr>
            </w:pPr>
            <w:r w:rsidRPr="00AD2547">
              <w:rPr>
                <w:rFonts w:cs="Times New Roman"/>
                <w:b/>
                <w:bCs/>
                <w:color w:val="000000"/>
              </w:rPr>
              <w:t>Hair cap thickness (μm)</w:t>
            </w:r>
          </w:p>
        </w:tc>
        <w:tc>
          <w:tcPr>
            <w:tcW w:w="605" w:type="pct"/>
            <w:tcBorders>
              <w:top w:val="single" w:sz="12" w:space="0" w:color="000000"/>
              <w:left w:val="nil"/>
              <w:bottom w:val="single" w:sz="4" w:space="0" w:color="000000"/>
              <w:right w:val="nil"/>
            </w:tcBorders>
            <w:shd w:val="clear" w:color="auto" w:fill="FFFFFF"/>
            <w:tcMar>
              <w:top w:w="80" w:type="dxa"/>
              <w:left w:w="80" w:type="dxa"/>
              <w:bottom w:w="80" w:type="dxa"/>
              <w:right w:w="80" w:type="dxa"/>
            </w:tcMar>
          </w:tcPr>
          <w:p w14:paraId="5C658812" w14:textId="77777777" w:rsidR="00D70856" w:rsidRPr="00AD2547" w:rsidRDefault="00000000" w:rsidP="00AD2547">
            <w:pPr>
              <w:jc w:val="center"/>
              <w:rPr>
                <w:rFonts w:eastAsia="SimSun" w:cs="Times New Roman"/>
                <w:b/>
                <w:bCs/>
                <w:color w:val="000000"/>
              </w:rPr>
            </w:pPr>
            <w:r w:rsidRPr="00AD2547">
              <w:rPr>
                <w:rFonts w:cs="Times New Roman"/>
                <w:b/>
                <w:bCs/>
                <w:color w:val="000000"/>
              </w:rPr>
              <w:t>Lipid area (mm²)</w:t>
            </w:r>
          </w:p>
        </w:tc>
        <w:tc>
          <w:tcPr>
            <w:tcW w:w="673" w:type="pct"/>
            <w:tcBorders>
              <w:top w:val="single" w:sz="12" w:space="0" w:color="000000"/>
              <w:left w:val="nil"/>
              <w:bottom w:val="single" w:sz="4" w:space="0" w:color="000000"/>
              <w:right w:val="nil"/>
            </w:tcBorders>
            <w:shd w:val="clear" w:color="auto" w:fill="FFFFFF"/>
            <w:tcMar>
              <w:top w:w="80" w:type="dxa"/>
              <w:left w:w="80" w:type="dxa"/>
              <w:bottom w:w="80" w:type="dxa"/>
              <w:right w:w="80" w:type="dxa"/>
            </w:tcMar>
          </w:tcPr>
          <w:p w14:paraId="2B1269F3" w14:textId="77777777" w:rsidR="00D70856" w:rsidRPr="00AD2547" w:rsidRDefault="00000000" w:rsidP="00AD2547">
            <w:pPr>
              <w:jc w:val="center"/>
              <w:rPr>
                <w:rFonts w:eastAsia="SimSun" w:cs="Times New Roman"/>
                <w:b/>
                <w:bCs/>
                <w:color w:val="000000"/>
              </w:rPr>
            </w:pPr>
            <w:r w:rsidRPr="00AD2547">
              <w:rPr>
                <w:rFonts w:cs="Times New Roman"/>
                <w:b/>
                <w:bCs/>
                <w:color w:val="000000"/>
              </w:rPr>
              <w:t>Plaque burden (%):</w:t>
            </w:r>
          </w:p>
        </w:tc>
        <w:tc>
          <w:tcPr>
            <w:tcW w:w="673" w:type="pct"/>
            <w:tcBorders>
              <w:top w:val="single" w:sz="12" w:space="0" w:color="000000"/>
              <w:left w:val="nil"/>
              <w:bottom w:val="single" w:sz="4" w:space="0" w:color="000000"/>
              <w:right w:val="nil"/>
            </w:tcBorders>
            <w:shd w:val="clear" w:color="auto" w:fill="FFFFFF"/>
            <w:tcMar>
              <w:top w:w="80" w:type="dxa"/>
              <w:left w:w="80" w:type="dxa"/>
              <w:bottom w:w="80" w:type="dxa"/>
              <w:right w:w="80" w:type="dxa"/>
            </w:tcMar>
          </w:tcPr>
          <w:p w14:paraId="0026096C" w14:textId="77777777" w:rsidR="00D70856" w:rsidRPr="00AD2547" w:rsidRDefault="00000000" w:rsidP="00AD2547">
            <w:pPr>
              <w:jc w:val="center"/>
              <w:rPr>
                <w:rFonts w:eastAsia="SimSun" w:cs="Times New Roman"/>
                <w:b/>
                <w:bCs/>
                <w:color w:val="000000"/>
              </w:rPr>
            </w:pPr>
            <w:r w:rsidRPr="00AD2547">
              <w:rPr>
                <w:rFonts w:cs="Times New Roman"/>
                <w:b/>
                <w:bCs/>
                <w:color w:val="000000"/>
              </w:rPr>
              <w:t>Minimum lumen area (mm²)</w:t>
            </w:r>
          </w:p>
        </w:tc>
        <w:tc>
          <w:tcPr>
            <w:tcW w:w="959" w:type="pct"/>
            <w:tcBorders>
              <w:top w:val="single" w:sz="12" w:space="0" w:color="000000"/>
              <w:left w:val="nil"/>
              <w:bottom w:val="single" w:sz="4" w:space="0" w:color="000000"/>
              <w:right w:val="nil"/>
            </w:tcBorders>
            <w:shd w:val="clear" w:color="auto" w:fill="FFFFFF"/>
            <w:tcMar>
              <w:top w:w="80" w:type="dxa"/>
              <w:left w:w="80" w:type="dxa"/>
              <w:bottom w:w="80" w:type="dxa"/>
              <w:right w:w="80" w:type="dxa"/>
            </w:tcMar>
          </w:tcPr>
          <w:p w14:paraId="58234158" w14:textId="77777777" w:rsidR="00D70856" w:rsidRPr="00AD2547" w:rsidRDefault="00000000" w:rsidP="00AD2547">
            <w:pPr>
              <w:jc w:val="center"/>
              <w:rPr>
                <w:rFonts w:eastAsia="SimSun" w:cs="Times New Roman"/>
                <w:b/>
                <w:bCs/>
                <w:color w:val="000000"/>
              </w:rPr>
            </w:pPr>
            <w:r w:rsidRPr="00AD2547">
              <w:rPr>
                <w:rFonts w:cs="Times New Roman"/>
                <w:b/>
                <w:bCs/>
                <w:color w:val="000000"/>
              </w:rPr>
              <w:t>LDL-C(mmol/L)</w:t>
            </w:r>
          </w:p>
        </w:tc>
      </w:tr>
      <w:tr w:rsidR="00D70856" w:rsidRPr="00120300" w14:paraId="5AADFF7D" w14:textId="77777777" w:rsidTr="00AD2547">
        <w:trPr>
          <w:tblHeader/>
          <w:jc w:val="center"/>
        </w:trPr>
        <w:tc>
          <w:tcPr>
            <w:tcW w:w="743" w:type="pct"/>
            <w:tcBorders>
              <w:top w:val="single" w:sz="4" w:space="0" w:color="000000"/>
              <w:left w:val="nil"/>
              <w:bottom w:val="nil"/>
              <w:right w:val="nil"/>
            </w:tcBorders>
            <w:shd w:val="clear" w:color="auto" w:fill="FFFFFF"/>
            <w:tcMar>
              <w:top w:w="80" w:type="dxa"/>
              <w:left w:w="80" w:type="dxa"/>
              <w:bottom w:w="80" w:type="dxa"/>
              <w:right w:w="80" w:type="dxa"/>
            </w:tcMar>
          </w:tcPr>
          <w:p w14:paraId="27CFE410" w14:textId="317EBBD0" w:rsidR="00D70856" w:rsidRPr="00120300" w:rsidRDefault="00BD41BA" w:rsidP="00AD2547">
            <w:pPr>
              <w:jc w:val="left"/>
              <w:rPr>
                <w:rFonts w:eastAsia="SimSun" w:cs="Times New Roman"/>
                <w:color w:val="000000"/>
              </w:rPr>
            </w:pPr>
            <w:r w:rsidRPr="00120300">
              <w:rPr>
                <w:rFonts w:cs="Times New Roman"/>
                <w:color w:val="000000"/>
              </w:rPr>
              <w:t xml:space="preserve">Control </w:t>
            </w:r>
            <w:r w:rsidR="00000000" w:rsidRPr="00120300">
              <w:rPr>
                <w:rFonts w:cs="Times New Roman"/>
                <w:color w:val="000000"/>
              </w:rPr>
              <w:t>group</w:t>
            </w:r>
          </w:p>
        </w:tc>
        <w:tc>
          <w:tcPr>
            <w:tcW w:w="547" w:type="pct"/>
            <w:tcBorders>
              <w:top w:val="single" w:sz="4" w:space="0" w:color="000000"/>
              <w:left w:val="nil"/>
              <w:bottom w:val="nil"/>
              <w:right w:val="nil"/>
            </w:tcBorders>
            <w:shd w:val="clear" w:color="auto" w:fill="FFFFFF"/>
            <w:tcMar>
              <w:top w:w="80" w:type="dxa"/>
              <w:left w:w="80" w:type="dxa"/>
              <w:bottom w:w="80" w:type="dxa"/>
              <w:right w:w="80" w:type="dxa"/>
            </w:tcMar>
          </w:tcPr>
          <w:p w14:paraId="0B0A4EC3" w14:textId="77777777" w:rsidR="00D70856" w:rsidRPr="00120300" w:rsidRDefault="00000000" w:rsidP="00AD2547">
            <w:pPr>
              <w:jc w:val="center"/>
              <w:rPr>
                <w:rFonts w:eastAsia="SimSun" w:cs="Times New Roman"/>
                <w:color w:val="000000"/>
              </w:rPr>
            </w:pPr>
            <w:r w:rsidRPr="00120300">
              <w:rPr>
                <w:rFonts w:cs="Times New Roman"/>
                <w:color w:val="000000"/>
              </w:rPr>
              <w:t>20</w:t>
            </w:r>
          </w:p>
        </w:tc>
        <w:tc>
          <w:tcPr>
            <w:tcW w:w="801" w:type="pct"/>
            <w:tcBorders>
              <w:top w:val="single" w:sz="4" w:space="0" w:color="000000"/>
              <w:left w:val="nil"/>
              <w:bottom w:val="nil"/>
              <w:right w:val="nil"/>
            </w:tcBorders>
            <w:shd w:val="clear" w:color="auto" w:fill="FFFFFF"/>
            <w:tcMar>
              <w:top w:w="80" w:type="dxa"/>
              <w:left w:w="80" w:type="dxa"/>
              <w:bottom w:w="80" w:type="dxa"/>
              <w:right w:w="80" w:type="dxa"/>
            </w:tcMar>
          </w:tcPr>
          <w:p w14:paraId="1539D23A" w14:textId="66B4C212" w:rsidR="00D70856" w:rsidRPr="00120300" w:rsidRDefault="00000000" w:rsidP="00AD2547">
            <w:pPr>
              <w:jc w:val="center"/>
              <w:rPr>
                <w:rFonts w:eastAsia="SimSun" w:cs="Times New Roman"/>
                <w:color w:val="000000"/>
              </w:rPr>
            </w:pPr>
            <w:r w:rsidRPr="00120300">
              <w:rPr>
                <w:rFonts w:cs="Times New Roman"/>
                <w:color w:val="000000"/>
              </w:rPr>
              <w:t>132.36</w:t>
            </w:r>
            <w:r w:rsidR="00BD41BA">
              <w:rPr>
                <w:rFonts w:cs="Times New Roman"/>
                <w:color w:val="000000"/>
              </w:rPr>
              <w:t xml:space="preserve"> ± </w:t>
            </w:r>
            <w:r w:rsidRPr="00120300">
              <w:rPr>
                <w:rFonts w:cs="Times New Roman"/>
                <w:color w:val="000000"/>
              </w:rPr>
              <w:t>15.24</w:t>
            </w:r>
          </w:p>
        </w:tc>
        <w:tc>
          <w:tcPr>
            <w:tcW w:w="605" w:type="pct"/>
            <w:tcBorders>
              <w:top w:val="single" w:sz="4" w:space="0" w:color="000000"/>
              <w:left w:val="nil"/>
              <w:bottom w:val="nil"/>
              <w:right w:val="nil"/>
            </w:tcBorders>
            <w:shd w:val="clear" w:color="auto" w:fill="FFFFFF"/>
            <w:tcMar>
              <w:top w:w="80" w:type="dxa"/>
              <w:left w:w="80" w:type="dxa"/>
              <w:bottom w:w="80" w:type="dxa"/>
              <w:right w:w="80" w:type="dxa"/>
            </w:tcMar>
          </w:tcPr>
          <w:p w14:paraId="27FBF1B5" w14:textId="3F860B06" w:rsidR="00D70856" w:rsidRPr="00120300" w:rsidRDefault="00000000" w:rsidP="00AD2547">
            <w:pPr>
              <w:jc w:val="center"/>
              <w:rPr>
                <w:rFonts w:eastAsia="SimSun" w:cs="Times New Roman"/>
                <w:color w:val="000000"/>
              </w:rPr>
            </w:pPr>
            <w:r w:rsidRPr="00120300">
              <w:rPr>
                <w:rFonts w:cs="Times New Roman"/>
                <w:color w:val="000000"/>
              </w:rPr>
              <w:t>3.85</w:t>
            </w:r>
            <w:r w:rsidR="00BD41BA">
              <w:rPr>
                <w:rFonts w:cs="Times New Roman"/>
                <w:color w:val="000000"/>
              </w:rPr>
              <w:t xml:space="preserve"> ± </w:t>
            </w:r>
            <w:r w:rsidRPr="00120300">
              <w:rPr>
                <w:rFonts w:cs="Times New Roman"/>
                <w:color w:val="000000"/>
              </w:rPr>
              <w:t>0.62</w:t>
            </w:r>
          </w:p>
        </w:tc>
        <w:tc>
          <w:tcPr>
            <w:tcW w:w="673" w:type="pct"/>
            <w:tcBorders>
              <w:top w:val="single" w:sz="4" w:space="0" w:color="000000"/>
              <w:left w:val="nil"/>
              <w:bottom w:val="nil"/>
              <w:right w:val="nil"/>
            </w:tcBorders>
            <w:shd w:val="clear" w:color="auto" w:fill="FFFFFF"/>
            <w:tcMar>
              <w:top w:w="80" w:type="dxa"/>
              <w:left w:w="80" w:type="dxa"/>
              <w:bottom w:w="80" w:type="dxa"/>
              <w:right w:w="80" w:type="dxa"/>
            </w:tcMar>
          </w:tcPr>
          <w:p w14:paraId="0AF2D42C" w14:textId="1461C0E5" w:rsidR="00D70856" w:rsidRPr="00120300" w:rsidRDefault="00000000" w:rsidP="00AD2547">
            <w:pPr>
              <w:jc w:val="center"/>
              <w:rPr>
                <w:rFonts w:eastAsia="SimSun" w:cs="Times New Roman"/>
                <w:color w:val="000000"/>
              </w:rPr>
            </w:pPr>
            <w:r w:rsidRPr="00120300">
              <w:rPr>
                <w:rFonts w:cs="Times New Roman"/>
                <w:color w:val="000000"/>
              </w:rPr>
              <w:t>72.35</w:t>
            </w:r>
            <w:r w:rsidR="00BD41BA">
              <w:rPr>
                <w:rFonts w:cs="Times New Roman"/>
                <w:color w:val="000000"/>
              </w:rPr>
              <w:t xml:space="preserve"> ± </w:t>
            </w:r>
            <w:r w:rsidRPr="00120300">
              <w:rPr>
                <w:rFonts w:cs="Times New Roman"/>
                <w:color w:val="000000"/>
              </w:rPr>
              <w:t>6.85</w:t>
            </w:r>
          </w:p>
        </w:tc>
        <w:tc>
          <w:tcPr>
            <w:tcW w:w="673" w:type="pct"/>
            <w:tcBorders>
              <w:top w:val="single" w:sz="4" w:space="0" w:color="000000"/>
              <w:left w:val="nil"/>
              <w:bottom w:val="nil"/>
              <w:right w:val="nil"/>
            </w:tcBorders>
            <w:shd w:val="clear" w:color="auto" w:fill="FFFFFF"/>
            <w:tcMar>
              <w:top w:w="80" w:type="dxa"/>
              <w:left w:w="80" w:type="dxa"/>
              <w:bottom w:w="80" w:type="dxa"/>
              <w:right w:w="80" w:type="dxa"/>
            </w:tcMar>
          </w:tcPr>
          <w:p w14:paraId="4E7FB5CA" w14:textId="0531D142" w:rsidR="00D70856" w:rsidRPr="00120300" w:rsidRDefault="00000000" w:rsidP="00AD2547">
            <w:pPr>
              <w:jc w:val="center"/>
              <w:rPr>
                <w:rFonts w:eastAsia="SimSun" w:cs="Times New Roman"/>
                <w:color w:val="000000"/>
              </w:rPr>
            </w:pPr>
            <w:r w:rsidRPr="00120300">
              <w:rPr>
                <w:rFonts w:cs="Times New Roman"/>
                <w:color w:val="000000"/>
              </w:rPr>
              <w:t>2.15</w:t>
            </w:r>
            <w:r w:rsidR="00BD41BA">
              <w:rPr>
                <w:rFonts w:cs="Times New Roman"/>
                <w:color w:val="000000"/>
              </w:rPr>
              <w:t xml:space="preserve"> ± </w:t>
            </w:r>
            <w:r w:rsidRPr="00120300">
              <w:rPr>
                <w:rFonts w:cs="Times New Roman"/>
                <w:color w:val="000000"/>
              </w:rPr>
              <w:t>0.42</w:t>
            </w:r>
          </w:p>
        </w:tc>
        <w:tc>
          <w:tcPr>
            <w:tcW w:w="959" w:type="pct"/>
            <w:tcBorders>
              <w:top w:val="single" w:sz="4" w:space="0" w:color="000000"/>
              <w:left w:val="nil"/>
              <w:bottom w:val="nil"/>
              <w:right w:val="nil"/>
            </w:tcBorders>
            <w:shd w:val="clear" w:color="auto" w:fill="FFFFFF"/>
            <w:tcMar>
              <w:top w:w="80" w:type="dxa"/>
              <w:left w:w="80" w:type="dxa"/>
              <w:bottom w:w="80" w:type="dxa"/>
              <w:right w:w="80" w:type="dxa"/>
            </w:tcMar>
          </w:tcPr>
          <w:p w14:paraId="1C2A9F97" w14:textId="63359010" w:rsidR="00D70856" w:rsidRPr="00120300" w:rsidRDefault="00000000" w:rsidP="00AD2547">
            <w:pPr>
              <w:jc w:val="center"/>
              <w:rPr>
                <w:rFonts w:eastAsia="SimSun" w:cs="Times New Roman"/>
                <w:color w:val="000000"/>
              </w:rPr>
            </w:pPr>
            <w:r w:rsidRPr="00120300">
              <w:rPr>
                <w:rFonts w:cs="Times New Roman"/>
                <w:color w:val="000000"/>
              </w:rPr>
              <w:t>2.86</w:t>
            </w:r>
            <w:r w:rsidR="00BD41BA">
              <w:rPr>
                <w:rFonts w:cs="Times New Roman"/>
                <w:color w:val="000000"/>
              </w:rPr>
              <w:t xml:space="preserve"> ± </w:t>
            </w:r>
            <w:r w:rsidRPr="00120300">
              <w:rPr>
                <w:rFonts w:cs="Times New Roman"/>
                <w:color w:val="000000"/>
              </w:rPr>
              <w:t>0.52</w:t>
            </w:r>
          </w:p>
        </w:tc>
      </w:tr>
      <w:tr w:rsidR="00D70856" w:rsidRPr="00120300" w14:paraId="50D39F47" w14:textId="77777777" w:rsidTr="00AD2547">
        <w:trPr>
          <w:tblHeader/>
          <w:jc w:val="center"/>
        </w:trPr>
        <w:tc>
          <w:tcPr>
            <w:tcW w:w="743" w:type="pct"/>
            <w:tcBorders>
              <w:top w:val="nil"/>
              <w:left w:val="nil"/>
              <w:bottom w:val="nil"/>
              <w:right w:val="nil"/>
            </w:tcBorders>
            <w:shd w:val="clear" w:color="auto" w:fill="FFFFFF"/>
            <w:tcMar>
              <w:top w:w="80" w:type="dxa"/>
              <w:left w:w="80" w:type="dxa"/>
              <w:bottom w:w="80" w:type="dxa"/>
              <w:right w:w="80" w:type="dxa"/>
            </w:tcMar>
          </w:tcPr>
          <w:p w14:paraId="152B74F6" w14:textId="68E2AF79" w:rsidR="00D70856" w:rsidRPr="00120300" w:rsidRDefault="00BD41BA" w:rsidP="00AD2547">
            <w:pPr>
              <w:jc w:val="left"/>
              <w:rPr>
                <w:rFonts w:eastAsia="SimSun" w:cs="Times New Roman"/>
                <w:color w:val="000000"/>
              </w:rPr>
            </w:pPr>
            <w:r w:rsidRPr="00120300">
              <w:rPr>
                <w:rFonts w:cs="Times New Roman"/>
                <w:color w:val="000000"/>
              </w:rPr>
              <w:t xml:space="preserve">Experimental </w:t>
            </w:r>
            <w:r w:rsidR="00000000" w:rsidRPr="00120300">
              <w:rPr>
                <w:rFonts w:cs="Times New Roman"/>
                <w:color w:val="000000"/>
              </w:rPr>
              <w:t>group</w:t>
            </w:r>
          </w:p>
        </w:tc>
        <w:tc>
          <w:tcPr>
            <w:tcW w:w="547" w:type="pct"/>
            <w:tcBorders>
              <w:top w:val="nil"/>
              <w:left w:val="nil"/>
              <w:bottom w:val="nil"/>
              <w:right w:val="nil"/>
            </w:tcBorders>
            <w:shd w:val="clear" w:color="auto" w:fill="FFFFFF"/>
            <w:tcMar>
              <w:top w:w="80" w:type="dxa"/>
              <w:left w:w="80" w:type="dxa"/>
              <w:bottom w:w="80" w:type="dxa"/>
              <w:right w:w="80" w:type="dxa"/>
            </w:tcMar>
          </w:tcPr>
          <w:p w14:paraId="2C5C779C" w14:textId="77777777" w:rsidR="00D70856" w:rsidRPr="00120300" w:rsidRDefault="00000000" w:rsidP="00AD2547">
            <w:pPr>
              <w:jc w:val="center"/>
              <w:rPr>
                <w:rFonts w:eastAsia="SimSun" w:cs="Times New Roman"/>
                <w:color w:val="000000"/>
              </w:rPr>
            </w:pPr>
            <w:r w:rsidRPr="00120300">
              <w:rPr>
                <w:rFonts w:cs="Times New Roman"/>
                <w:color w:val="000000"/>
              </w:rPr>
              <w:t>20</w:t>
            </w:r>
          </w:p>
        </w:tc>
        <w:tc>
          <w:tcPr>
            <w:tcW w:w="801" w:type="pct"/>
            <w:tcBorders>
              <w:top w:val="nil"/>
              <w:left w:val="nil"/>
              <w:bottom w:val="nil"/>
              <w:right w:val="nil"/>
            </w:tcBorders>
            <w:shd w:val="clear" w:color="auto" w:fill="FFFFFF"/>
            <w:tcMar>
              <w:top w:w="80" w:type="dxa"/>
              <w:left w:w="80" w:type="dxa"/>
              <w:bottom w:w="80" w:type="dxa"/>
              <w:right w:w="80" w:type="dxa"/>
            </w:tcMar>
          </w:tcPr>
          <w:p w14:paraId="152DD664" w14:textId="18E4B3C5" w:rsidR="00D70856" w:rsidRPr="00120300" w:rsidRDefault="00000000" w:rsidP="00AD2547">
            <w:pPr>
              <w:jc w:val="center"/>
              <w:rPr>
                <w:rFonts w:eastAsia="SimSun" w:cs="Times New Roman"/>
                <w:color w:val="000000"/>
              </w:rPr>
            </w:pPr>
            <w:r w:rsidRPr="00120300">
              <w:rPr>
                <w:rFonts w:cs="Times New Roman"/>
                <w:color w:val="000000"/>
              </w:rPr>
              <w:t>186.52</w:t>
            </w:r>
            <w:r w:rsidR="00BD41BA">
              <w:rPr>
                <w:rFonts w:cs="Times New Roman"/>
                <w:color w:val="000000"/>
              </w:rPr>
              <w:t xml:space="preserve"> ± </w:t>
            </w:r>
            <w:r w:rsidRPr="00120300">
              <w:rPr>
                <w:rFonts w:cs="Times New Roman"/>
                <w:color w:val="000000"/>
              </w:rPr>
              <w:t>12.38</w:t>
            </w:r>
          </w:p>
        </w:tc>
        <w:tc>
          <w:tcPr>
            <w:tcW w:w="605" w:type="pct"/>
            <w:tcBorders>
              <w:top w:val="nil"/>
              <w:left w:val="nil"/>
              <w:bottom w:val="nil"/>
              <w:right w:val="nil"/>
            </w:tcBorders>
            <w:shd w:val="clear" w:color="auto" w:fill="FFFFFF"/>
            <w:tcMar>
              <w:top w:w="80" w:type="dxa"/>
              <w:left w:w="80" w:type="dxa"/>
              <w:bottom w:w="80" w:type="dxa"/>
              <w:right w:w="80" w:type="dxa"/>
            </w:tcMar>
          </w:tcPr>
          <w:p w14:paraId="3F997EB7" w14:textId="18D14D02" w:rsidR="00D70856" w:rsidRPr="00120300" w:rsidRDefault="00000000" w:rsidP="00AD2547">
            <w:pPr>
              <w:jc w:val="center"/>
              <w:rPr>
                <w:rFonts w:eastAsia="SimSun" w:cs="Times New Roman"/>
                <w:color w:val="000000"/>
              </w:rPr>
            </w:pPr>
            <w:r w:rsidRPr="00120300">
              <w:rPr>
                <w:rFonts w:cs="Times New Roman"/>
                <w:color w:val="000000"/>
              </w:rPr>
              <w:t>2.12</w:t>
            </w:r>
            <w:r w:rsidR="00BD41BA">
              <w:rPr>
                <w:rFonts w:cs="Times New Roman"/>
                <w:color w:val="000000"/>
              </w:rPr>
              <w:t xml:space="preserve"> ± </w:t>
            </w:r>
            <w:r w:rsidRPr="00120300">
              <w:rPr>
                <w:rFonts w:cs="Times New Roman"/>
                <w:color w:val="000000"/>
              </w:rPr>
              <w:t>0.45</w:t>
            </w:r>
          </w:p>
        </w:tc>
        <w:tc>
          <w:tcPr>
            <w:tcW w:w="673" w:type="pct"/>
            <w:tcBorders>
              <w:top w:val="nil"/>
              <w:left w:val="nil"/>
              <w:bottom w:val="nil"/>
              <w:right w:val="nil"/>
            </w:tcBorders>
            <w:shd w:val="clear" w:color="auto" w:fill="FFFFFF"/>
            <w:tcMar>
              <w:top w:w="80" w:type="dxa"/>
              <w:left w:w="80" w:type="dxa"/>
              <w:bottom w:w="80" w:type="dxa"/>
              <w:right w:w="80" w:type="dxa"/>
            </w:tcMar>
          </w:tcPr>
          <w:p w14:paraId="7A7F3895" w14:textId="3084014C" w:rsidR="00D70856" w:rsidRPr="00120300" w:rsidRDefault="00000000" w:rsidP="00AD2547">
            <w:pPr>
              <w:jc w:val="center"/>
              <w:rPr>
                <w:rFonts w:eastAsia="SimSun" w:cs="Times New Roman"/>
                <w:color w:val="000000"/>
              </w:rPr>
            </w:pPr>
            <w:r w:rsidRPr="00120300">
              <w:rPr>
                <w:rFonts w:cs="Times New Roman"/>
                <w:color w:val="000000"/>
              </w:rPr>
              <w:t>58.62</w:t>
            </w:r>
            <w:r w:rsidR="00BD41BA">
              <w:rPr>
                <w:rFonts w:cs="Times New Roman"/>
                <w:color w:val="000000"/>
              </w:rPr>
              <w:t xml:space="preserve"> ± </w:t>
            </w:r>
            <w:r w:rsidRPr="00120300">
              <w:rPr>
                <w:rFonts w:cs="Times New Roman"/>
                <w:color w:val="000000"/>
              </w:rPr>
              <w:t>5.36</w:t>
            </w:r>
          </w:p>
        </w:tc>
        <w:tc>
          <w:tcPr>
            <w:tcW w:w="673" w:type="pct"/>
            <w:tcBorders>
              <w:top w:val="nil"/>
              <w:left w:val="nil"/>
              <w:bottom w:val="nil"/>
              <w:right w:val="nil"/>
            </w:tcBorders>
            <w:shd w:val="clear" w:color="auto" w:fill="FFFFFF"/>
            <w:tcMar>
              <w:top w:w="80" w:type="dxa"/>
              <w:left w:w="80" w:type="dxa"/>
              <w:bottom w:w="80" w:type="dxa"/>
              <w:right w:w="80" w:type="dxa"/>
            </w:tcMar>
          </w:tcPr>
          <w:p w14:paraId="2B0DF7C0" w14:textId="53328398" w:rsidR="00D70856" w:rsidRPr="00120300" w:rsidRDefault="00000000" w:rsidP="00AD2547">
            <w:pPr>
              <w:jc w:val="center"/>
              <w:rPr>
                <w:rFonts w:eastAsia="SimSun" w:cs="Times New Roman"/>
                <w:color w:val="000000"/>
              </w:rPr>
            </w:pPr>
            <w:r w:rsidRPr="00120300">
              <w:rPr>
                <w:rFonts w:cs="Times New Roman"/>
                <w:color w:val="000000"/>
              </w:rPr>
              <w:t>2.89</w:t>
            </w:r>
            <w:r w:rsidR="00BD41BA">
              <w:rPr>
                <w:rFonts w:cs="Times New Roman"/>
                <w:color w:val="000000"/>
              </w:rPr>
              <w:t xml:space="preserve"> ± </w:t>
            </w:r>
            <w:r w:rsidRPr="00120300">
              <w:rPr>
                <w:rFonts w:cs="Times New Roman"/>
                <w:color w:val="000000"/>
              </w:rPr>
              <w:t>0.36</w:t>
            </w:r>
          </w:p>
        </w:tc>
        <w:tc>
          <w:tcPr>
            <w:tcW w:w="959" w:type="pct"/>
            <w:tcBorders>
              <w:top w:val="nil"/>
              <w:left w:val="nil"/>
              <w:bottom w:val="nil"/>
              <w:right w:val="nil"/>
            </w:tcBorders>
            <w:shd w:val="clear" w:color="auto" w:fill="FFFFFF"/>
            <w:tcMar>
              <w:top w:w="80" w:type="dxa"/>
              <w:left w:w="80" w:type="dxa"/>
              <w:bottom w:w="80" w:type="dxa"/>
              <w:right w:w="80" w:type="dxa"/>
            </w:tcMar>
          </w:tcPr>
          <w:p w14:paraId="5D78B6D1" w14:textId="53EF46E5" w:rsidR="00D70856" w:rsidRPr="00120300" w:rsidRDefault="00000000" w:rsidP="00AD2547">
            <w:pPr>
              <w:jc w:val="center"/>
              <w:rPr>
                <w:rFonts w:eastAsia="SimSun" w:cs="Times New Roman"/>
                <w:color w:val="000000"/>
              </w:rPr>
            </w:pPr>
            <w:r w:rsidRPr="00120300">
              <w:rPr>
                <w:rFonts w:cs="Times New Roman"/>
                <w:color w:val="000000"/>
              </w:rPr>
              <w:t>1.62</w:t>
            </w:r>
            <w:r w:rsidR="00BD41BA">
              <w:rPr>
                <w:rFonts w:cs="Times New Roman"/>
                <w:color w:val="000000"/>
              </w:rPr>
              <w:t xml:space="preserve"> ± </w:t>
            </w:r>
            <w:r w:rsidRPr="00120300">
              <w:rPr>
                <w:rFonts w:cs="Times New Roman"/>
                <w:color w:val="000000"/>
              </w:rPr>
              <w:t>0.38</w:t>
            </w:r>
          </w:p>
        </w:tc>
      </w:tr>
      <w:tr w:rsidR="00D70856" w:rsidRPr="00120300" w14:paraId="2A907FCE" w14:textId="77777777" w:rsidTr="00AD2547">
        <w:trPr>
          <w:tblHeader/>
          <w:jc w:val="center"/>
        </w:trPr>
        <w:tc>
          <w:tcPr>
            <w:tcW w:w="743" w:type="pct"/>
            <w:tcBorders>
              <w:top w:val="nil"/>
              <w:left w:val="nil"/>
              <w:bottom w:val="nil"/>
              <w:right w:val="nil"/>
            </w:tcBorders>
            <w:shd w:val="clear" w:color="auto" w:fill="FFFFFF"/>
            <w:tcMar>
              <w:top w:w="80" w:type="dxa"/>
              <w:left w:w="80" w:type="dxa"/>
              <w:bottom w:w="80" w:type="dxa"/>
              <w:right w:w="80" w:type="dxa"/>
            </w:tcMar>
          </w:tcPr>
          <w:p w14:paraId="4152503A" w14:textId="70D5F1DB" w:rsidR="00D70856" w:rsidRPr="00120300" w:rsidRDefault="00000000" w:rsidP="00AD2547">
            <w:pPr>
              <w:jc w:val="left"/>
              <w:rPr>
                <w:rFonts w:eastAsia="SimSun" w:cs="Times New Roman"/>
                <w:color w:val="000000"/>
              </w:rPr>
            </w:pPr>
            <w:r w:rsidRPr="00120300">
              <w:rPr>
                <w:rFonts w:cs="Times New Roman"/>
                <w:i/>
                <w:iCs/>
                <w:color w:val="000000"/>
              </w:rPr>
              <w:t>t</w:t>
            </w:r>
          </w:p>
        </w:tc>
        <w:tc>
          <w:tcPr>
            <w:tcW w:w="547" w:type="pct"/>
            <w:tcBorders>
              <w:top w:val="nil"/>
              <w:left w:val="nil"/>
              <w:bottom w:val="nil"/>
              <w:right w:val="nil"/>
            </w:tcBorders>
            <w:shd w:val="clear" w:color="auto" w:fill="FFFFFF"/>
            <w:tcMar>
              <w:top w:w="80" w:type="dxa"/>
              <w:left w:w="80" w:type="dxa"/>
              <w:bottom w:w="80" w:type="dxa"/>
              <w:right w:w="80" w:type="dxa"/>
            </w:tcMar>
          </w:tcPr>
          <w:p w14:paraId="7B3F4DB7" w14:textId="77777777" w:rsidR="00D70856" w:rsidRPr="00120300" w:rsidRDefault="00000000" w:rsidP="00AD2547">
            <w:pPr>
              <w:jc w:val="center"/>
              <w:rPr>
                <w:rFonts w:eastAsia="SimSun" w:cs="Times New Roman"/>
                <w:color w:val="000000"/>
              </w:rPr>
            </w:pPr>
            <w:r w:rsidRPr="00120300">
              <w:rPr>
                <w:rFonts w:cs="Times New Roman"/>
                <w:color w:val="000000"/>
              </w:rPr>
              <w:t>-</w:t>
            </w:r>
          </w:p>
        </w:tc>
        <w:tc>
          <w:tcPr>
            <w:tcW w:w="801" w:type="pct"/>
            <w:tcBorders>
              <w:top w:val="nil"/>
              <w:left w:val="nil"/>
              <w:bottom w:val="nil"/>
              <w:right w:val="nil"/>
            </w:tcBorders>
            <w:shd w:val="clear" w:color="auto" w:fill="FFFFFF"/>
            <w:tcMar>
              <w:top w:w="80" w:type="dxa"/>
              <w:left w:w="80" w:type="dxa"/>
              <w:bottom w:w="80" w:type="dxa"/>
              <w:right w:w="80" w:type="dxa"/>
            </w:tcMar>
          </w:tcPr>
          <w:p w14:paraId="0D012B31" w14:textId="77777777" w:rsidR="00D70856" w:rsidRPr="00120300" w:rsidRDefault="00000000" w:rsidP="00AD2547">
            <w:pPr>
              <w:jc w:val="center"/>
              <w:rPr>
                <w:rFonts w:eastAsia="SimSun" w:cs="Times New Roman"/>
                <w:color w:val="000000"/>
              </w:rPr>
            </w:pPr>
            <w:r w:rsidRPr="00120300">
              <w:rPr>
                <w:rFonts w:cs="Times New Roman"/>
                <w:color w:val="000000"/>
              </w:rPr>
              <w:t>12.458</w:t>
            </w:r>
          </w:p>
        </w:tc>
        <w:tc>
          <w:tcPr>
            <w:tcW w:w="605" w:type="pct"/>
            <w:tcBorders>
              <w:top w:val="nil"/>
              <w:left w:val="nil"/>
              <w:bottom w:val="nil"/>
              <w:right w:val="nil"/>
            </w:tcBorders>
            <w:shd w:val="clear" w:color="auto" w:fill="FFFFFF"/>
            <w:tcMar>
              <w:top w:w="80" w:type="dxa"/>
              <w:left w:w="80" w:type="dxa"/>
              <w:bottom w:w="80" w:type="dxa"/>
              <w:right w:w="80" w:type="dxa"/>
            </w:tcMar>
          </w:tcPr>
          <w:p w14:paraId="1A5C9E05" w14:textId="77777777" w:rsidR="00D70856" w:rsidRPr="00120300" w:rsidRDefault="00000000" w:rsidP="00AD2547">
            <w:pPr>
              <w:jc w:val="center"/>
              <w:rPr>
                <w:rFonts w:eastAsia="SimSun" w:cs="Times New Roman"/>
                <w:color w:val="000000"/>
              </w:rPr>
            </w:pPr>
            <w:r w:rsidRPr="00120300">
              <w:rPr>
                <w:rFonts w:cs="Times New Roman"/>
                <w:color w:val="000000"/>
              </w:rPr>
              <w:t>10.265</w:t>
            </w:r>
          </w:p>
        </w:tc>
        <w:tc>
          <w:tcPr>
            <w:tcW w:w="673" w:type="pct"/>
            <w:tcBorders>
              <w:top w:val="nil"/>
              <w:left w:val="nil"/>
              <w:bottom w:val="nil"/>
              <w:right w:val="nil"/>
            </w:tcBorders>
            <w:shd w:val="clear" w:color="auto" w:fill="FFFFFF"/>
            <w:tcMar>
              <w:top w:w="80" w:type="dxa"/>
              <w:left w:w="80" w:type="dxa"/>
              <w:bottom w:w="80" w:type="dxa"/>
              <w:right w:w="80" w:type="dxa"/>
            </w:tcMar>
          </w:tcPr>
          <w:p w14:paraId="25E6C353" w14:textId="77777777" w:rsidR="00D70856" w:rsidRPr="00120300" w:rsidRDefault="00000000" w:rsidP="00AD2547">
            <w:pPr>
              <w:jc w:val="center"/>
              <w:rPr>
                <w:rFonts w:eastAsia="SimSun" w:cs="Times New Roman"/>
                <w:color w:val="000000"/>
              </w:rPr>
            </w:pPr>
            <w:r w:rsidRPr="00120300">
              <w:rPr>
                <w:rFonts w:cs="Times New Roman"/>
                <w:color w:val="000000"/>
              </w:rPr>
              <w:t>7.965</w:t>
            </w:r>
          </w:p>
        </w:tc>
        <w:tc>
          <w:tcPr>
            <w:tcW w:w="673" w:type="pct"/>
            <w:tcBorders>
              <w:top w:val="nil"/>
              <w:left w:val="nil"/>
              <w:bottom w:val="nil"/>
              <w:right w:val="nil"/>
            </w:tcBorders>
            <w:shd w:val="clear" w:color="auto" w:fill="FFFFFF"/>
            <w:tcMar>
              <w:top w:w="80" w:type="dxa"/>
              <w:left w:w="80" w:type="dxa"/>
              <w:bottom w:w="80" w:type="dxa"/>
              <w:right w:w="80" w:type="dxa"/>
            </w:tcMar>
          </w:tcPr>
          <w:p w14:paraId="5298B0FF" w14:textId="77777777" w:rsidR="00D70856" w:rsidRPr="00120300" w:rsidRDefault="00000000" w:rsidP="00AD2547">
            <w:pPr>
              <w:jc w:val="center"/>
              <w:rPr>
                <w:rFonts w:eastAsia="SimSun" w:cs="Times New Roman"/>
                <w:color w:val="000000"/>
              </w:rPr>
            </w:pPr>
            <w:r w:rsidRPr="00120300">
              <w:rPr>
                <w:rFonts w:cs="Times New Roman"/>
                <w:color w:val="000000"/>
              </w:rPr>
              <w:t>6.125</w:t>
            </w:r>
          </w:p>
        </w:tc>
        <w:tc>
          <w:tcPr>
            <w:tcW w:w="959" w:type="pct"/>
            <w:tcBorders>
              <w:top w:val="nil"/>
              <w:left w:val="nil"/>
              <w:bottom w:val="nil"/>
              <w:right w:val="nil"/>
            </w:tcBorders>
            <w:shd w:val="clear" w:color="auto" w:fill="FFFFFF"/>
            <w:tcMar>
              <w:top w:w="80" w:type="dxa"/>
              <w:left w:w="80" w:type="dxa"/>
              <w:bottom w:w="80" w:type="dxa"/>
              <w:right w:w="80" w:type="dxa"/>
            </w:tcMar>
          </w:tcPr>
          <w:p w14:paraId="47A5BA4F" w14:textId="77777777" w:rsidR="00D70856" w:rsidRPr="00120300" w:rsidRDefault="00000000" w:rsidP="00AD2547">
            <w:pPr>
              <w:jc w:val="center"/>
              <w:rPr>
                <w:rFonts w:eastAsia="SimSun" w:cs="Times New Roman"/>
                <w:color w:val="000000"/>
              </w:rPr>
            </w:pPr>
            <w:r w:rsidRPr="00120300">
              <w:rPr>
                <w:rFonts w:cs="Times New Roman"/>
                <w:color w:val="000000"/>
              </w:rPr>
              <w:t>8.752</w:t>
            </w:r>
          </w:p>
        </w:tc>
      </w:tr>
      <w:tr w:rsidR="00D70856" w:rsidRPr="00120300" w14:paraId="46F6C519" w14:textId="77777777" w:rsidTr="00AD2547">
        <w:trPr>
          <w:tblHeader/>
          <w:jc w:val="center"/>
        </w:trPr>
        <w:tc>
          <w:tcPr>
            <w:tcW w:w="743" w:type="pct"/>
            <w:tcBorders>
              <w:top w:val="nil"/>
              <w:left w:val="nil"/>
              <w:bottom w:val="single" w:sz="12" w:space="0" w:color="000000"/>
              <w:right w:val="nil"/>
            </w:tcBorders>
            <w:shd w:val="clear" w:color="auto" w:fill="FFFFFF"/>
            <w:tcMar>
              <w:top w:w="80" w:type="dxa"/>
              <w:left w:w="80" w:type="dxa"/>
              <w:bottom w:w="80" w:type="dxa"/>
              <w:right w:w="80" w:type="dxa"/>
            </w:tcMar>
          </w:tcPr>
          <w:p w14:paraId="33F387B6" w14:textId="5AAC5F49" w:rsidR="00D70856" w:rsidRPr="00120300" w:rsidRDefault="00000000" w:rsidP="00AD2547">
            <w:pPr>
              <w:jc w:val="left"/>
              <w:rPr>
                <w:rFonts w:eastAsia="SimSun" w:cs="Times New Roman"/>
                <w:color w:val="000000"/>
              </w:rPr>
            </w:pPr>
            <w:r w:rsidRPr="00120300">
              <w:rPr>
                <w:rFonts w:cs="Times New Roman"/>
                <w:i/>
                <w:iCs/>
                <w:color w:val="000000"/>
              </w:rPr>
              <w:t>P</w:t>
            </w:r>
          </w:p>
        </w:tc>
        <w:tc>
          <w:tcPr>
            <w:tcW w:w="547" w:type="pct"/>
            <w:tcBorders>
              <w:top w:val="nil"/>
              <w:left w:val="nil"/>
              <w:bottom w:val="single" w:sz="12" w:space="0" w:color="000000"/>
              <w:right w:val="nil"/>
            </w:tcBorders>
            <w:shd w:val="clear" w:color="auto" w:fill="FFFFFF"/>
            <w:tcMar>
              <w:top w:w="80" w:type="dxa"/>
              <w:left w:w="80" w:type="dxa"/>
              <w:bottom w:w="80" w:type="dxa"/>
              <w:right w:w="80" w:type="dxa"/>
            </w:tcMar>
          </w:tcPr>
          <w:p w14:paraId="0C50BB82" w14:textId="77777777" w:rsidR="00D70856" w:rsidRPr="00120300" w:rsidRDefault="00000000" w:rsidP="00AD2547">
            <w:pPr>
              <w:jc w:val="center"/>
              <w:rPr>
                <w:rFonts w:eastAsia="SimSun" w:cs="Times New Roman"/>
                <w:color w:val="000000"/>
              </w:rPr>
            </w:pPr>
            <w:r w:rsidRPr="00120300">
              <w:rPr>
                <w:rFonts w:cs="Times New Roman"/>
                <w:color w:val="000000"/>
              </w:rPr>
              <w:t>-</w:t>
            </w:r>
          </w:p>
        </w:tc>
        <w:tc>
          <w:tcPr>
            <w:tcW w:w="801" w:type="pct"/>
            <w:tcBorders>
              <w:top w:val="nil"/>
              <w:left w:val="nil"/>
              <w:bottom w:val="single" w:sz="12" w:space="0" w:color="000000"/>
              <w:right w:val="nil"/>
            </w:tcBorders>
            <w:shd w:val="clear" w:color="auto" w:fill="FFFFFF"/>
            <w:tcMar>
              <w:top w:w="80" w:type="dxa"/>
              <w:left w:w="80" w:type="dxa"/>
              <w:bottom w:w="80" w:type="dxa"/>
              <w:right w:w="80" w:type="dxa"/>
            </w:tcMar>
          </w:tcPr>
          <w:p w14:paraId="0EF63103" w14:textId="77777777" w:rsidR="00D70856" w:rsidRPr="00120300" w:rsidRDefault="00000000" w:rsidP="00AD2547">
            <w:pPr>
              <w:jc w:val="center"/>
              <w:rPr>
                <w:rFonts w:eastAsia="SimSun" w:cs="Times New Roman"/>
                <w:color w:val="000000"/>
              </w:rPr>
            </w:pPr>
            <w:r w:rsidRPr="00120300">
              <w:rPr>
                <w:rFonts w:cs="Times New Roman"/>
                <w:color w:val="000000"/>
              </w:rPr>
              <w:t>&lt;0.05</w:t>
            </w:r>
          </w:p>
        </w:tc>
        <w:tc>
          <w:tcPr>
            <w:tcW w:w="605" w:type="pct"/>
            <w:tcBorders>
              <w:top w:val="nil"/>
              <w:left w:val="nil"/>
              <w:bottom w:val="single" w:sz="12" w:space="0" w:color="000000"/>
              <w:right w:val="nil"/>
            </w:tcBorders>
            <w:shd w:val="clear" w:color="auto" w:fill="FFFFFF"/>
            <w:tcMar>
              <w:top w:w="80" w:type="dxa"/>
              <w:left w:w="80" w:type="dxa"/>
              <w:bottom w:w="80" w:type="dxa"/>
              <w:right w:w="80" w:type="dxa"/>
            </w:tcMar>
          </w:tcPr>
          <w:p w14:paraId="7908A28D" w14:textId="77777777" w:rsidR="00D70856" w:rsidRPr="00120300" w:rsidRDefault="00000000" w:rsidP="00AD2547">
            <w:pPr>
              <w:jc w:val="center"/>
              <w:rPr>
                <w:rFonts w:eastAsia="SimSun" w:cs="Times New Roman"/>
                <w:color w:val="000000"/>
              </w:rPr>
            </w:pPr>
            <w:r w:rsidRPr="00120300">
              <w:rPr>
                <w:rFonts w:cs="Times New Roman"/>
                <w:color w:val="000000"/>
              </w:rPr>
              <w:t>&lt;0.05</w:t>
            </w:r>
          </w:p>
        </w:tc>
        <w:tc>
          <w:tcPr>
            <w:tcW w:w="673" w:type="pct"/>
            <w:tcBorders>
              <w:top w:val="nil"/>
              <w:left w:val="nil"/>
              <w:bottom w:val="single" w:sz="12" w:space="0" w:color="000000"/>
              <w:right w:val="nil"/>
            </w:tcBorders>
            <w:shd w:val="clear" w:color="auto" w:fill="FFFFFF"/>
            <w:tcMar>
              <w:top w:w="80" w:type="dxa"/>
              <w:left w:w="80" w:type="dxa"/>
              <w:bottom w:w="80" w:type="dxa"/>
              <w:right w:w="80" w:type="dxa"/>
            </w:tcMar>
          </w:tcPr>
          <w:p w14:paraId="4E5F5C78" w14:textId="77777777" w:rsidR="00D70856" w:rsidRPr="00120300" w:rsidRDefault="00000000" w:rsidP="00AD2547">
            <w:pPr>
              <w:jc w:val="center"/>
              <w:rPr>
                <w:rFonts w:eastAsia="SimSun" w:cs="Times New Roman"/>
                <w:color w:val="000000"/>
              </w:rPr>
            </w:pPr>
            <w:r w:rsidRPr="00120300">
              <w:rPr>
                <w:rFonts w:cs="Times New Roman"/>
                <w:color w:val="000000"/>
              </w:rPr>
              <w:t>&lt;0.05</w:t>
            </w:r>
          </w:p>
        </w:tc>
        <w:tc>
          <w:tcPr>
            <w:tcW w:w="673" w:type="pct"/>
            <w:tcBorders>
              <w:top w:val="nil"/>
              <w:left w:val="nil"/>
              <w:bottom w:val="single" w:sz="12" w:space="0" w:color="000000"/>
              <w:right w:val="nil"/>
            </w:tcBorders>
            <w:shd w:val="clear" w:color="auto" w:fill="FFFFFF"/>
            <w:tcMar>
              <w:top w:w="80" w:type="dxa"/>
              <w:left w:w="80" w:type="dxa"/>
              <w:bottom w:w="80" w:type="dxa"/>
              <w:right w:w="80" w:type="dxa"/>
            </w:tcMar>
          </w:tcPr>
          <w:p w14:paraId="2B7A4B30" w14:textId="77777777" w:rsidR="00D70856" w:rsidRPr="00120300" w:rsidRDefault="00000000" w:rsidP="00AD2547">
            <w:pPr>
              <w:jc w:val="center"/>
              <w:rPr>
                <w:rFonts w:eastAsia="SimSun" w:cs="Times New Roman"/>
                <w:color w:val="000000"/>
              </w:rPr>
            </w:pPr>
            <w:r w:rsidRPr="00120300">
              <w:rPr>
                <w:rFonts w:cs="Times New Roman"/>
                <w:color w:val="000000"/>
              </w:rPr>
              <w:t>&lt;0.05</w:t>
            </w:r>
          </w:p>
        </w:tc>
        <w:tc>
          <w:tcPr>
            <w:tcW w:w="959" w:type="pct"/>
            <w:tcBorders>
              <w:top w:val="nil"/>
              <w:left w:val="nil"/>
              <w:bottom w:val="single" w:sz="12" w:space="0" w:color="000000"/>
              <w:right w:val="nil"/>
            </w:tcBorders>
            <w:shd w:val="clear" w:color="auto" w:fill="FFFFFF"/>
            <w:tcMar>
              <w:top w:w="80" w:type="dxa"/>
              <w:left w:w="80" w:type="dxa"/>
              <w:bottom w:w="80" w:type="dxa"/>
              <w:right w:w="80" w:type="dxa"/>
            </w:tcMar>
          </w:tcPr>
          <w:p w14:paraId="75962007" w14:textId="77777777" w:rsidR="00D70856" w:rsidRPr="00120300" w:rsidRDefault="00000000" w:rsidP="00AD2547">
            <w:pPr>
              <w:jc w:val="center"/>
              <w:rPr>
                <w:rFonts w:eastAsia="SimSun" w:cs="Times New Roman"/>
                <w:color w:val="000000"/>
              </w:rPr>
            </w:pPr>
            <w:r w:rsidRPr="00120300">
              <w:rPr>
                <w:rFonts w:cs="Times New Roman"/>
                <w:color w:val="000000"/>
              </w:rPr>
              <w:t>&lt;0.05</w:t>
            </w:r>
          </w:p>
        </w:tc>
      </w:tr>
    </w:tbl>
    <w:p w14:paraId="4065B9E0" w14:textId="77777777" w:rsidR="00D70856" w:rsidRPr="00120300" w:rsidRDefault="00D70856" w:rsidP="00AD2547">
      <w:pPr>
        <w:rPr>
          <w:rFonts w:cs="Times New Roman"/>
        </w:rPr>
      </w:pPr>
    </w:p>
    <w:p w14:paraId="35E08462" w14:textId="77777777" w:rsidR="00D70856" w:rsidRPr="00AD2547" w:rsidRDefault="00000000" w:rsidP="00120300">
      <w:pPr>
        <w:rPr>
          <w:rFonts w:eastAsia="SimSun" w:cs="Times New Roman"/>
          <w:b/>
          <w:bCs/>
        </w:rPr>
      </w:pPr>
      <w:r w:rsidRPr="00AD2547">
        <w:rPr>
          <w:rFonts w:cs="Times New Roman"/>
          <w:b/>
          <w:bCs/>
        </w:rPr>
        <w:t>3.2. Comparison of vascular functional indicators between the two groups</w:t>
      </w:r>
    </w:p>
    <w:p w14:paraId="1A2B1C0B" w14:textId="77777777" w:rsidR="00D70856" w:rsidRDefault="00000000" w:rsidP="00120300">
      <w:pPr>
        <w:rPr>
          <w:rFonts w:cs="Times New Roman"/>
        </w:rPr>
      </w:pPr>
      <w:r w:rsidRPr="00120300">
        <w:rPr>
          <w:rFonts w:cs="Times New Roman"/>
        </w:rPr>
        <w:t xml:space="preserve">See </w:t>
      </w:r>
      <w:r w:rsidRPr="00AD2547">
        <w:rPr>
          <w:rFonts w:cs="Times New Roman"/>
          <w:b/>
          <w:bCs/>
        </w:rPr>
        <w:t>Table 2</w:t>
      </w:r>
      <w:r w:rsidRPr="00120300">
        <w:rPr>
          <w:rFonts w:cs="Times New Roman"/>
        </w:rPr>
        <w:t xml:space="preserve"> for details.</w:t>
      </w:r>
    </w:p>
    <w:p w14:paraId="67DB19B8" w14:textId="77777777" w:rsidR="00BD41BA" w:rsidRDefault="00BD41BA" w:rsidP="00120300">
      <w:pPr>
        <w:rPr>
          <w:rFonts w:cs="Times New Roman"/>
        </w:rPr>
      </w:pPr>
    </w:p>
    <w:p w14:paraId="0CC7ADEF" w14:textId="0B3DD07C" w:rsidR="00BD41BA" w:rsidRPr="00BD41BA" w:rsidRDefault="00BD41BA" w:rsidP="00120300">
      <w:pPr>
        <w:rPr>
          <w:rFonts w:eastAsia="SimSun" w:cs="Times New Roman"/>
        </w:rPr>
      </w:pPr>
      <w:r>
        <w:rPr>
          <w:rFonts w:cs="Times New Roman"/>
          <w:b/>
          <w:bCs/>
        </w:rPr>
        <w:lastRenderedPageBreak/>
        <w:t xml:space="preserve">Table 2. </w:t>
      </w:r>
      <w:r w:rsidRPr="00AD2547">
        <w:rPr>
          <w:rFonts w:cs="Times New Roman"/>
        </w:rPr>
        <w:t>Comparison of vascular functional indicators</w:t>
      </w:r>
      <w:r w:rsidRPr="00B11D36">
        <w:rPr>
          <w:rFonts w:cs="Times New Roman"/>
          <w:b/>
          <w:bCs/>
        </w:rPr>
        <w:t xml:space="preserve"> </w:t>
      </w:r>
    </w:p>
    <w:tbl>
      <w:tblPr>
        <w:tblW w:w="5000" w:type="pct"/>
        <w:jc w:val="center"/>
        <w:tblCellMar>
          <w:top w:w="15" w:type="dxa"/>
          <w:left w:w="15" w:type="dxa"/>
          <w:bottom w:w="15" w:type="dxa"/>
          <w:right w:w="15" w:type="dxa"/>
        </w:tblCellMar>
        <w:tblLook w:val="04A0" w:firstRow="1" w:lastRow="0" w:firstColumn="1" w:lastColumn="0" w:noHBand="0" w:noVBand="1"/>
      </w:tblPr>
      <w:tblGrid>
        <w:gridCol w:w="2111"/>
        <w:gridCol w:w="1951"/>
        <w:gridCol w:w="1409"/>
        <w:gridCol w:w="4167"/>
      </w:tblGrid>
      <w:tr w:rsidR="00D70856" w:rsidRPr="00120300" w14:paraId="58B32DF8" w14:textId="77777777" w:rsidTr="00AD2547">
        <w:trPr>
          <w:tblHeader/>
          <w:jc w:val="center"/>
        </w:trPr>
        <w:tc>
          <w:tcPr>
            <w:tcW w:w="1095" w:type="pct"/>
            <w:tcBorders>
              <w:top w:val="single" w:sz="12" w:space="0" w:color="000000"/>
              <w:left w:val="nil"/>
              <w:bottom w:val="single" w:sz="4" w:space="0" w:color="000000"/>
              <w:right w:val="nil"/>
              <w:tl2br w:val="nil"/>
            </w:tcBorders>
            <w:shd w:val="clear" w:color="auto" w:fill="FFFFFF"/>
            <w:tcMar>
              <w:top w:w="80" w:type="dxa"/>
              <w:left w:w="80" w:type="dxa"/>
              <w:bottom w:w="80" w:type="dxa"/>
              <w:right w:w="80" w:type="dxa"/>
            </w:tcMar>
          </w:tcPr>
          <w:p w14:paraId="1A0C5D16" w14:textId="08266E53" w:rsidR="00D70856" w:rsidRPr="00AD2547" w:rsidRDefault="00BD41BA" w:rsidP="00AD2547">
            <w:pPr>
              <w:jc w:val="left"/>
              <w:rPr>
                <w:rFonts w:eastAsia="SimSun" w:cs="Times New Roman"/>
                <w:b/>
                <w:bCs/>
                <w:color w:val="000000"/>
              </w:rPr>
            </w:pPr>
            <w:r w:rsidRPr="00AD2547">
              <w:rPr>
                <w:rFonts w:cs="Times New Roman"/>
                <w:b/>
                <w:bCs/>
                <w:color w:val="000000"/>
              </w:rPr>
              <w:t>Group</w:t>
            </w:r>
          </w:p>
        </w:tc>
        <w:tc>
          <w:tcPr>
            <w:tcW w:w="1012" w:type="pct"/>
            <w:tcBorders>
              <w:top w:val="single" w:sz="12" w:space="0" w:color="000000"/>
              <w:left w:val="nil"/>
              <w:bottom w:val="single" w:sz="4" w:space="0" w:color="000000"/>
              <w:right w:val="nil"/>
            </w:tcBorders>
            <w:shd w:val="clear" w:color="auto" w:fill="FFFFFF"/>
            <w:tcMar>
              <w:top w:w="80" w:type="dxa"/>
              <w:left w:w="80" w:type="dxa"/>
              <w:bottom w:w="80" w:type="dxa"/>
              <w:right w:w="80" w:type="dxa"/>
            </w:tcMar>
          </w:tcPr>
          <w:p w14:paraId="734D5686" w14:textId="77777777" w:rsidR="00D70856" w:rsidRPr="00AD2547" w:rsidRDefault="00000000" w:rsidP="00AD2547">
            <w:pPr>
              <w:jc w:val="center"/>
              <w:rPr>
                <w:rFonts w:eastAsia="SimSun" w:cs="Times New Roman"/>
                <w:b/>
                <w:bCs/>
                <w:color w:val="000000"/>
              </w:rPr>
            </w:pPr>
            <w:r w:rsidRPr="00AD2547">
              <w:rPr>
                <w:rFonts w:cs="Times New Roman"/>
                <w:b/>
                <w:bCs/>
                <w:color w:val="000000"/>
              </w:rPr>
              <w:t>Number of Cases</w:t>
            </w:r>
          </w:p>
        </w:tc>
        <w:tc>
          <w:tcPr>
            <w:tcW w:w="731" w:type="pct"/>
            <w:tcBorders>
              <w:top w:val="single" w:sz="12" w:space="0" w:color="000000"/>
              <w:left w:val="nil"/>
              <w:bottom w:val="single" w:sz="4" w:space="0" w:color="000000"/>
              <w:right w:val="nil"/>
            </w:tcBorders>
            <w:shd w:val="clear" w:color="auto" w:fill="FFFFFF"/>
            <w:tcMar>
              <w:top w:w="80" w:type="dxa"/>
              <w:left w:w="80" w:type="dxa"/>
              <w:bottom w:w="80" w:type="dxa"/>
              <w:right w:w="80" w:type="dxa"/>
            </w:tcMar>
          </w:tcPr>
          <w:p w14:paraId="6FA17A7D" w14:textId="64AAED71" w:rsidR="00D70856" w:rsidRPr="00AD2547" w:rsidRDefault="00000000" w:rsidP="00AD2547">
            <w:pPr>
              <w:jc w:val="center"/>
              <w:rPr>
                <w:rFonts w:eastAsia="SimSun" w:cs="Times New Roman"/>
                <w:b/>
                <w:bCs/>
                <w:color w:val="000000"/>
              </w:rPr>
            </w:pPr>
            <w:r w:rsidRPr="00AD2547">
              <w:rPr>
                <w:rFonts w:cs="Times New Roman"/>
                <w:b/>
                <w:bCs/>
                <w:color w:val="000000"/>
              </w:rPr>
              <w:t>OFR</w:t>
            </w:r>
          </w:p>
        </w:tc>
        <w:tc>
          <w:tcPr>
            <w:tcW w:w="2163" w:type="pct"/>
            <w:tcBorders>
              <w:top w:val="single" w:sz="12" w:space="0" w:color="000000"/>
              <w:left w:val="nil"/>
              <w:bottom w:val="single" w:sz="4" w:space="0" w:color="000000"/>
              <w:right w:val="nil"/>
            </w:tcBorders>
            <w:shd w:val="clear" w:color="auto" w:fill="FFFFFF"/>
            <w:tcMar>
              <w:top w:w="80" w:type="dxa"/>
              <w:left w:w="80" w:type="dxa"/>
              <w:bottom w:w="80" w:type="dxa"/>
              <w:right w:w="80" w:type="dxa"/>
            </w:tcMar>
          </w:tcPr>
          <w:p w14:paraId="633D1665" w14:textId="77777777" w:rsidR="00D70856" w:rsidRPr="00AD2547" w:rsidRDefault="00000000" w:rsidP="00AD2547">
            <w:pPr>
              <w:jc w:val="center"/>
              <w:rPr>
                <w:rFonts w:eastAsia="SimSun" w:cs="Times New Roman"/>
                <w:b/>
                <w:bCs/>
                <w:color w:val="000000"/>
              </w:rPr>
            </w:pPr>
            <w:r w:rsidRPr="00AD2547">
              <w:rPr>
                <w:rFonts w:cs="Times New Roman"/>
                <w:b/>
                <w:bCs/>
                <w:color w:val="000000"/>
              </w:rPr>
              <w:t>Incidence of vascular ischemia [n (%)]</w:t>
            </w:r>
          </w:p>
        </w:tc>
      </w:tr>
      <w:tr w:rsidR="00D70856" w:rsidRPr="00120300" w14:paraId="3B9C1B92" w14:textId="77777777" w:rsidTr="00AD2547">
        <w:trPr>
          <w:tblHeader/>
          <w:jc w:val="center"/>
        </w:trPr>
        <w:tc>
          <w:tcPr>
            <w:tcW w:w="1095" w:type="pct"/>
            <w:tcBorders>
              <w:top w:val="single" w:sz="4" w:space="0" w:color="000000"/>
              <w:left w:val="nil"/>
              <w:bottom w:val="nil"/>
              <w:right w:val="nil"/>
            </w:tcBorders>
            <w:shd w:val="clear" w:color="auto" w:fill="FFFFFF"/>
            <w:tcMar>
              <w:top w:w="80" w:type="dxa"/>
              <w:left w:w="80" w:type="dxa"/>
              <w:bottom w:w="80" w:type="dxa"/>
              <w:right w:w="80" w:type="dxa"/>
            </w:tcMar>
          </w:tcPr>
          <w:p w14:paraId="13EE6A10" w14:textId="6FCBF0AD" w:rsidR="00D70856" w:rsidRPr="00120300" w:rsidRDefault="00BD41BA" w:rsidP="00AD2547">
            <w:pPr>
              <w:jc w:val="left"/>
              <w:rPr>
                <w:rFonts w:eastAsia="SimSun" w:cs="Times New Roman"/>
                <w:color w:val="000000"/>
              </w:rPr>
            </w:pPr>
            <w:r w:rsidRPr="00120300">
              <w:rPr>
                <w:rFonts w:cs="Times New Roman"/>
                <w:color w:val="000000"/>
              </w:rPr>
              <w:t xml:space="preserve">Control </w:t>
            </w:r>
            <w:r w:rsidR="00000000" w:rsidRPr="00120300">
              <w:rPr>
                <w:rFonts w:cs="Times New Roman"/>
                <w:color w:val="000000"/>
              </w:rPr>
              <w:t>group</w:t>
            </w:r>
          </w:p>
        </w:tc>
        <w:tc>
          <w:tcPr>
            <w:tcW w:w="1012" w:type="pct"/>
            <w:tcBorders>
              <w:top w:val="single" w:sz="4" w:space="0" w:color="000000"/>
              <w:left w:val="nil"/>
              <w:bottom w:val="nil"/>
              <w:right w:val="nil"/>
            </w:tcBorders>
            <w:shd w:val="clear" w:color="auto" w:fill="FFFFFF"/>
            <w:tcMar>
              <w:top w:w="80" w:type="dxa"/>
              <w:left w:w="80" w:type="dxa"/>
              <w:bottom w:w="80" w:type="dxa"/>
              <w:right w:w="80" w:type="dxa"/>
            </w:tcMar>
          </w:tcPr>
          <w:p w14:paraId="5EBE3892" w14:textId="77777777" w:rsidR="00D70856" w:rsidRPr="00120300" w:rsidRDefault="00000000" w:rsidP="00AD2547">
            <w:pPr>
              <w:jc w:val="center"/>
              <w:rPr>
                <w:rFonts w:eastAsia="SimSun" w:cs="Times New Roman"/>
                <w:color w:val="000000"/>
              </w:rPr>
            </w:pPr>
            <w:r w:rsidRPr="00120300">
              <w:rPr>
                <w:rFonts w:cs="Times New Roman"/>
                <w:color w:val="000000"/>
              </w:rPr>
              <w:t>20</w:t>
            </w:r>
          </w:p>
        </w:tc>
        <w:tc>
          <w:tcPr>
            <w:tcW w:w="731" w:type="pct"/>
            <w:tcBorders>
              <w:top w:val="single" w:sz="4" w:space="0" w:color="000000"/>
              <w:left w:val="nil"/>
              <w:bottom w:val="nil"/>
              <w:right w:val="nil"/>
            </w:tcBorders>
            <w:shd w:val="clear" w:color="auto" w:fill="FFFFFF"/>
            <w:tcMar>
              <w:top w:w="80" w:type="dxa"/>
              <w:left w:w="80" w:type="dxa"/>
              <w:bottom w:w="80" w:type="dxa"/>
              <w:right w:w="80" w:type="dxa"/>
            </w:tcMar>
          </w:tcPr>
          <w:p w14:paraId="1A56BEF8" w14:textId="1D7F8F84" w:rsidR="00D70856" w:rsidRPr="00120300" w:rsidRDefault="00000000" w:rsidP="00AD2547">
            <w:pPr>
              <w:jc w:val="center"/>
              <w:rPr>
                <w:rFonts w:eastAsia="SimSun" w:cs="Times New Roman"/>
                <w:color w:val="000000"/>
              </w:rPr>
            </w:pPr>
            <w:r w:rsidRPr="00120300">
              <w:rPr>
                <w:rFonts w:cs="Times New Roman"/>
                <w:color w:val="000000"/>
              </w:rPr>
              <w:t>0.76</w:t>
            </w:r>
            <w:r w:rsidR="00BD41BA">
              <w:rPr>
                <w:rFonts w:cs="Times New Roman"/>
                <w:color w:val="000000"/>
              </w:rPr>
              <w:t xml:space="preserve"> ± </w:t>
            </w:r>
            <w:r w:rsidRPr="00120300">
              <w:rPr>
                <w:rFonts w:cs="Times New Roman"/>
                <w:color w:val="000000"/>
              </w:rPr>
              <w:t>0.05</w:t>
            </w:r>
          </w:p>
        </w:tc>
        <w:tc>
          <w:tcPr>
            <w:tcW w:w="2163" w:type="pct"/>
            <w:tcBorders>
              <w:top w:val="single" w:sz="4" w:space="0" w:color="000000"/>
              <w:left w:val="nil"/>
              <w:bottom w:val="nil"/>
              <w:right w:val="nil"/>
            </w:tcBorders>
            <w:shd w:val="clear" w:color="auto" w:fill="FFFFFF"/>
            <w:tcMar>
              <w:top w:w="80" w:type="dxa"/>
              <w:left w:w="80" w:type="dxa"/>
              <w:bottom w:w="80" w:type="dxa"/>
              <w:right w:w="80" w:type="dxa"/>
            </w:tcMar>
          </w:tcPr>
          <w:p w14:paraId="63E70462" w14:textId="77777777" w:rsidR="00D70856" w:rsidRPr="00120300" w:rsidRDefault="00000000" w:rsidP="00AD2547">
            <w:pPr>
              <w:jc w:val="center"/>
              <w:rPr>
                <w:rFonts w:eastAsia="SimSun" w:cs="Times New Roman"/>
                <w:color w:val="000000"/>
              </w:rPr>
            </w:pPr>
            <w:r w:rsidRPr="00120300">
              <w:rPr>
                <w:rFonts w:cs="Times New Roman"/>
                <w:color w:val="000000"/>
              </w:rPr>
              <w:t>9</w:t>
            </w:r>
            <w:r w:rsidRPr="00120300">
              <w:rPr>
                <w:rFonts w:cs="Times New Roman"/>
                <w:color w:val="000000"/>
              </w:rPr>
              <w:t>（</w:t>
            </w:r>
            <w:r w:rsidRPr="00120300">
              <w:rPr>
                <w:rFonts w:cs="Times New Roman"/>
                <w:color w:val="000000"/>
              </w:rPr>
              <w:t>45.00</w:t>
            </w:r>
            <w:r w:rsidRPr="00120300">
              <w:rPr>
                <w:rFonts w:cs="Times New Roman"/>
                <w:color w:val="000000"/>
              </w:rPr>
              <w:t>）</w:t>
            </w:r>
          </w:p>
        </w:tc>
      </w:tr>
      <w:tr w:rsidR="00D70856" w:rsidRPr="00120300" w14:paraId="4BC176A2" w14:textId="77777777" w:rsidTr="00AD2547">
        <w:trPr>
          <w:tblHeader/>
          <w:jc w:val="center"/>
        </w:trPr>
        <w:tc>
          <w:tcPr>
            <w:tcW w:w="1095" w:type="pct"/>
            <w:tcBorders>
              <w:top w:val="nil"/>
              <w:left w:val="nil"/>
              <w:bottom w:val="nil"/>
              <w:right w:val="nil"/>
            </w:tcBorders>
            <w:shd w:val="clear" w:color="auto" w:fill="FFFFFF"/>
            <w:tcMar>
              <w:top w:w="80" w:type="dxa"/>
              <w:left w:w="80" w:type="dxa"/>
              <w:bottom w:w="80" w:type="dxa"/>
              <w:right w:w="80" w:type="dxa"/>
            </w:tcMar>
          </w:tcPr>
          <w:p w14:paraId="00E0EC89" w14:textId="4BAA199E" w:rsidR="00D70856" w:rsidRPr="00120300" w:rsidRDefault="00BD41BA" w:rsidP="00AD2547">
            <w:pPr>
              <w:jc w:val="left"/>
              <w:rPr>
                <w:rFonts w:eastAsia="SimSun" w:cs="Times New Roman"/>
                <w:color w:val="000000"/>
              </w:rPr>
            </w:pPr>
            <w:r w:rsidRPr="00120300">
              <w:rPr>
                <w:rFonts w:cs="Times New Roman"/>
                <w:color w:val="000000"/>
              </w:rPr>
              <w:t xml:space="preserve">Experimental </w:t>
            </w:r>
            <w:r w:rsidR="00000000" w:rsidRPr="00120300">
              <w:rPr>
                <w:rFonts w:cs="Times New Roman"/>
                <w:color w:val="000000"/>
              </w:rPr>
              <w:t>group</w:t>
            </w:r>
          </w:p>
        </w:tc>
        <w:tc>
          <w:tcPr>
            <w:tcW w:w="1012" w:type="pct"/>
            <w:tcBorders>
              <w:top w:val="nil"/>
              <w:left w:val="nil"/>
              <w:bottom w:val="nil"/>
              <w:right w:val="nil"/>
            </w:tcBorders>
            <w:shd w:val="clear" w:color="auto" w:fill="FFFFFF"/>
            <w:tcMar>
              <w:top w:w="80" w:type="dxa"/>
              <w:left w:w="80" w:type="dxa"/>
              <w:bottom w:w="80" w:type="dxa"/>
              <w:right w:w="80" w:type="dxa"/>
            </w:tcMar>
          </w:tcPr>
          <w:p w14:paraId="77ED86AA" w14:textId="77777777" w:rsidR="00D70856" w:rsidRPr="00120300" w:rsidRDefault="00000000" w:rsidP="00AD2547">
            <w:pPr>
              <w:jc w:val="center"/>
              <w:rPr>
                <w:rFonts w:eastAsia="SimSun" w:cs="Times New Roman"/>
                <w:color w:val="000000"/>
              </w:rPr>
            </w:pPr>
            <w:r w:rsidRPr="00120300">
              <w:rPr>
                <w:rFonts w:cs="Times New Roman"/>
                <w:color w:val="000000"/>
              </w:rPr>
              <w:t>20</w:t>
            </w:r>
          </w:p>
        </w:tc>
        <w:tc>
          <w:tcPr>
            <w:tcW w:w="731" w:type="pct"/>
            <w:tcBorders>
              <w:top w:val="nil"/>
              <w:left w:val="nil"/>
              <w:bottom w:val="nil"/>
              <w:right w:val="nil"/>
            </w:tcBorders>
            <w:shd w:val="clear" w:color="auto" w:fill="FFFFFF"/>
            <w:tcMar>
              <w:top w:w="80" w:type="dxa"/>
              <w:left w:w="80" w:type="dxa"/>
              <w:bottom w:w="80" w:type="dxa"/>
              <w:right w:w="80" w:type="dxa"/>
            </w:tcMar>
          </w:tcPr>
          <w:p w14:paraId="234A1C61" w14:textId="41B18A01" w:rsidR="00D70856" w:rsidRPr="00120300" w:rsidRDefault="00000000" w:rsidP="00AD2547">
            <w:pPr>
              <w:jc w:val="center"/>
              <w:rPr>
                <w:rFonts w:eastAsia="SimSun" w:cs="Times New Roman"/>
                <w:color w:val="000000"/>
              </w:rPr>
            </w:pPr>
            <w:r w:rsidRPr="00120300">
              <w:rPr>
                <w:rFonts w:cs="Times New Roman"/>
                <w:color w:val="000000"/>
              </w:rPr>
              <w:t>0.85</w:t>
            </w:r>
            <w:r w:rsidR="00BD41BA">
              <w:rPr>
                <w:rFonts w:cs="Times New Roman"/>
                <w:color w:val="000000"/>
              </w:rPr>
              <w:t xml:space="preserve"> ± </w:t>
            </w:r>
            <w:r w:rsidRPr="00120300">
              <w:rPr>
                <w:rFonts w:cs="Times New Roman"/>
                <w:color w:val="000000"/>
              </w:rPr>
              <w:t>0.04</w:t>
            </w:r>
          </w:p>
        </w:tc>
        <w:tc>
          <w:tcPr>
            <w:tcW w:w="2163" w:type="pct"/>
            <w:tcBorders>
              <w:top w:val="nil"/>
              <w:left w:val="nil"/>
              <w:bottom w:val="nil"/>
              <w:right w:val="nil"/>
            </w:tcBorders>
            <w:shd w:val="clear" w:color="auto" w:fill="FFFFFF"/>
            <w:tcMar>
              <w:top w:w="80" w:type="dxa"/>
              <w:left w:w="80" w:type="dxa"/>
              <w:bottom w:w="80" w:type="dxa"/>
              <w:right w:w="80" w:type="dxa"/>
            </w:tcMar>
          </w:tcPr>
          <w:p w14:paraId="31B435EF" w14:textId="77777777" w:rsidR="00D70856" w:rsidRPr="00120300" w:rsidRDefault="00000000" w:rsidP="00AD2547">
            <w:pPr>
              <w:jc w:val="center"/>
              <w:rPr>
                <w:rFonts w:eastAsia="SimSun" w:cs="Times New Roman"/>
                <w:color w:val="000000"/>
              </w:rPr>
            </w:pPr>
            <w:r w:rsidRPr="00120300">
              <w:rPr>
                <w:rFonts w:cs="Times New Roman"/>
                <w:color w:val="000000"/>
              </w:rPr>
              <w:t>2</w:t>
            </w:r>
            <w:r w:rsidRPr="00120300">
              <w:rPr>
                <w:rFonts w:cs="Times New Roman"/>
                <w:color w:val="000000"/>
              </w:rPr>
              <w:t>（</w:t>
            </w:r>
            <w:r w:rsidRPr="00120300">
              <w:rPr>
                <w:rFonts w:cs="Times New Roman"/>
                <w:color w:val="000000"/>
              </w:rPr>
              <w:t>10.00</w:t>
            </w:r>
            <w:r w:rsidRPr="00120300">
              <w:rPr>
                <w:rFonts w:cs="Times New Roman"/>
                <w:color w:val="000000"/>
              </w:rPr>
              <w:t>）</w:t>
            </w:r>
          </w:p>
        </w:tc>
      </w:tr>
      <w:tr w:rsidR="00D70856" w:rsidRPr="00120300" w14:paraId="25C7868C" w14:textId="77777777" w:rsidTr="00AD2547">
        <w:trPr>
          <w:tblHeader/>
          <w:jc w:val="center"/>
        </w:trPr>
        <w:tc>
          <w:tcPr>
            <w:tcW w:w="1095" w:type="pct"/>
            <w:tcBorders>
              <w:top w:val="nil"/>
              <w:left w:val="nil"/>
              <w:bottom w:val="nil"/>
              <w:right w:val="nil"/>
            </w:tcBorders>
            <w:shd w:val="clear" w:color="auto" w:fill="FFFFFF"/>
            <w:tcMar>
              <w:top w:w="80" w:type="dxa"/>
              <w:left w:w="80" w:type="dxa"/>
              <w:bottom w:w="80" w:type="dxa"/>
              <w:right w:w="80" w:type="dxa"/>
            </w:tcMar>
          </w:tcPr>
          <w:p w14:paraId="301FAFF1" w14:textId="0C63F154" w:rsidR="00D70856" w:rsidRPr="00120300" w:rsidRDefault="00000000" w:rsidP="00AD2547">
            <w:pPr>
              <w:jc w:val="left"/>
              <w:rPr>
                <w:rFonts w:eastAsia="SimSun" w:cs="Times New Roman"/>
                <w:color w:val="000000"/>
              </w:rPr>
            </w:pPr>
            <w:r w:rsidRPr="00120300">
              <w:rPr>
                <w:rFonts w:cs="Times New Roman"/>
                <w:i/>
                <w:iCs/>
                <w:color w:val="000000"/>
              </w:rPr>
              <w:t>t</w:t>
            </w:r>
            <w:r w:rsidRPr="00120300">
              <w:rPr>
                <w:rFonts w:cs="Times New Roman"/>
                <w:color w:val="000000"/>
              </w:rPr>
              <w:t>/χ²</w:t>
            </w:r>
          </w:p>
        </w:tc>
        <w:tc>
          <w:tcPr>
            <w:tcW w:w="1012" w:type="pct"/>
            <w:tcBorders>
              <w:top w:val="nil"/>
              <w:left w:val="nil"/>
              <w:bottom w:val="nil"/>
              <w:right w:val="nil"/>
            </w:tcBorders>
            <w:shd w:val="clear" w:color="auto" w:fill="FFFFFF"/>
            <w:tcMar>
              <w:top w:w="80" w:type="dxa"/>
              <w:left w:w="80" w:type="dxa"/>
              <w:bottom w:w="80" w:type="dxa"/>
              <w:right w:w="80" w:type="dxa"/>
            </w:tcMar>
          </w:tcPr>
          <w:p w14:paraId="4F0C3772" w14:textId="77777777" w:rsidR="00D70856" w:rsidRPr="00120300" w:rsidRDefault="00000000" w:rsidP="00AD2547">
            <w:pPr>
              <w:jc w:val="center"/>
              <w:rPr>
                <w:rFonts w:eastAsia="SimSun" w:cs="Times New Roman"/>
                <w:color w:val="000000"/>
              </w:rPr>
            </w:pPr>
            <w:r w:rsidRPr="00120300">
              <w:rPr>
                <w:rFonts w:cs="Times New Roman"/>
                <w:color w:val="000000"/>
              </w:rPr>
              <w:t>-</w:t>
            </w:r>
          </w:p>
        </w:tc>
        <w:tc>
          <w:tcPr>
            <w:tcW w:w="731" w:type="pct"/>
            <w:tcBorders>
              <w:top w:val="nil"/>
              <w:left w:val="nil"/>
              <w:bottom w:val="nil"/>
              <w:right w:val="nil"/>
            </w:tcBorders>
            <w:shd w:val="clear" w:color="auto" w:fill="FFFFFF"/>
            <w:tcMar>
              <w:top w:w="80" w:type="dxa"/>
              <w:left w:w="80" w:type="dxa"/>
              <w:bottom w:w="80" w:type="dxa"/>
              <w:right w:w="80" w:type="dxa"/>
            </w:tcMar>
          </w:tcPr>
          <w:p w14:paraId="440C8130" w14:textId="77777777" w:rsidR="00D70856" w:rsidRPr="00120300" w:rsidRDefault="00000000" w:rsidP="00AD2547">
            <w:pPr>
              <w:jc w:val="center"/>
              <w:rPr>
                <w:rFonts w:eastAsia="SimSun" w:cs="Times New Roman"/>
                <w:color w:val="000000"/>
              </w:rPr>
            </w:pPr>
            <w:r w:rsidRPr="00120300">
              <w:rPr>
                <w:rFonts w:cs="Times New Roman"/>
                <w:color w:val="000000"/>
              </w:rPr>
              <w:t>6.258</w:t>
            </w:r>
          </w:p>
        </w:tc>
        <w:tc>
          <w:tcPr>
            <w:tcW w:w="2163" w:type="pct"/>
            <w:tcBorders>
              <w:top w:val="nil"/>
              <w:left w:val="nil"/>
              <w:bottom w:val="nil"/>
              <w:right w:val="nil"/>
            </w:tcBorders>
            <w:shd w:val="clear" w:color="auto" w:fill="FFFFFF"/>
            <w:tcMar>
              <w:top w:w="80" w:type="dxa"/>
              <w:left w:w="80" w:type="dxa"/>
              <w:bottom w:w="80" w:type="dxa"/>
              <w:right w:w="80" w:type="dxa"/>
            </w:tcMar>
          </w:tcPr>
          <w:p w14:paraId="092F7126" w14:textId="77777777" w:rsidR="00D70856" w:rsidRPr="00120300" w:rsidRDefault="00000000" w:rsidP="00AD2547">
            <w:pPr>
              <w:jc w:val="center"/>
              <w:rPr>
                <w:rFonts w:eastAsia="SimSun" w:cs="Times New Roman"/>
                <w:color w:val="000000"/>
              </w:rPr>
            </w:pPr>
            <w:r w:rsidRPr="00120300">
              <w:rPr>
                <w:rFonts w:cs="Times New Roman"/>
                <w:color w:val="000000"/>
              </w:rPr>
              <w:t>5.625</w:t>
            </w:r>
          </w:p>
        </w:tc>
      </w:tr>
      <w:tr w:rsidR="00D70856" w:rsidRPr="00120300" w14:paraId="6F7C3167" w14:textId="77777777" w:rsidTr="00AD2547">
        <w:trPr>
          <w:tblHeader/>
          <w:jc w:val="center"/>
        </w:trPr>
        <w:tc>
          <w:tcPr>
            <w:tcW w:w="1095" w:type="pct"/>
            <w:tcBorders>
              <w:top w:val="nil"/>
              <w:left w:val="nil"/>
              <w:bottom w:val="single" w:sz="12" w:space="0" w:color="000000"/>
              <w:right w:val="nil"/>
            </w:tcBorders>
            <w:shd w:val="clear" w:color="auto" w:fill="FFFFFF"/>
            <w:tcMar>
              <w:top w:w="80" w:type="dxa"/>
              <w:left w:w="80" w:type="dxa"/>
              <w:bottom w:w="80" w:type="dxa"/>
              <w:right w:w="80" w:type="dxa"/>
            </w:tcMar>
          </w:tcPr>
          <w:p w14:paraId="75C49E44" w14:textId="712DDEDB" w:rsidR="00D70856" w:rsidRPr="00120300" w:rsidRDefault="00000000" w:rsidP="00AD2547">
            <w:pPr>
              <w:jc w:val="left"/>
              <w:rPr>
                <w:rFonts w:eastAsia="SimSun" w:cs="Times New Roman"/>
                <w:color w:val="000000"/>
              </w:rPr>
            </w:pPr>
            <w:r w:rsidRPr="00120300">
              <w:rPr>
                <w:rFonts w:cs="Times New Roman"/>
                <w:i/>
                <w:iCs/>
                <w:color w:val="000000"/>
              </w:rPr>
              <w:t>P</w:t>
            </w:r>
          </w:p>
        </w:tc>
        <w:tc>
          <w:tcPr>
            <w:tcW w:w="1012" w:type="pct"/>
            <w:tcBorders>
              <w:top w:val="nil"/>
              <w:left w:val="nil"/>
              <w:bottom w:val="single" w:sz="12" w:space="0" w:color="000000"/>
              <w:right w:val="nil"/>
            </w:tcBorders>
            <w:shd w:val="clear" w:color="auto" w:fill="FFFFFF"/>
            <w:tcMar>
              <w:top w:w="80" w:type="dxa"/>
              <w:left w:w="80" w:type="dxa"/>
              <w:bottom w:w="80" w:type="dxa"/>
              <w:right w:w="80" w:type="dxa"/>
            </w:tcMar>
          </w:tcPr>
          <w:p w14:paraId="0E646F7D" w14:textId="77777777" w:rsidR="00D70856" w:rsidRPr="00120300" w:rsidRDefault="00000000" w:rsidP="00AD2547">
            <w:pPr>
              <w:jc w:val="center"/>
              <w:rPr>
                <w:rFonts w:eastAsia="SimSun" w:cs="Times New Roman"/>
                <w:color w:val="000000"/>
              </w:rPr>
            </w:pPr>
            <w:r w:rsidRPr="00120300">
              <w:rPr>
                <w:rFonts w:cs="Times New Roman"/>
                <w:color w:val="000000"/>
              </w:rPr>
              <w:t>-</w:t>
            </w:r>
          </w:p>
        </w:tc>
        <w:tc>
          <w:tcPr>
            <w:tcW w:w="731" w:type="pct"/>
            <w:tcBorders>
              <w:top w:val="nil"/>
              <w:left w:val="nil"/>
              <w:bottom w:val="single" w:sz="12" w:space="0" w:color="000000"/>
              <w:right w:val="nil"/>
            </w:tcBorders>
            <w:shd w:val="clear" w:color="auto" w:fill="FFFFFF"/>
            <w:tcMar>
              <w:top w:w="80" w:type="dxa"/>
              <w:left w:w="80" w:type="dxa"/>
              <w:bottom w:w="80" w:type="dxa"/>
              <w:right w:w="80" w:type="dxa"/>
            </w:tcMar>
          </w:tcPr>
          <w:p w14:paraId="6E334445" w14:textId="77777777" w:rsidR="00D70856" w:rsidRPr="00120300" w:rsidRDefault="00000000" w:rsidP="00AD2547">
            <w:pPr>
              <w:jc w:val="center"/>
              <w:rPr>
                <w:rFonts w:eastAsia="SimSun" w:cs="Times New Roman"/>
                <w:color w:val="000000"/>
              </w:rPr>
            </w:pPr>
            <w:r w:rsidRPr="00120300">
              <w:rPr>
                <w:rFonts w:cs="Times New Roman"/>
                <w:color w:val="000000"/>
              </w:rPr>
              <w:t>&lt;0.05</w:t>
            </w:r>
          </w:p>
        </w:tc>
        <w:tc>
          <w:tcPr>
            <w:tcW w:w="2163" w:type="pct"/>
            <w:tcBorders>
              <w:top w:val="nil"/>
              <w:left w:val="nil"/>
              <w:bottom w:val="single" w:sz="12" w:space="0" w:color="000000"/>
              <w:right w:val="nil"/>
            </w:tcBorders>
            <w:shd w:val="clear" w:color="auto" w:fill="FFFFFF"/>
            <w:tcMar>
              <w:top w:w="80" w:type="dxa"/>
              <w:left w:w="80" w:type="dxa"/>
              <w:bottom w:w="80" w:type="dxa"/>
              <w:right w:w="80" w:type="dxa"/>
            </w:tcMar>
          </w:tcPr>
          <w:p w14:paraId="73737DBA" w14:textId="77777777" w:rsidR="00D70856" w:rsidRPr="00120300" w:rsidRDefault="00000000" w:rsidP="00AD2547">
            <w:pPr>
              <w:jc w:val="center"/>
              <w:rPr>
                <w:rFonts w:eastAsia="SimSun" w:cs="Times New Roman"/>
                <w:color w:val="000000"/>
              </w:rPr>
            </w:pPr>
            <w:r w:rsidRPr="00120300">
              <w:rPr>
                <w:rFonts w:cs="Times New Roman"/>
                <w:color w:val="000000"/>
              </w:rPr>
              <w:t>&lt;0.05</w:t>
            </w:r>
          </w:p>
        </w:tc>
      </w:tr>
    </w:tbl>
    <w:p w14:paraId="33F5D45D" w14:textId="77777777" w:rsidR="00D70856" w:rsidRPr="00120300" w:rsidRDefault="00D70856" w:rsidP="00AD2547">
      <w:pPr>
        <w:rPr>
          <w:rFonts w:cs="Times New Roman"/>
        </w:rPr>
      </w:pPr>
    </w:p>
    <w:p w14:paraId="69CA9CD6" w14:textId="77777777" w:rsidR="00D70856" w:rsidRPr="00AD2547" w:rsidRDefault="00000000" w:rsidP="00120300">
      <w:pPr>
        <w:rPr>
          <w:rFonts w:eastAsia="SimSun" w:cs="Times New Roman"/>
          <w:b/>
          <w:bCs/>
        </w:rPr>
      </w:pPr>
      <w:r w:rsidRPr="00AD2547">
        <w:rPr>
          <w:rFonts w:cs="Times New Roman"/>
          <w:b/>
          <w:bCs/>
        </w:rPr>
        <w:t>4. Discussion</w:t>
      </w:r>
    </w:p>
    <w:p w14:paraId="54A4E99B" w14:textId="77F5AF01" w:rsidR="00D70856" w:rsidRPr="00120300" w:rsidRDefault="00000000" w:rsidP="00120300">
      <w:pPr>
        <w:rPr>
          <w:rFonts w:eastAsia="SimSun" w:cs="Times New Roman"/>
        </w:rPr>
      </w:pPr>
      <w:r w:rsidRPr="00120300">
        <w:rPr>
          <w:rFonts w:cs="Times New Roman"/>
        </w:rPr>
        <w:t xml:space="preserve">Acute coronary syndrome and sudden cardiac death are mainly caused by </w:t>
      </w:r>
      <w:r w:rsidR="006E4E87">
        <w:rPr>
          <w:rFonts w:cs="Times New Roman"/>
        </w:rPr>
        <w:t>vulnerable coronary plaques</w:t>
      </w:r>
      <w:r w:rsidR="00BD41BA">
        <w:rPr>
          <w:rFonts w:cs="Times New Roman"/>
        </w:rPr>
        <w:t xml:space="preserve"> </w:t>
      </w:r>
      <w:r w:rsidRPr="00120300">
        <w:rPr>
          <w:rFonts w:cs="Times New Roman"/>
          <w:vertAlign w:val="superscript"/>
        </w:rPr>
        <w:t>[1]</w:t>
      </w:r>
      <w:r w:rsidRPr="00120300">
        <w:rPr>
          <w:rFonts w:cs="Times New Roman"/>
        </w:rPr>
        <w:t xml:space="preserve">. These vulnerable plaques are defined in such a way that they have a fibrous cap </w:t>
      </w:r>
      <w:r w:rsidR="006E4E87">
        <w:rPr>
          <w:rFonts w:cs="Times New Roman"/>
        </w:rPr>
        <w:t>that is thin, a lipid core that</w:t>
      </w:r>
      <w:r w:rsidRPr="00120300">
        <w:rPr>
          <w:rFonts w:cs="Times New Roman"/>
        </w:rPr>
        <w:t xml:space="preserve"> is large, a susceptibility to rupture that is heightened, and a tendency for secondary thrombosis</w:t>
      </w:r>
      <w:r w:rsidR="00BD41BA">
        <w:rPr>
          <w:rFonts w:cs="Times New Roman"/>
        </w:rPr>
        <w:t xml:space="preserve"> </w:t>
      </w:r>
      <w:r w:rsidRPr="00120300">
        <w:rPr>
          <w:rFonts w:cs="Times New Roman"/>
          <w:vertAlign w:val="superscript"/>
        </w:rPr>
        <w:t>[2]</w:t>
      </w:r>
      <w:r w:rsidRPr="00120300">
        <w:rPr>
          <w:rFonts w:cs="Times New Roman"/>
        </w:rPr>
        <w:t xml:space="preserve">. These features make it so that their risk of having adverse cardiovascular events is elevated when compared to stable plaques. </w:t>
      </w:r>
    </w:p>
    <w:p w14:paraId="77D1AF7B" w14:textId="27479E5E" w:rsidR="00D70856" w:rsidRPr="00120300" w:rsidRDefault="00000000" w:rsidP="00AD2547">
      <w:pPr>
        <w:ind w:firstLine="420"/>
        <w:rPr>
          <w:rFonts w:cs="Times New Roman"/>
        </w:rPr>
      </w:pPr>
      <w:r w:rsidRPr="00120300">
        <w:rPr>
          <w:rFonts w:cs="Times New Roman"/>
        </w:rPr>
        <w:t>Statins are the cornerstone drug for stabilizing coronary vulnerable plaques. Conventional lipid-lowering therapy can slightly improve blood lipid levels, but has limited efficacy in stabilizing high-risk vulnerable plaques</w:t>
      </w:r>
      <w:r w:rsidR="00BD41BA">
        <w:rPr>
          <w:rFonts w:cs="Times New Roman"/>
        </w:rPr>
        <w:t xml:space="preserve"> </w:t>
      </w:r>
      <w:r w:rsidRPr="00120300">
        <w:rPr>
          <w:rFonts w:cs="Times New Roman"/>
          <w:vertAlign w:val="superscript"/>
        </w:rPr>
        <w:t>[3]</w:t>
      </w:r>
      <w:r w:rsidRPr="00120300">
        <w:rPr>
          <w:rFonts w:cs="Times New Roman"/>
        </w:rPr>
        <w:t>. Intensive therapy of lowering lipid can very obviously make the cholesterol of low - density lipoprotein go down, carry out the suppression of inflammation of vascular endothelial, do the reduction of lipid accumulation, make the thickening of fibrous caps speed up, and bring about the reduction of lipid cores</w:t>
      </w:r>
      <w:r w:rsidR="00BD41BA">
        <w:rPr>
          <w:rFonts w:cs="Times New Roman"/>
        </w:rPr>
        <w:t xml:space="preserve"> </w:t>
      </w:r>
      <w:r w:rsidRPr="00120300">
        <w:rPr>
          <w:rFonts w:cs="Times New Roman"/>
          <w:vertAlign w:val="superscript"/>
        </w:rPr>
        <w:t>[4]</w:t>
      </w:r>
      <w:r w:rsidRPr="00120300">
        <w:rPr>
          <w:rFonts w:cs="Times New Roman"/>
        </w:rPr>
        <w:t xml:space="preserve">. All of these things work in order to make vulnerable plaques become stable and reverse the early progression of </w:t>
      </w:r>
      <w:r w:rsidR="006E4E87">
        <w:rPr>
          <w:rFonts w:cs="Times New Roman"/>
        </w:rPr>
        <w:t>plaque lesions</w:t>
      </w:r>
      <w:r w:rsidRPr="00120300">
        <w:rPr>
          <w:rFonts w:cs="Times New Roman"/>
        </w:rPr>
        <w:t>.</w:t>
      </w:r>
    </w:p>
    <w:p w14:paraId="010D724F" w14:textId="0193504C" w:rsidR="00D70856" w:rsidRPr="00120300" w:rsidRDefault="00000000" w:rsidP="00AD2547">
      <w:pPr>
        <w:ind w:firstLine="420"/>
        <w:rPr>
          <w:rFonts w:cs="Times New Roman"/>
        </w:rPr>
      </w:pPr>
      <w:r w:rsidRPr="00120300">
        <w:rPr>
          <w:rFonts w:cs="Times New Roman"/>
        </w:rPr>
        <w:t>The improvement of vascular function is a key indicator to evaluate the long-term prognosis of coronary heart disease, because the improvement of plaque morphology alone cannot fully reflect the real blood perfusion capacity of blood vessels</w:t>
      </w:r>
      <w:r w:rsidR="00BD41BA">
        <w:rPr>
          <w:rFonts w:cs="Times New Roman"/>
        </w:rPr>
        <w:t xml:space="preserve"> </w:t>
      </w:r>
      <w:r w:rsidRPr="00120300">
        <w:rPr>
          <w:rFonts w:cs="Times New Roman"/>
          <w:vertAlign w:val="superscript"/>
        </w:rPr>
        <w:t>[5]</w:t>
      </w:r>
      <w:r w:rsidRPr="00120300">
        <w:rPr>
          <w:rFonts w:cs="Times New Roman"/>
        </w:rPr>
        <w:t xml:space="preserve">. In the course of the present and ongoing investigation, </w:t>
      </w:r>
      <w:r w:rsidR="006E4E87">
        <w:rPr>
          <w:rFonts w:cs="Times New Roman"/>
        </w:rPr>
        <w:t xml:space="preserve">a method that has been standardized was employed for the purpose of calculating what is known as the oxygen flow reserve (OFR) so as to carry out an assessment of </w:t>
      </w:r>
      <w:r w:rsidRPr="00120300">
        <w:rPr>
          <w:rFonts w:cs="Times New Roman"/>
        </w:rPr>
        <w:t>vascular function</w:t>
      </w:r>
      <w:r w:rsidR="00BD41BA">
        <w:rPr>
          <w:rFonts w:cs="Times New Roman"/>
        </w:rPr>
        <w:t xml:space="preserve"> </w:t>
      </w:r>
      <w:r w:rsidRPr="00120300">
        <w:rPr>
          <w:rFonts w:cs="Times New Roman"/>
          <w:vertAlign w:val="superscript"/>
        </w:rPr>
        <w:t>[6]</w:t>
      </w:r>
      <w:r w:rsidRPr="00120300">
        <w:rPr>
          <w:rFonts w:cs="Times New Roman"/>
        </w:rPr>
        <w:t xml:space="preserve">. The outcomes of the investigation demonstrated that after the intervention had taken place, the measurement of the OFR in the experimental group showed an increase that was quite notable. </w:t>
      </w:r>
    </w:p>
    <w:p w14:paraId="52FCA4DA" w14:textId="33995E25" w:rsidR="00D70856" w:rsidRPr="00120300" w:rsidRDefault="00000000" w:rsidP="00AD2547">
      <w:pPr>
        <w:ind w:firstLine="420"/>
        <w:rPr>
          <w:rFonts w:cs="Times New Roman"/>
        </w:rPr>
      </w:pPr>
      <w:r w:rsidRPr="00120300">
        <w:rPr>
          <w:rFonts w:cs="Times New Roman"/>
        </w:rPr>
        <w:t xml:space="preserve">To </w:t>
      </w:r>
      <w:r w:rsidR="006E4E87">
        <w:rPr>
          <w:rFonts w:cs="Times New Roman"/>
        </w:rPr>
        <w:t xml:space="preserve">summarize, the quantitative assessment method of the OFR makes it possible to carry out an accurate and straightforward evaluation </w:t>
      </w:r>
      <w:r w:rsidRPr="00120300">
        <w:rPr>
          <w:rFonts w:cs="Times New Roman"/>
        </w:rPr>
        <w:t xml:space="preserve">of the vascular function of the coronary artery </w:t>
      </w:r>
      <w:r w:rsidR="00BD41BA">
        <w:rPr>
          <w:rFonts w:cs="Times New Roman"/>
        </w:rPr>
        <w:t xml:space="preserve">lesion </w:t>
      </w:r>
      <w:r w:rsidRPr="00120300">
        <w:rPr>
          <w:rFonts w:cs="Times New Roman"/>
          <w:vertAlign w:val="superscript"/>
        </w:rPr>
        <w:t>[7]</w:t>
      </w:r>
      <w:r w:rsidRPr="00120300">
        <w:rPr>
          <w:rFonts w:cs="Times New Roman"/>
        </w:rPr>
        <w:t xml:space="preserve">. When it is integrated </w:t>
      </w:r>
      <w:r w:rsidR="006E4E87">
        <w:rPr>
          <w:rFonts w:cs="Times New Roman"/>
        </w:rPr>
        <w:t>with the morphological analysis based on OCT, it helps to carry out a comprehensive assessment of the efficacy of lipid-lowering</w:t>
      </w:r>
      <w:r w:rsidRPr="00120300">
        <w:rPr>
          <w:rFonts w:cs="Times New Roman"/>
        </w:rPr>
        <w:t xml:space="preserve"> therapy</w:t>
      </w:r>
      <w:r w:rsidR="00BD41BA">
        <w:rPr>
          <w:rFonts w:cs="Times New Roman"/>
        </w:rPr>
        <w:t xml:space="preserve"> </w:t>
      </w:r>
      <w:r w:rsidRPr="00120300">
        <w:rPr>
          <w:rFonts w:cs="Times New Roman"/>
          <w:vertAlign w:val="superscript"/>
        </w:rPr>
        <w:t>[8]</w:t>
      </w:r>
      <w:r w:rsidRPr="00120300">
        <w:rPr>
          <w:rFonts w:cs="Times New Roman"/>
        </w:rPr>
        <w:t xml:space="preserve">. </w:t>
      </w:r>
      <w:r w:rsidR="006E4E87">
        <w:rPr>
          <w:rFonts w:cs="Times New Roman"/>
        </w:rPr>
        <w:t>Intensive lipid-lowering</w:t>
      </w:r>
      <w:r w:rsidRPr="00120300">
        <w:rPr>
          <w:rFonts w:cs="Times New Roman"/>
        </w:rPr>
        <w:t xml:space="preserve"> therapy can effectively </w:t>
      </w:r>
      <w:r w:rsidR="006E4E87">
        <w:rPr>
          <w:rFonts w:cs="Times New Roman"/>
        </w:rPr>
        <w:t>improve</w:t>
      </w:r>
      <w:r w:rsidRPr="00120300">
        <w:rPr>
          <w:rFonts w:cs="Times New Roman"/>
        </w:rPr>
        <w:t xml:space="preserve"> the morphological features of the primary coronary vulnerable plaques, </w:t>
      </w:r>
      <w:r w:rsidR="006E4E87">
        <w:rPr>
          <w:rFonts w:cs="Times New Roman"/>
        </w:rPr>
        <w:t>stabilize</w:t>
      </w:r>
      <w:r w:rsidRPr="00120300">
        <w:rPr>
          <w:rFonts w:cs="Times New Roman"/>
        </w:rPr>
        <w:t xml:space="preserve"> the high - risk plaques</w:t>
      </w:r>
      <w:r w:rsidR="00BD41BA">
        <w:rPr>
          <w:rFonts w:cs="Times New Roman"/>
        </w:rPr>
        <w:t xml:space="preserve"> </w:t>
      </w:r>
      <w:r w:rsidRPr="00120300">
        <w:rPr>
          <w:rFonts w:cs="Times New Roman"/>
          <w:vertAlign w:val="superscript"/>
        </w:rPr>
        <w:t>[9]</w:t>
      </w:r>
      <w:r w:rsidRPr="00120300">
        <w:rPr>
          <w:rFonts w:cs="Times New Roman"/>
        </w:rPr>
        <w:t xml:space="preserve">, remarkably </w:t>
      </w:r>
      <w:r w:rsidR="006E4E87">
        <w:rPr>
          <w:rFonts w:cs="Times New Roman"/>
        </w:rPr>
        <w:t>improve</w:t>
      </w:r>
      <w:r w:rsidRPr="00120300">
        <w:rPr>
          <w:rFonts w:cs="Times New Roman"/>
        </w:rPr>
        <w:t xml:space="preserve"> the blood flow function in the diseased vessels</w:t>
      </w:r>
      <w:r w:rsidR="00BD41BA">
        <w:rPr>
          <w:rFonts w:cs="Times New Roman"/>
        </w:rPr>
        <w:t xml:space="preserve"> </w:t>
      </w:r>
      <w:r w:rsidRPr="00120300">
        <w:rPr>
          <w:rFonts w:cs="Times New Roman"/>
          <w:vertAlign w:val="superscript"/>
        </w:rPr>
        <w:t>[10]</w:t>
      </w:r>
      <w:r w:rsidRPr="00120300">
        <w:rPr>
          <w:rFonts w:cs="Times New Roman"/>
        </w:rPr>
        <w:t>, reduce the risk of myocardial ischemia, and show therapeutic outcomes that are superior compared with the conventional lipid - lowering regimens. Therefore, it is very suitable for being applied widely among the patients who have high - risk coronary artery disease and vulnerable plaques</w:t>
      </w:r>
      <w:r w:rsidR="00BD41BA">
        <w:rPr>
          <w:rFonts w:cs="Times New Roman"/>
        </w:rPr>
        <w:t xml:space="preserve"> </w:t>
      </w:r>
      <w:r w:rsidRPr="00120300">
        <w:rPr>
          <w:rFonts w:cs="Times New Roman"/>
          <w:vertAlign w:val="superscript"/>
        </w:rPr>
        <w:t>[11]</w:t>
      </w:r>
      <w:r w:rsidRPr="00120300">
        <w:rPr>
          <w:rFonts w:cs="Times New Roman"/>
        </w:rPr>
        <w:t>.</w:t>
      </w:r>
    </w:p>
    <w:p w14:paraId="18313CE3" w14:textId="77777777" w:rsidR="00D70856" w:rsidRPr="00120300" w:rsidRDefault="00D70856" w:rsidP="00AD2547">
      <w:pPr>
        <w:rPr>
          <w:rFonts w:cs="Times New Roman"/>
        </w:rPr>
      </w:pPr>
    </w:p>
    <w:p w14:paraId="4AB62B69" w14:textId="77777777" w:rsidR="00D70856" w:rsidRPr="00AD2547" w:rsidRDefault="00000000" w:rsidP="00120300">
      <w:pPr>
        <w:rPr>
          <w:rFonts w:cs="Times New Roman"/>
          <w:b/>
          <w:bCs/>
        </w:rPr>
      </w:pPr>
      <w:r w:rsidRPr="00AD2547">
        <w:rPr>
          <w:rFonts w:cs="Times New Roman"/>
          <w:b/>
          <w:bCs/>
        </w:rPr>
        <w:t>Funding</w:t>
      </w:r>
    </w:p>
    <w:p w14:paraId="1D2E4144" w14:textId="3B3E871F" w:rsidR="00D70856" w:rsidRPr="00120300" w:rsidRDefault="00000000" w:rsidP="00120300">
      <w:pPr>
        <w:rPr>
          <w:rFonts w:cs="Times New Roman"/>
        </w:rPr>
      </w:pPr>
      <w:r w:rsidRPr="00120300">
        <w:rPr>
          <w:rFonts w:cs="Times New Roman"/>
        </w:rPr>
        <w:t>Tianshan Talent Program for High-Level Medical and Health Professionals</w:t>
      </w:r>
      <w:r w:rsidR="00120300">
        <w:rPr>
          <w:rFonts w:cs="Times New Roman"/>
        </w:rPr>
        <w:t xml:space="preserve"> </w:t>
      </w:r>
      <w:r w:rsidRPr="00120300">
        <w:rPr>
          <w:rFonts w:cs="Times New Roman"/>
        </w:rPr>
        <w:t>(</w:t>
      </w:r>
      <w:r w:rsidR="00120300">
        <w:rPr>
          <w:rFonts w:cs="Times New Roman"/>
        </w:rPr>
        <w:t>Project No.</w:t>
      </w:r>
      <w:r w:rsidRPr="00120300">
        <w:rPr>
          <w:rFonts w:cs="Times New Roman"/>
        </w:rPr>
        <w:t>: TSYC202401B215)</w:t>
      </w:r>
    </w:p>
    <w:p w14:paraId="31C941B5" w14:textId="77777777" w:rsidR="00D70856" w:rsidRPr="00120300" w:rsidRDefault="00D70856" w:rsidP="00120300">
      <w:pPr>
        <w:rPr>
          <w:rFonts w:cs="Times New Roman"/>
        </w:rPr>
      </w:pPr>
    </w:p>
    <w:p w14:paraId="7591B446" w14:textId="77777777" w:rsidR="00D70856" w:rsidRPr="00AD2547" w:rsidRDefault="00000000" w:rsidP="00AD2547">
      <w:pPr>
        <w:rPr>
          <w:rFonts w:cs="Times New Roman"/>
          <w:b/>
          <w:bCs/>
        </w:rPr>
      </w:pPr>
      <w:bookmarkStart w:id="1" w:name="_Hlk181689731"/>
      <w:r w:rsidRPr="00AD2547">
        <w:rPr>
          <w:rFonts w:cs="Times New Roman"/>
          <w:b/>
          <w:bCs/>
        </w:rPr>
        <w:t>Disclosure statement</w:t>
      </w:r>
    </w:p>
    <w:p w14:paraId="6D46C7FE" w14:textId="77777777" w:rsidR="00D70856" w:rsidRPr="00120300" w:rsidRDefault="00000000" w:rsidP="00AD2547">
      <w:pPr>
        <w:rPr>
          <w:rFonts w:cs="Times New Roman"/>
        </w:rPr>
      </w:pPr>
      <w:r w:rsidRPr="00120300">
        <w:rPr>
          <w:rFonts w:cs="Times New Roman"/>
        </w:rPr>
        <w:t xml:space="preserve">The authors declare no conflict of interest. </w:t>
      </w:r>
    </w:p>
    <w:bookmarkEnd w:id="1"/>
    <w:p w14:paraId="6C4083C7" w14:textId="77777777" w:rsidR="00D70856" w:rsidRPr="00120300" w:rsidRDefault="00D70856" w:rsidP="00AD2547">
      <w:pPr>
        <w:rPr>
          <w:rFonts w:cs="Times New Roman"/>
        </w:rPr>
      </w:pPr>
    </w:p>
    <w:p w14:paraId="45278D9D" w14:textId="77777777" w:rsidR="00D70856" w:rsidRDefault="00000000" w:rsidP="00120300">
      <w:pPr>
        <w:rPr>
          <w:rFonts w:cs="Times New Roman"/>
          <w:b/>
          <w:bCs/>
        </w:rPr>
      </w:pPr>
      <w:r w:rsidRPr="00AD2547">
        <w:rPr>
          <w:rFonts w:cs="Times New Roman"/>
          <w:b/>
          <w:bCs/>
        </w:rPr>
        <w:t>References</w:t>
      </w:r>
    </w:p>
    <w:p w14:paraId="066EF46B" w14:textId="61C4802E" w:rsidR="00120300" w:rsidRDefault="00120300" w:rsidP="00120300">
      <w:pPr>
        <w:ind w:left="454" w:hanging="454"/>
      </w:pPr>
      <w:bookmarkStart w:id="2" w:name="_Hlk185327419"/>
      <w:r>
        <w:lastRenderedPageBreak/>
        <w:t>[1]</w:t>
      </w:r>
      <w:r>
        <w:tab/>
      </w:r>
      <w:r>
        <w:t>Ma D, Yu X, Li Z, et al., 2024, Study on the Correlation Between Pericoronary Fat Attenuation Index and Left Ventricular Hypertrophy in Patients With Essential Hypertension. China Journal of Clinical Healthcare, 27(4): 533–537.</w:t>
      </w:r>
    </w:p>
    <w:p w14:paraId="3BAB6864" w14:textId="77438F2E" w:rsidR="00120300" w:rsidRDefault="00120300" w:rsidP="00120300">
      <w:pPr>
        <w:ind w:left="454" w:hanging="454"/>
      </w:pPr>
      <w:r>
        <w:t>[2]</w:t>
      </w:r>
      <w:r>
        <w:tab/>
      </w:r>
      <w:r>
        <w:t>Chen LR, Ye X, Chen J, et al., 2024, Clinical Study on Maxiang Baoxin Pills in the Treatment of Essential Hypertension With Coronary Microcirculatory Impairment. Journal of Integrated Traditional Chinese and Western Medicine for Cardiovascular Diseases, 22(9): 1632–1635.</w:t>
      </w:r>
    </w:p>
    <w:p w14:paraId="1519B4BC" w14:textId="7DDA0483" w:rsidR="00120300" w:rsidRDefault="00120300" w:rsidP="00120300">
      <w:pPr>
        <w:ind w:left="454" w:hanging="454"/>
      </w:pPr>
      <w:r>
        <w:t>[3]</w:t>
      </w:r>
      <w:r>
        <w:tab/>
      </w:r>
      <w:r>
        <w:t>Xiong Q, Yan H, Wang L, 2023, Analysis of the Relationship Between Gensini Score, Ankle-Brachial Index and Carotid Intima-Media Thickness in Patients With Type 2 Diabetes Complicated by Primary Hypertension. China Practical Medicine, 18(24): 16–20.</w:t>
      </w:r>
    </w:p>
    <w:p w14:paraId="60A8BAAE" w14:textId="411597FA" w:rsidR="00120300" w:rsidRDefault="00120300" w:rsidP="00120300">
      <w:pPr>
        <w:ind w:left="454" w:hanging="454"/>
      </w:pPr>
      <w:r>
        <w:t>[4]</w:t>
      </w:r>
      <w:r>
        <w:tab/>
      </w:r>
      <w:r>
        <w:t>Wang H, 2015, Application of Spiral CT in Detecting Coronary Artery Lesions in Elderly Patients With Essential Hypertension. Electronic Journal of Cardiovascular Diseases in Integrated Traditional Chinese and Western Medicine, 3(35): 39–40.</w:t>
      </w:r>
    </w:p>
    <w:p w14:paraId="7B6384EF" w14:textId="28E45E52" w:rsidR="00120300" w:rsidRDefault="00120300" w:rsidP="00120300">
      <w:pPr>
        <w:ind w:left="454" w:hanging="454"/>
      </w:pPr>
      <w:r>
        <w:t>[5]</w:t>
      </w:r>
      <w:r>
        <w:tab/>
      </w:r>
      <w:r>
        <w:t>Zhang W, Dang A, Zhang S, et al., 2016, Correlation Between 24-Hour Ambulatory Blood Pressure Variability and Coronary Artery Lesions in Patients With Essential Hypertension. China Journal of Gerontology, 36(11): 2662–2663.</w:t>
      </w:r>
    </w:p>
    <w:p w14:paraId="1018D2B6" w14:textId="06495B8F" w:rsidR="00120300" w:rsidRDefault="00120300" w:rsidP="00120300">
      <w:pPr>
        <w:ind w:left="454" w:hanging="454"/>
      </w:pPr>
      <w:r>
        <w:t>[6]</w:t>
      </w:r>
      <w:r>
        <w:tab/>
      </w:r>
      <w:r>
        <w:t>Yin H, Zhou H, Miao Y, et al., 2014, Ultrasonic Manifestations of Right Coronary Artery-Right Atrial Fistula Caused by Primary Cardiac Malignancy Invading the Right Coronary Artery: A Case Report. Chinese Journal of Ultrasound in Imaging Medicine, 23(6): 547–548.</w:t>
      </w:r>
    </w:p>
    <w:p w14:paraId="0B821744" w14:textId="01F3CD28" w:rsidR="00120300" w:rsidRDefault="00120300" w:rsidP="00120300">
      <w:pPr>
        <w:ind w:left="454" w:hanging="454"/>
      </w:pPr>
      <w:r>
        <w:t>[7]</w:t>
      </w:r>
      <w:r>
        <w:tab/>
      </w:r>
      <w:r>
        <w:t>Bao B, Shi J, Li H, et al., 2008, Multivariate Analysis of the Relationship Between Essential Hypertension and Coronary Artery Stenosis. China Journal of Practical Internal Medicine, 28(12): 1078–1079.</w:t>
      </w:r>
    </w:p>
    <w:p w14:paraId="15FF7204" w14:textId="6FDA2BB4" w:rsidR="00120300" w:rsidRDefault="00120300" w:rsidP="00120300">
      <w:pPr>
        <w:ind w:left="454" w:hanging="454"/>
      </w:pPr>
      <w:r>
        <w:t>[8]</w:t>
      </w:r>
      <w:r>
        <w:tab/>
      </w:r>
      <w:r>
        <w:t>Huang R, Yao K, Li Y, et al., 2006, Recent Observations on the Safety and Efficacy of Coronary Artery Mononuclear Cell Transplantation in the Treatment of Primary Dilated Cardiomyopathy. Proceedings of the 8th National Cardiovascular Conference of the Cardiovascular Branch of Chinese Medical Association: 193.</w:t>
      </w:r>
    </w:p>
    <w:p w14:paraId="5241430E" w14:textId="1B4CC38E" w:rsidR="00120300" w:rsidRDefault="00120300" w:rsidP="00120300">
      <w:pPr>
        <w:ind w:left="454" w:hanging="454"/>
      </w:pPr>
      <w:r>
        <w:t>[9]</w:t>
      </w:r>
      <w:r>
        <w:tab/>
      </w:r>
      <w:r>
        <w:t>Xiong S, Hong T, Yang J, et al., 2004, Angiographic Characteristics and Interventional Therapy of Primary Coronary Artery Dissection. China Journal of Interventional Cardiology, (3): 26–28.</w:t>
      </w:r>
    </w:p>
    <w:p w14:paraId="6A8C2041" w14:textId="01522E56" w:rsidR="00120300" w:rsidRDefault="00120300" w:rsidP="00120300">
      <w:pPr>
        <w:ind w:left="454" w:hanging="454"/>
      </w:pPr>
      <w:r>
        <w:t>[10]</w:t>
      </w:r>
      <w:r>
        <w:tab/>
      </w:r>
      <w:r>
        <w:t>Wang L, Fan J, Zhang H, et al., 2001, Investigation Into the Relationship Between Coronary Artery Morphology and Ischemic Symptoms in Patients With Essential Hypertension. Journal of Clinical Cardiovascular Diseases, (2): 87.</w:t>
      </w:r>
    </w:p>
    <w:p w14:paraId="070BA394" w14:textId="45A33D6C" w:rsidR="00120300" w:rsidRDefault="00120300" w:rsidP="00120300">
      <w:pPr>
        <w:ind w:left="454" w:hanging="454"/>
      </w:pPr>
      <w:r>
        <w:t>[11]</w:t>
      </w:r>
      <w:r>
        <w:tab/>
      </w:r>
      <w:r>
        <w:t>Bai Y, 1994, The Dilating Effect of Dobutamine on Coronary Arteries in Patients With Primary Dilated Cardiomyopathy. Foreign Medicine: Cardiovascular Diseases Volume, (1): 51.</w:t>
      </w:r>
    </w:p>
    <w:p w14:paraId="3E8BDE9D" w14:textId="77777777" w:rsidR="00120300" w:rsidRDefault="00120300" w:rsidP="00120300"/>
    <w:p w14:paraId="16E7FEC9" w14:textId="77777777" w:rsidR="00120300" w:rsidRDefault="00120300" w:rsidP="00120300">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Publisher’s note</w:t>
      </w:r>
    </w:p>
    <w:p w14:paraId="5D261F03" w14:textId="77777777" w:rsidR="00120300" w:rsidRDefault="00120300" w:rsidP="00120300">
      <w:pPr>
        <w:adjustRightInd/>
        <w:snapToGrid/>
      </w:pPr>
      <w:r>
        <w:rPr>
          <w:rFonts w:eastAsia="SimSun"/>
          <w:kern w:val="0"/>
          <w:sz w:val="20"/>
          <w:szCs w:val="22"/>
          <w:lang w:eastAsia="en-US"/>
        </w:rPr>
        <w:t>Bio-Byword Scientific Publishing remains neutral with regard to jurisdictional claims in published maps and institutional affiliations.</w:t>
      </w:r>
      <w:r w:rsidRPr="00471541">
        <w:t xml:space="preserve"> </w:t>
      </w:r>
    </w:p>
    <w:bookmarkEnd w:id="2"/>
    <w:p w14:paraId="4FC54037" w14:textId="77777777" w:rsidR="00D70856" w:rsidRPr="00120300" w:rsidRDefault="00D70856" w:rsidP="00AD2547">
      <w:pPr>
        <w:rPr>
          <w:rFonts w:eastAsia="SimSun" w:cs="Times New Roman"/>
        </w:rPr>
      </w:pPr>
    </w:p>
    <w:sectPr w:rsidR="00D70856" w:rsidRPr="00120300" w:rsidSect="00AD2547">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embedRegular r:id="rId1" w:subsetted="1" w:fontKey="{81B145B7-653E-4C9E-A596-AADF12B79E4C}"/>
  </w:font>
  <w:font w:name="Courier New">
    <w:panose1 w:val="02070309020205020404"/>
    <w:charset w:val="00"/>
    <w:family w:val="modern"/>
    <w:pitch w:val="fixed"/>
    <w:sig w:usb0="E0002E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saveSubsetFonts/>
  <w:trackRevisions/>
  <w:documentProtection w:edit="readOnly" w:enforcement="0"/>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5C73517"/>
    <w:rsid w:val="00120300"/>
    <w:rsid w:val="00195393"/>
    <w:rsid w:val="004A4B84"/>
    <w:rsid w:val="006E4E87"/>
    <w:rsid w:val="00AD2547"/>
    <w:rsid w:val="00BD41BA"/>
    <w:rsid w:val="00D70856"/>
    <w:rsid w:val="01F360F8"/>
    <w:rsid w:val="02B7386E"/>
    <w:rsid w:val="032812B9"/>
    <w:rsid w:val="0330296C"/>
    <w:rsid w:val="03E360AE"/>
    <w:rsid w:val="04623CE6"/>
    <w:rsid w:val="04BE1236"/>
    <w:rsid w:val="050431EB"/>
    <w:rsid w:val="06A66F8E"/>
    <w:rsid w:val="0705450D"/>
    <w:rsid w:val="079A5077"/>
    <w:rsid w:val="08803584"/>
    <w:rsid w:val="097E5200"/>
    <w:rsid w:val="09DD4006"/>
    <w:rsid w:val="0AA60D8D"/>
    <w:rsid w:val="0BA46B7E"/>
    <w:rsid w:val="0C226175"/>
    <w:rsid w:val="0D006C6E"/>
    <w:rsid w:val="0E640701"/>
    <w:rsid w:val="0EA1478B"/>
    <w:rsid w:val="0ED436CC"/>
    <w:rsid w:val="0FE07FE5"/>
    <w:rsid w:val="112E4576"/>
    <w:rsid w:val="11B90902"/>
    <w:rsid w:val="120020D1"/>
    <w:rsid w:val="121B3E6A"/>
    <w:rsid w:val="12D24C8D"/>
    <w:rsid w:val="12D81FC0"/>
    <w:rsid w:val="14BD5A64"/>
    <w:rsid w:val="16595BA2"/>
    <w:rsid w:val="168C2053"/>
    <w:rsid w:val="16E84856"/>
    <w:rsid w:val="180639F3"/>
    <w:rsid w:val="1881596A"/>
    <w:rsid w:val="1A1E27C9"/>
    <w:rsid w:val="1A2C5AB2"/>
    <w:rsid w:val="1AEF2B0C"/>
    <w:rsid w:val="1C1A286E"/>
    <w:rsid w:val="1E135D3B"/>
    <w:rsid w:val="1F643CE8"/>
    <w:rsid w:val="1FDA6ECF"/>
    <w:rsid w:val="22F50335"/>
    <w:rsid w:val="23257F67"/>
    <w:rsid w:val="238870C1"/>
    <w:rsid w:val="242B6D10"/>
    <w:rsid w:val="244F78AE"/>
    <w:rsid w:val="259242D1"/>
    <w:rsid w:val="25C73517"/>
    <w:rsid w:val="27457B3D"/>
    <w:rsid w:val="2A16258E"/>
    <w:rsid w:val="2A4D6D7C"/>
    <w:rsid w:val="2B85562C"/>
    <w:rsid w:val="2C62625E"/>
    <w:rsid w:val="2E9767AA"/>
    <w:rsid w:val="3026464C"/>
    <w:rsid w:val="30475C37"/>
    <w:rsid w:val="31303942"/>
    <w:rsid w:val="35797EB2"/>
    <w:rsid w:val="35E03D8E"/>
    <w:rsid w:val="379A154E"/>
    <w:rsid w:val="38022ED2"/>
    <w:rsid w:val="38CC3481"/>
    <w:rsid w:val="38FC2B11"/>
    <w:rsid w:val="3A9C6D80"/>
    <w:rsid w:val="3ACE2BFE"/>
    <w:rsid w:val="3B773051"/>
    <w:rsid w:val="3C533DB1"/>
    <w:rsid w:val="3D80306B"/>
    <w:rsid w:val="3DAB37DC"/>
    <w:rsid w:val="42B646C2"/>
    <w:rsid w:val="42B930F0"/>
    <w:rsid w:val="431337EC"/>
    <w:rsid w:val="434A4A4E"/>
    <w:rsid w:val="442C1A52"/>
    <w:rsid w:val="44813EBB"/>
    <w:rsid w:val="44E10EEF"/>
    <w:rsid w:val="45A22E05"/>
    <w:rsid w:val="463D4985"/>
    <w:rsid w:val="48AC33AF"/>
    <w:rsid w:val="48E446CC"/>
    <w:rsid w:val="4A092F87"/>
    <w:rsid w:val="4A237AAA"/>
    <w:rsid w:val="4A9823D3"/>
    <w:rsid w:val="4B195972"/>
    <w:rsid w:val="4C88180E"/>
    <w:rsid w:val="4EC14ABF"/>
    <w:rsid w:val="500A6A40"/>
    <w:rsid w:val="509C7D9B"/>
    <w:rsid w:val="52DC47A1"/>
    <w:rsid w:val="53DC4C25"/>
    <w:rsid w:val="54C172D5"/>
    <w:rsid w:val="55807CEC"/>
    <w:rsid w:val="56DC6503"/>
    <w:rsid w:val="574F2297"/>
    <w:rsid w:val="57AA57C1"/>
    <w:rsid w:val="582947AA"/>
    <w:rsid w:val="58EF3D92"/>
    <w:rsid w:val="5AB61BD4"/>
    <w:rsid w:val="5B360F4C"/>
    <w:rsid w:val="5E5C3EEB"/>
    <w:rsid w:val="5F10528A"/>
    <w:rsid w:val="5FF12E92"/>
    <w:rsid w:val="61B22166"/>
    <w:rsid w:val="62896230"/>
    <w:rsid w:val="665A6868"/>
    <w:rsid w:val="67071B02"/>
    <w:rsid w:val="6792222E"/>
    <w:rsid w:val="680102D7"/>
    <w:rsid w:val="69E6188F"/>
    <w:rsid w:val="6A961AAF"/>
    <w:rsid w:val="6BDC5B88"/>
    <w:rsid w:val="6CF44C9B"/>
    <w:rsid w:val="6DCB31D8"/>
    <w:rsid w:val="6DF617DE"/>
    <w:rsid w:val="71F52F68"/>
    <w:rsid w:val="743963FC"/>
    <w:rsid w:val="75C60089"/>
    <w:rsid w:val="761B2259"/>
    <w:rsid w:val="76A543C4"/>
    <w:rsid w:val="76EB12BD"/>
    <w:rsid w:val="77736A64"/>
    <w:rsid w:val="78D05A1C"/>
    <w:rsid w:val="79953828"/>
    <w:rsid w:val="7B856209"/>
    <w:rsid w:val="7D7C017E"/>
    <w:rsid w:val="7FC44BEB"/>
    <w:rsid w:val="A7DFBE9A"/>
    <w:rsid w:val="BDAF6AAB"/>
    <w:rsid w:val="FF7DEB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DEF8FB"/>
  <w15:docId w15:val="{DC22DDEE-83AD-40B6-AF8E-638F9EDF6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ode"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0300"/>
    <w:pPr>
      <w:widowControl w:val="0"/>
      <w:suppressAutoHyphens/>
      <w:adjustRightInd w:val="0"/>
      <w:snapToGrid w:val="0"/>
      <w:jc w:val="both"/>
    </w:pPr>
    <w:rPr>
      <w:rFonts w:eastAsiaTheme="minorEastAsia" w:cstheme="minorBidi"/>
      <w:kern w:val="2"/>
      <w:sz w:val="24"/>
      <w:szCs w:val="24"/>
      <w:lang w:val="en-US"/>
    </w:rPr>
  </w:style>
  <w:style w:type="paragraph" w:styleId="Heading1">
    <w:name w:val="heading 1"/>
    <w:basedOn w:val="Normal"/>
    <w:next w:val="Normal"/>
    <w:qFormat/>
    <w:pPr>
      <w:spacing w:beforeAutospacing="1" w:afterAutospacing="1"/>
      <w:jc w:val="left"/>
      <w:outlineLvl w:val="0"/>
    </w:pPr>
    <w:rPr>
      <w:rFonts w:ascii="SimSun" w:eastAsia="SimSun" w:hAnsi="SimSun" w:cs="Times New Roman" w:hint="eastAsia"/>
      <w:b/>
      <w:bCs/>
      <w:kern w:val="44"/>
      <w:sz w:val="48"/>
      <w:szCs w:val="48"/>
    </w:rPr>
  </w:style>
  <w:style w:type="paragraph" w:styleId="Heading2">
    <w:name w:val="heading 2"/>
    <w:basedOn w:val="Normal"/>
    <w:next w:val="Normal"/>
    <w:semiHidden/>
    <w:unhideWhenUsed/>
    <w:qFormat/>
    <w:pPr>
      <w:spacing w:beforeAutospacing="1" w:afterAutospacing="1"/>
      <w:jc w:val="left"/>
      <w:outlineLvl w:val="1"/>
    </w:pPr>
    <w:rPr>
      <w:rFonts w:ascii="SimSun" w:eastAsia="SimSun" w:hAnsi="SimSun" w:cs="Times New Roman" w:hint="eastAsia"/>
      <w:b/>
      <w:bCs/>
      <w:kern w:val="0"/>
      <w:sz w:val="36"/>
      <w:szCs w:val="36"/>
    </w:rPr>
  </w:style>
  <w:style w:type="paragraph" w:styleId="Heading3">
    <w:name w:val="heading 3"/>
    <w:basedOn w:val="Normal"/>
    <w:next w:val="Normal"/>
    <w:semiHidden/>
    <w:unhideWhenUsed/>
    <w:qFormat/>
    <w:pPr>
      <w:spacing w:beforeAutospacing="1" w:afterAutospacing="1"/>
      <w:jc w:val="left"/>
      <w:outlineLvl w:val="2"/>
    </w:pPr>
    <w:rPr>
      <w:rFonts w:ascii="SimSun" w:eastAsia="SimSun" w:hAnsi="SimSun" w:cs="Times New Roman" w:hint="eastAsia"/>
      <w:b/>
      <w:bCs/>
      <w:kern w:val="0"/>
      <w:sz w:val="27"/>
      <w:szCs w:val="27"/>
    </w:rPr>
  </w:style>
  <w:style w:type="paragraph" w:styleId="Heading4">
    <w:name w:val="heading 4"/>
    <w:basedOn w:val="Normal"/>
    <w:next w:val="Normal"/>
    <w:semiHidden/>
    <w:unhideWhenUsed/>
    <w:qFormat/>
    <w:pPr>
      <w:spacing w:beforeAutospacing="1" w:afterAutospacing="1"/>
      <w:jc w:val="left"/>
      <w:outlineLvl w:val="3"/>
    </w:pPr>
    <w:rPr>
      <w:rFonts w:ascii="SimSun" w:eastAsia="SimSun" w:hAnsi="SimSun" w:cs="Times New Roman" w:hint="eastAsia"/>
      <w:b/>
      <w:bCs/>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pPr>
      <w:jc w:val="left"/>
    </w:pPr>
  </w:style>
  <w:style w:type="paragraph" w:styleId="NormalWeb">
    <w:name w:val="Normal (Web)"/>
    <w:basedOn w:val="Normal"/>
    <w:qFormat/>
  </w:style>
  <w:style w:type="character" w:styleId="Strong">
    <w:name w:val="Strong"/>
    <w:basedOn w:val="DefaultParagraphFont"/>
    <w:qFormat/>
    <w:rPr>
      <w:b/>
    </w:rPr>
  </w:style>
  <w:style w:type="character" w:styleId="HTMLCode">
    <w:name w:val="HTML Code"/>
    <w:basedOn w:val="DefaultParagraphFont"/>
    <w:qFormat/>
    <w:rPr>
      <w:rFonts w:ascii="Courier New" w:hAnsi="Courier New"/>
      <w:sz w:val="20"/>
    </w:rPr>
  </w:style>
  <w:style w:type="paragraph" w:customStyle="1" w:styleId="1">
    <w:name w:val="毕业设计（论文）1级标题"/>
    <w:basedOn w:val="Normal"/>
    <w:qFormat/>
    <w:pPr>
      <w:spacing w:beforeLines="50" w:before="120" w:afterLines="50" w:after="120" w:line="300" w:lineRule="auto"/>
      <w:ind w:left="1959" w:hangingChars="653" w:hanging="1959"/>
    </w:pPr>
    <w:rPr>
      <w:rFonts w:eastAsia="SimHei"/>
      <w:color w:val="000000"/>
      <w:sz w:val="30"/>
    </w:rPr>
  </w:style>
  <w:style w:type="paragraph" w:customStyle="1" w:styleId="2">
    <w:name w:val="毕业设计（论文）2级标题"/>
    <w:basedOn w:val="Normal"/>
    <w:qFormat/>
    <w:pPr>
      <w:spacing w:line="300" w:lineRule="auto"/>
    </w:pPr>
    <w:rPr>
      <w:rFonts w:eastAsia="SimHei"/>
      <w:color w:val="000000"/>
      <w:sz w:val="28"/>
    </w:rPr>
  </w:style>
  <w:style w:type="paragraph" w:customStyle="1" w:styleId="3">
    <w:name w:val="毕业设计（论文）3级标题"/>
    <w:basedOn w:val="Normal"/>
    <w:qFormat/>
    <w:pPr>
      <w:spacing w:line="300" w:lineRule="auto"/>
    </w:pPr>
    <w:rPr>
      <w:rFonts w:eastAsia="SimHei"/>
      <w:color w:val="000000"/>
    </w:rPr>
  </w:style>
  <w:style w:type="paragraph" w:styleId="Revision">
    <w:name w:val="Revision"/>
    <w:hidden/>
    <w:uiPriority w:val="99"/>
    <w:unhideWhenUsed/>
    <w:rsid w:val="00120300"/>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4478d028-5180-4b23-9f97-7f3859068bb3</errorID>
      <errorWord>，</errorWord>
      <group>L1_Punc</group>
      <groupName>标点问题</groupName>
      <ability>L2_Punc</ability>
      <abilityName>标点符号检查</abilityName>
      <candidateList>
        <item>：</item>
      </candidateList>
      <explain/>
      <paraID>652D0691</paraID>
      <start>11</start>
      <end>12</end>
      <status>modified</status>
      <modifiedWord>：</modifiedWord>
      <trackRevisions>false</trackRevisions>
    </reviewItem>
    <reviewItem>
      <errorID>70370a14-03fc-4ccc-b0ad-94fbfbff0998</errorID>
      <errorWord>，</errorWord>
      <group>L1_Punc</group>
      <groupName>标点问题</groupName>
      <ability>L2_Punc</ability>
      <abilityName>标点符号检查</abilityName>
      <candidateList>
        <item>：</item>
      </candidateList>
      <explain/>
      <paraID>1CC366E3</paraID>
      <start>11</start>
      <end>12</end>
      <status>modified</status>
      <modifiedWord>：</modifiedWord>
      <trackRevisions>false</trackRevisions>
    </reviewItem>
    <reviewItem>
      <errorID>d589891d-f581-43de-86a2-500651f341ad</errorID>
      <errorWord>，</errorWord>
      <group>L1_Punc</group>
      <groupName>标点问题</groupName>
      <ability>L2_Punc</ability>
      <abilityName>标点符号检查</abilityName>
      <candidateList>
        <item>：</item>
      </candidateList>
      <explain/>
      <paraID>6901E9EB</paraID>
      <start>12</start>
      <end>13</end>
      <status>modified</status>
      <modifiedWord>：</modifiedWord>
      <trackRevisions>false</trackRevisions>
    </reviewItem>
    <reviewItem>
      <errorID>14de7730-4754-416b-a56f-d1756f2f3ffc</errorID>
      <errorWord>，</errorWord>
      <group>L1_Punc</group>
      <groupName>标点问题</groupName>
      <ability>L2_Punc</ability>
      <abilityName>标点符号检查</abilityName>
      <candidateList>
        <item>：</item>
      </candidateList>
      <explain/>
      <paraID>52266D93</paraID>
      <start>11</start>
      <end>12</end>
      <status>modified</status>
      <modifiedWord>：</modifiedWord>
      <trackRevisions>false</trackRevisions>
    </reviewItem>
  </reviewItems>
  <config/>
</contractReview>
</file>

<file path=customXml/itemProps1.xml><?xml version="1.0" encoding="utf-8"?>
<ds:datastoreItem xmlns:ds="http://schemas.openxmlformats.org/officeDocument/2006/customXml" ds:itemID="{F38F9410-B0B2-46A0-9336-66306A2151FF}">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3077</Words>
  <Characters>17542</Characters>
  <Application>Microsoft Office Word</Application>
  <DocSecurity>0</DocSecurity>
  <Lines>146</Lines>
  <Paragraphs>41</Paragraphs>
  <ScaleCrop>false</ScaleCrop>
  <Company/>
  <LinksUpToDate>false</LinksUpToDate>
  <CharactersWithSpaces>20578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Editor J</cp:lastModifiedBy>
  <cp:revision>2</cp:revision>
  <dcterms:created xsi:type="dcterms:W3CDTF">2026-09-18T10:07:00Z</dcterms:created>
  <dcterms:modified xsi:type="dcterms:W3CDTF">2026-09-18T10:07:00Z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D541AB4B87F54FE1BBBE5D79C936355B_13</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cf665e0e-b942-4b34-b4bc-050bc9965007</vt:lpwstr>
  </property>
</Properties>
</file>