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45931" w14:textId="77777777" w:rsidR="00B834B4" w:rsidRPr="00E93C2C" w:rsidRDefault="00000000">
      <w:pPr>
        <w:jc w:val="left"/>
        <w:rPr>
          <w:rFonts w:cs="Times New Roman"/>
          <w:b/>
          <w:bCs/>
          <w:snapToGrid w:val="0"/>
          <w:sz w:val="44"/>
          <w:szCs w:val="44"/>
        </w:rPr>
      </w:pPr>
      <w:r w:rsidRPr="00E93C2C">
        <w:rPr>
          <w:rFonts w:cs="Times New Roman"/>
          <w:b/>
          <w:bCs/>
          <w:snapToGrid w:val="0"/>
          <w:sz w:val="44"/>
          <w:szCs w:val="44"/>
          <w:shd w:val="clear" w:color="auto" w:fill="FFFFFF"/>
        </w:rPr>
        <w:t>Application of Lymphocyte Subset Analysis in Early Warning of Infection Risk in Patients with Hematologic Malignancies</w:t>
      </w:r>
    </w:p>
    <w:p w14:paraId="4D3E787A" w14:textId="77777777" w:rsidR="00B834B4" w:rsidRPr="00E93C2C" w:rsidRDefault="00000000" w:rsidP="00E93C2C">
      <w:pPr>
        <w:rPr>
          <w:rFonts w:cs="Times New Roman"/>
          <w:b/>
          <w:bCs/>
          <w:snapToGrid w:val="0"/>
          <w:color w:val="222222"/>
          <w:shd w:val="clear" w:color="auto" w:fill="FFFFFF"/>
        </w:rPr>
      </w:pPr>
      <w:proofErr w:type="spellStart"/>
      <w:r w:rsidRPr="00E93C2C">
        <w:rPr>
          <w:rFonts w:cs="Times New Roman"/>
          <w:b/>
          <w:bCs/>
          <w:snapToGrid w:val="0"/>
          <w:color w:val="222222"/>
          <w:shd w:val="clear" w:color="auto" w:fill="FFFFFF"/>
        </w:rPr>
        <w:t>Yuanlan</w:t>
      </w:r>
      <w:proofErr w:type="spellEnd"/>
      <w:r w:rsidRPr="00E93C2C">
        <w:rPr>
          <w:rFonts w:cs="Times New Roman"/>
          <w:b/>
          <w:bCs/>
          <w:snapToGrid w:val="0"/>
          <w:color w:val="222222"/>
          <w:shd w:val="clear" w:color="auto" w:fill="FFFFFF"/>
        </w:rPr>
        <w:t xml:space="preserve"> Yang, Yujun Li, </w:t>
      </w:r>
      <w:r w:rsidRPr="00E93C2C">
        <w:rPr>
          <w:rFonts w:cs="Times New Roman"/>
          <w:b/>
          <w:bCs/>
          <w:snapToGrid w:val="0"/>
        </w:rPr>
        <w:t xml:space="preserve">Ya Chen, Xinying Dai, </w:t>
      </w:r>
      <w:proofErr w:type="spellStart"/>
      <w:r w:rsidRPr="00E93C2C">
        <w:rPr>
          <w:rFonts w:cs="Times New Roman"/>
          <w:b/>
          <w:bCs/>
          <w:snapToGrid w:val="0"/>
        </w:rPr>
        <w:t>Wenting</w:t>
      </w:r>
      <w:proofErr w:type="spellEnd"/>
      <w:r w:rsidRPr="00E93C2C">
        <w:rPr>
          <w:rFonts w:cs="Times New Roman"/>
          <w:b/>
          <w:bCs/>
          <w:snapToGrid w:val="0"/>
        </w:rPr>
        <w:t xml:space="preserve"> Chen, </w:t>
      </w:r>
      <w:proofErr w:type="spellStart"/>
      <w:r w:rsidRPr="00E93C2C">
        <w:rPr>
          <w:rFonts w:cs="Times New Roman"/>
          <w:b/>
          <w:bCs/>
          <w:snapToGrid w:val="0"/>
        </w:rPr>
        <w:t>Chuyun</w:t>
      </w:r>
      <w:proofErr w:type="spellEnd"/>
      <w:r w:rsidRPr="00E93C2C">
        <w:rPr>
          <w:rFonts w:cs="Times New Roman"/>
          <w:b/>
          <w:bCs/>
          <w:snapToGrid w:val="0"/>
        </w:rPr>
        <w:t xml:space="preserve"> Wu</w:t>
      </w:r>
    </w:p>
    <w:p w14:paraId="70A0CBB1" w14:textId="77777777" w:rsidR="00B834B4" w:rsidRPr="00EF12D2" w:rsidRDefault="00000000" w:rsidP="00C4480C">
      <w:pPr>
        <w:rPr>
          <w:rFonts w:cs="Times New Roman"/>
          <w:snapToGrid w:val="0"/>
        </w:rPr>
      </w:pPr>
      <w:r w:rsidRPr="00E93C2C">
        <w:rPr>
          <w:rFonts w:cs="Times New Roman"/>
          <w:snapToGrid w:val="0"/>
          <w:color w:val="222222"/>
          <w:shd w:val="clear" w:color="auto" w:fill="FFFFFF"/>
        </w:rPr>
        <w:t xml:space="preserve">People’s Hospital of </w:t>
      </w:r>
      <w:proofErr w:type="spellStart"/>
      <w:r w:rsidRPr="00E93C2C">
        <w:rPr>
          <w:rFonts w:cs="Times New Roman"/>
          <w:snapToGrid w:val="0"/>
          <w:color w:val="222222"/>
          <w:shd w:val="clear" w:color="auto" w:fill="FFFFFF"/>
        </w:rPr>
        <w:t>Qianxinan</w:t>
      </w:r>
      <w:proofErr w:type="spellEnd"/>
      <w:r w:rsidRPr="00E93C2C">
        <w:rPr>
          <w:rFonts w:cs="Times New Roman"/>
          <w:snapToGrid w:val="0"/>
          <w:color w:val="222222"/>
          <w:shd w:val="clear" w:color="auto" w:fill="FFFFFF"/>
        </w:rPr>
        <w:t xml:space="preserve"> Prefecture</w:t>
      </w:r>
      <w:r w:rsidRPr="00EF12D2">
        <w:rPr>
          <w:rFonts w:cs="Times New Roman"/>
          <w:snapToGrid w:val="0"/>
          <w:color w:val="222222"/>
          <w:shd w:val="clear" w:color="auto" w:fill="FFFFFF"/>
        </w:rPr>
        <w:t>, ‌</w:t>
      </w:r>
      <w:proofErr w:type="spellStart"/>
      <w:r w:rsidRPr="00EF12D2">
        <w:rPr>
          <w:rFonts w:cs="Times New Roman"/>
          <w:snapToGrid w:val="0"/>
          <w:color w:val="222222"/>
          <w:shd w:val="clear" w:color="auto" w:fill="FFFFFF"/>
        </w:rPr>
        <w:t>Qianxinan</w:t>
      </w:r>
      <w:proofErr w:type="spellEnd"/>
      <w:r w:rsidRPr="00EF12D2">
        <w:rPr>
          <w:rFonts w:cs="Times New Roman"/>
          <w:snapToGrid w:val="0"/>
          <w:color w:val="222222"/>
          <w:shd w:val="clear" w:color="auto" w:fill="FFFFFF"/>
        </w:rPr>
        <w:t xml:space="preserve"> Prefecture </w:t>
      </w:r>
      <w:r w:rsidRPr="00EF12D2">
        <w:rPr>
          <w:rFonts w:cs="Times New Roman"/>
          <w:snapToGrid w:val="0"/>
        </w:rPr>
        <w:t xml:space="preserve">562400, </w:t>
      </w:r>
      <w:r w:rsidRPr="00EF12D2">
        <w:rPr>
          <w:rFonts w:cs="Times New Roman"/>
          <w:snapToGrid w:val="0"/>
          <w:color w:val="222222"/>
          <w:shd w:val="clear" w:color="auto" w:fill="FFFFFF"/>
        </w:rPr>
        <w:t>Guizhou</w:t>
      </w:r>
      <w:r w:rsidRPr="00EF12D2">
        <w:rPr>
          <w:rFonts w:cs="Times New Roman"/>
          <w:snapToGrid w:val="0"/>
        </w:rPr>
        <w:t>, China</w:t>
      </w:r>
    </w:p>
    <w:p w14:paraId="45B7E6A8" w14:textId="77777777" w:rsidR="00EF12D2" w:rsidRPr="00EF12D2" w:rsidRDefault="00EF12D2" w:rsidP="00EF12D2">
      <w:pPr>
        <w:rPr>
          <w:rFonts w:eastAsia="DengXian"/>
          <w:b/>
          <w:bCs/>
          <w:i/>
          <w:iCs/>
          <w:kern w:val="0"/>
        </w:rPr>
      </w:pPr>
      <w:r w:rsidRPr="002F169B">
        <w:rPr>
          <w:rFonts w:eastAsia="DengXian"/>
          <w:b/>
          <w:bCs/>
          <w:i/>
          <w:iCs/>
          <w:kern w:val="0"/>
          <w:lang w:bidi="ar"/>
        </w:rPr>
        <w:t>*Author to whom correspondence should be addressed</w:t>
      </w:r>
      <w:r w:rsidRPr="00EF12D2">
        <w:rPr>
          <w:rFonts w:eastAsia="DengXian"/>
          <w:b/>
          <w:bCs/>
          <w:i/>
          <w:iCs/>
          <w:kern w:val="0"/>
          <w:lang w:bidi="ar"/>
        </w:rPr>
        <w:t>.</w:t>
      </w:r>
    </w:p>
    <w:p w14:paraId="3B189F23" w14:textId="77777777" w:rsidR="00EF12D2" w:rsidRPr="00E93C2C" w:rsidRDefault="00EF12D2" w:rsidP="00EF12D2"/>
    <w:p w14:paraId="3A9DCEF7" w14:textId="77777777" w:rsidR="00EF12D2" w:rsidRPr="00EF12D2" w:rsidRDefault="00EF12D2" w:rsidP="00EF12D2">
      <w:pPr>
        <w:widowControl/>
        <w:autoSpaceDE w:val="0"/>
        <w:autoSpaceDN w:val="0"/>
        <w:snapToGrid/>
        <w:rPr>
          <w:kern w:val="0"/>
          <w:sz w:val="20"/>
          <w:szCs w:val="20"/>
          <w:lang w:eastAsia="en-US"/>
        </w:rPr>
      </w:pPr>
      <w:bookmarkStart w:id="0" w:name="_Hlk185327433"/>
      <w:r w:rsidRPr="00EF12D2">
        <w:rPr>
          <w:b/>
          <w:bCs/>
          <w:kern w:val="0"/>
          <w:sz w:val="20"/>
          <w:szCs w:val="20"/>
          <w:lang w:eastAsia="en-US"/>
        </w:rPr>
        <w:t xml:space="preserve">Copyright: </w:t>
      </w:r>
      <w:r w:rsidRPr="00EF12D2">
        <w:rPr>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63B32A4D" w14:textId="77777777" w:rsidR="00B834B4" w:rsidRPr="00EF12D2" w:rsidRDefault="00B834B4" w:rsidP="00E93C2C">
      <w:pPr>
        <w:rPr>
          <w:rStyle w:val="Strong"/>
          <w:rFonts w:eastAsia="Microsoft YaHei" w:cs="Times New Roman"/>
          <w:snapToGrid w:val="0"/>
          <w:color w:val="222222"/>
          <w:shd w:val="clear" w:color="auto" w:fill="FFFFFF"/>
        </w:rPr>
      </w:pPr>
    </w:p>
    <w:p w14:paraId="7A4D35D8" w14:textId="77777777" w:rsidR="00B834B4" w:rsidRPr="00EF12D2" w:rsidRDefault="00000000" w:rsidP="00E93C2C">
      <w:pPr>
        <w:rPr>
          <w:rFonts w:eastAsia="Microsoft YaHei" w:cs="Times New Roman"/>
          <w:snapToGrid w:val="0"/>
          <w:color w:val="222222"/>
        </w:rPr>
      </w:pPr>
      <w:r w:rsidRPr="00EF12D2">
        <w:rPr>
          <w:rStyle w:val="Strong"/>
          <w:rFonts w:eastAsia="Microsoft YaHei" w:cs="Times New Roman"/>
          <w:snapToGrid w:val="0"/>
          <w:color w:val="222222"/>
          <w:shd w:val="clear" w:color="auto" w:fill="FFFFFF"/>
        </w:rPr>
        <w:t>Abstract:</w:t>
      </w:r>
      <w:r w:rsidRPr="00EF12D2">
        <w:rPr>
          <w:rFonts w:eastAsia="Microsoft YaHei" w:cs="Times New Roman"/>
          <w:snapToGrid w:val="0"/>
          <w:color w:val="222222"/>
          <w:shd w:val="clear" w:color="auto" w:fill="FFFFFF"/>
        </w:rPr>
        <w:t> </w:t>
      </w:r>
      <w:r w:rsidRPr="00EF12D2">
        <w:rPr>
          <w:rFonts w:eastAsia="Microsoft YaHei" w:cs="Times New Roman"/>
          <w:i/>
          <w:iCs/>
          <w:snapToGrid w:val="0"/>
          <w:color w:val="222222"/>
          <w:shd w:val="clear" w:color="auto" w:fill="FFFFFF"/>
        </w:rPr>
        <w:t>Objectives</w:t>
      </w:r>
      <w:r w:rsidRPr="00EF12D2">
        <w:rPr>
          <w:rFonts w:eastAsia="Microsoft YaHei" w:cs="Times New Roman"/>
          <w:snapToGrid w:val="0"/>
          <w:color w:val="222222"/>
          <w:shd w:val="clear" w:color="auto" w:fill="FFFFFF"/>
        </w:rPr>
        <w:t xml:space="preserve">: Infection is a significant complication in patients with hematologic malignancies, and CD4+ T-cell count serves as a critical indicator for assessing immune defense function. </w:t>
      </w:r>
      <w:r w:rsidRPr="00EF12D2">
        <w:rPr>
          <w:rFonts w:eastAsia="Microsoft YaHei" w:cs="Times New Roman"/>
          <w:i/>
          <w:iCs/>
          <w:snapToGrid w:val="0"/>
          <w:color w:val="222222"/>
          <w:shd w:val="clear" w:color="auto" w:fill="FFFFFF"/>
        </w:rPr>
        <w:t>Methods</w:t>
      </w:r>
      <w:r w:rsidRPr="00EF12D2">
        <w:rPr>
          <w:rFonts w:eastAsia="Microsoft YaHei" w:cs="Times New Roman"/>
          <w:snapToGrid w:val="0"/>
          <w:color w:val="222222"/>
          <w:shd w:val="clear" w:color="auto" w:fill="FFFFFF"/>
        </w:rPr>
        <w:t>: This retrospective study enrolled patients with hematologic malignancies and detected peripheral blood lymphocyte subsets via flow cytometry. Receiver operating characteristic (ROC) curve analysis was employed to evaluate the predictive performance of each subset for infection and to determine optimal cutoff values, while logistic regression was used to identify risk factors associated with infection. The aim was to investigate the predictive value of peripheral blood lymphocyte subsets, particularly CD4+ T cells, for infection risk in these patients. </w:t>
      </w:r>
      <w:r w:rsidRPr="00EF12D2">
        <w:rPr>
          <w:rStyle w:val="Strong"/>
          <w:rFonts w:eastAsia="Microsoft YaHei" w:cs="Times New Roman"/>
          <w:b w:val="0"/>
          <w:bCs/>
          <w:i/>
          <w:iCs/>
          <w:snapToGrid w:val="0"/>
          <w:color w:val="222222"/>
          <w:shd w:val="clear" w:color="auto" w:fill="FFFFFF"/>
        </w:rPr>
        <w:t>Results:</w:t>
      </w:r>
      <w:r w:rsidRPr="00EF12D2">
        <w:rPr>
          <w:rFonts w:eastAsia="Microsoft YaHei" w:cs="Times New Roman"/>
          <w:i/>
          <w:iCs/>
          <w:snapToGrid w:val="0"/>
          <w:color w:val="222222"/>
          <w:shd w:val="clear" w:color="auto" w:fill="FFFFFF"/>
        </w:rPr>
        <w:t> </w:t>
      </w:r>
      <w:r w:rsidRPr="00EF12D2">
        <w:rPr>
          <w:rFonts w:eastAsia="Microsoft YaHei" w:cs="Times New Roman"/>
          <w:snapToGrid w:val="0"/>
          <w:color w:val="222222"/>
          <w:shd w:val="clear" w:color="auto" w:fill="FFFFFF"/>
        </w:rPr>
        <w:t>Limited by insufficient sample size, this study did not identify any statistically significant high-risk factors for infection (</w:t>
      </w:r>
      <w:r w:rsidRPr="00EF12D2">
        <w:rPr>
          <w:rFonts w:eastAsia="Microsoft YaHei" w:cs="Times New Roman"/>
          <w:i/>
          <w:iCs/>
          <w:snapToGrid w:val="0"/>
          <w:color w:val="222222"/>
          <w:shd w:val="clear" w:color="auto" w:fill="FFFFFF"/>
        </w:rPr>
        <w:t>p</w:t>
      </w:r>
      <w:r w:rsidRPr="00EF12D2">
        <w:rPr>
          <w:rFonts w:eastAsia="Microsoft YaHei" w:cs="Times New Roman"/>
          <w:snapToGrid w:val="0"/>
          <w:color w:val="222222"/>
          <w:shd w:val="clear" w:color="auto" w:fill="FFFFFF"/>
        </w:rPr>
        <w:t xml:space="preserve"> &gt; 0.05). However, an increased risk of opportunistic infections was observed when CD4+ T-cell counts fell below 278/</w:t>
      </w:r>
      <w:proofErr w:type="spellStart"/>
      <w:r w:rsidRPr="00EF12D2">
        <w:rPr>
          <w:rFonts w:eastAsia="Microsoft YaHei" w:cs="Times New Roman"/>
          <w:snapToGrid w:val="0"/>
          <w:color w:val="222222"/>
          <w:shd w:val="clear" w:color="auto" w:fill="FFFFFF"/>
        </w:rPr>
        <w:t>μL</w:t>
      </w:r>
      <w:proofErr w:type="spellEnd"/>
      <w:r w:rsidRPr="00EF12D2">
        <w:rPr>
          <w:rFonts w:eastAsia="Microsoft YaHei" w:cs="Times New Roman"/>
          <w:snapToGrid w:val="0"/>
          <w:color w:val="222222"/>
          <w:shd w:val="clear" w:color="auto" w:fill="FFFFFF"/>
        </w:rPr>
        <w:t>. Additionally, decreased B-cell counts and reduced CD8+ T-cell levels were also indicative of increased infection risk. </w:t>
      </w:r>
      <w:r w:rsidRPr="00EF12D2">
        <w:rPr>
          <w:rStyle w:val="Strong"/>
          <w:rFonts w:eastAsia="Microsoft YaHei" w:cs="Times New Roman"/>
          <w:b w:val="0"/>
          <w:bCs/>
          <w:i/>
          <w:iCs/>
          <w:snapToGrid w:val="0"/>
          <w:color w:val="222222"/>
          <w:shd w:val="clear" w:color="auto" w:fill="FFFFFF"/>
        </w:rPr>
        <w:t>Conclusion</w:t>
      </w:r>
      <w:r w:rsidRPr="00EF12D2">
        <w:rPr>
          <w:rStyle w:val="Strong"/>
          <w:rFonts w:eastAsia="Microsoft YaHei" w:cs="Times New Roman"/>
          <w:b w:val="0"/>
          <w:bCs/>
          <w:snapToGrid w:val="0"/>
          <w:color w:val="222222"/>
          <w:shd w:val="clear" w:color="auto" w:fill="FFFFFF"/>
        </w:rPr>
        <w:t>:</w:t>
      </w:r>
      <w:r w:rsidRPr="00EF12D2">
        <w:rPr>
          <w:rFonts w:eastAsia="Microsoft YaHei" w:cs="Times New Roman"/>
          <w:snapToGrid w:val="0"/>
          <w:color w:val="222222"/>
          <w:shd w:val="clear" w:color="auto" w:fill="FFFFFF"/>
        </w:rPr>
        <w:t> Peripheral blood lymphocyte subsets can serve as early warning tools for infection occurrence in patients with hematologic malignancies. Furthermore, B-cell counts may also serve as a preliminary screening reference for the diagnosis of hematologic malignancies.</w:t>
      </w:r>
    </w:p>
    <w:p w14:paraId="7F17A5A9" w14:textId="77777777" w:rsidR="00B834B4" w:rsidRPr="00EF12D2" w:rsidRDefault="00000000" w:rsidP="00E93C2C">
      <w:pPr>
        <w:rPr>
          <w:rFonts w:eastAsia="Microsoft YaHei" w:cs="Times New Roman"/>
          <w:snapToGrid w:val="0"/>
          <w:color w:val="222222"/>
          <w:shd w:val="clear" w:color="auto" w:fill="FFFFFF"/>
        </w:rPr>
      </w:pPr>
      <w:r w:rsidRPr="00EF12D2">
        <w:rPr>
          <w:rStyle w:val="Strong"/>
          <w:rFonts w:eastAsia="Microsoft YaHei" w:cs="Times New Roman"/>
          <w:snapToGrid w:val="0"/>
          <w:color w:val="222222"/>
          <w:shd w:val="clear" w:color="auto" w:fill="FFFFFF"/>
        </w:rPr>
        <w:t>Keywords:</w:t>
      </w:r>
      <w:r w:rsidRPr="00EF12D2">
        <w:rPr>
          <w:rFonts w:eastAsia="Microsoft YaHei" w:cs="Times New Roman"/>
          <w:snapToGrid w:val="0"/>
          <w:color w:val="222222"/>
          <w:shd w:val="clear" w:color="auto" w:fill="FFFFFF"/>
        </w:rPr>
        <w:t> Lymphocyte subsets; Infection risk; Hematologic malignancies; CD4+ T cells</w:t>
      </w:r>
    </w:p>
    <w:p w14:paraId="493B50E3" w14:textId="77777777" w:rsidR="00B834B4" w:rsidRPr="00EF12D2" w:rsidRDefault="00B834B4" w:rsidP="00EF12D2">
      <w:pPr>
        <w:rPr>
          <w:rFonts w:cs="Times New Roman"/>
          <w:shd w:val="clear" w:color="auto" w:fill="FFFFFF"/>
        </w:rPr>
      </w:pPr>
    </w:p>
    <w:p w14:paraId="68DCB621" w14:textId="43AD244A" w:rsidR="00EF12D2" w:rsidRPr="00E93C2C" w:rsidRDefault="00EF12D2" w:rsidP="00EF12D2">
      <w:pPr>
        <w:rPr>
          <w:rFonts w:cs="Times New Roman"/>
          <w:b/>
          <w:bCs/>
          <w:shd w:val="clear" w:color="auto" w:fill="FFFFFF"/>
        </w:rPr>
      </w:pPr>
      <w:r w:rsidRPr="00EF12D2">
        <w:rPr>
          <w:rFonts w:cs="Times New Roman"/>
          <w:b/>
          <w:bCs/>
          <w:shd w:val="clear" w:color="auto" w:fill="FFFFFF"/>
        </w:rPr>
        <w:t>Online publication:</w:t>
      </w:r>
    </w:p>
    <w:p w14:paraId="249B3AD9" w14:textId="77777777" w:rsidR="00EF12D2" w:rsidRPr="00EF12D2" w:rsidRDefault="00EF12D2" w:rsidP="00E93C2C">
      <w:pPr>
        <w:rPr>
          <w:rFonts w:cs="Times New Roman"/>
          <w:shd w:val="clear" w:color="auto" w:fill="FFFFFF"/>
        </w:rPr>
      </w:pPr>
    </w:p>
    <w:p w14:paraId="039ADE20" w14:textId="77777777" w:rsidR="00B834B4" w:rsidRPr="00E93C2C" w:rsidRDefault="00000000" w:rsidP="00E93C2C">
      <w:pPr>
        <w:rPr>
          <w:rFonts w:cs="Times New Roman"/>
          <w:b/>
          <w:bCs/>
        </w:rPr>
      </w:pPr>
      <w:r w:rsidRPr="00E93C2C">
        <w:rPr>
          <w:rFonts w:cs="Times New Roman"/>
          <w:b/>
          <w:bCs/>
          <w:shd w:val="clear" w:color="auto" w:fill="FFFFFF"/>
        </w:rPr>
        <w:t>1. Introduction</w:t>
      </w:r>
    </w:p>
    <w:p w14:paraId="674813F1" w14:textId="77777777" w:rsidR="00B834B4" w:rsidRPr="00EF12D2" w:rsidRDefault="00000000" w:rsidP="00E93C2C">
      <w:pPr>
        <w:rPr>
          <w:rFonts w:cs="Times New Roman"/>
        </w:rPr>
      </w:pPr>
      <w:r w:rsidRPr="00EF12D2">
        <w:rPr>
          <w:rFonts w:cs="Times New Roman"/>
          <w:shd w:val="clear" w:color="auto" w:fill="FFFFFF"/>
        </w:rPr>
        <w:t>Infection is a common and serious complication in patients with hematologic malignancies, severely affecting the treatment process and prognosis. CD4+ T cells play a key role in immune defense, and their absolute count is closely associated with the risk of opportunistic infections. Previous studies suggest that the synergistic action of lymphocyte subsets is crucial for resisting infection, but systematic dynamic monitoring and multi-stage validation are lacking. This study focuses on CD4+ T-cell count and other key subsets, addressing the predictive efficacy of CD4+ T-cell count for infection risk and the supplementary value of other subsets (such as CD8+ T, B, and NK cells) in infection warning.</w:t>
      </w:r>
    </w:p>
    <w:p w14:paraId="5331E5BB" w14:textId="77777777" w:rsidR="00B834B4" w:rsidRPr="00EF12D2" w:rsidRDefault="00B834B4" w:rsidP="00E93C2C">
      <w:pPr>
        <w:rPr>
          <w:rFonts w:cs="Times New Roman"/>
          <w:shd w:val="clear" w:color="auto" w:fill="FFFFFF"/>
        </w:rPr>
      </w:pPr>
    </w:p>
    <w:p w14:paraId="3C472754" w14:textId="77777777" w:rsidR="00B834B4" w:rsidRPr="00E93C2C" w:rsidRDefault="00000000" w:rsidP="00E93C2C">
      <w:pPr>
        <w:rPr>
          <w:rFonts w:cs="Times New Roman"/>
          <w:b/>
          <w:bCs/>
        </w:rPr>
      </w:pPr>
      <w:r w:rsidRPr="00E93C2C">
        <w:rPr>
          <w:rFonts w:cs="Times New Roman"/>
          <w:b/>
          <w:bCs/>
          <w:shd w:val="clear" w:color="auto" w:fill="FFFFFF"/>
        </w:rPr>
        <w:t>2. Patients and methods</w:t>
      </w:r>
    </w:p>
    <w:p w14:paraId="10BC86AD" w14:textId="77777777" w:rsidR="00B834B4" w:rsidRPr="00E93C2C" w:rsidRDefault="00000000" w:rsidP="00E93C2C">
      <w:pPr>
        <w:rPr>
          <w:rFonts w:cs="Times New Roman"/>
          <w:b/>
          <w:bCs/>
        </w:rPr>
      </w:pPr>
      <w:r w:rsidRPr="00E93C2C">
        <w:rPr>
          <w:rFonts w:cs="Times New Roman"/>
          <w:b/>
          <w:bCs/>
          <w:shd w:val="clear" w:color="auto" w:fill="FFFFFF"/>
        </w:rPr>
        <w:t>2.1. Clinical data</w:t>
      </w:r>
    </w:p>
    <w:p w14:paraId="2B87676D" w14:textId="77777777" w:rsidR="00B834B4" w:rsidRPr="00EF12D2" w:rsidRDefault="00000000" w:rsidP="00E93C2C">
      <w:pPr>
        <w:rPr>
          <w:rFonts w:cs="Times New Roman"/>
        </w:rPr>
      </w:pPr>
      <w:r w:rsidRPr="00EF12D2">
        <w:rPr>
          <w:rFonts w:cs="Times New Roman"/>
          <w:shd w:val="clear" w:color="auto" w:fill="FFFFFF"/>
        </w:rPr>
        <w:t xml:space="preserve">This was a single-center retrospective study that collected patients with hematologic malignancies (including leukemia, myelodysplastic neoplasms, lymphoma, and myeloma) who were hospitalized in the Department of Hematology of </w:t>
      </w:r>
      <w:r w:rsidRPr="00E93C2C">
        <w:rPr>
          <w:rFonts w:cs="Times New Roman"/>
          <w:snapToGrid w:val="0"/>
          <w:color w:val="222222"/>
          <w:shd w:val="clear" w:color="auto" w:fill="FFFFFF"/>
        </w:rPr>
        <w:t xml:space="preserve">People’s Hospital of </w:t>
      </w:r>
      <w:proofErr w:type="spellStart"/>
      <w:r w:rsidRPr="00E93C2C">
        <w:rPr>
          <w:rFonts w:cs="Times New Roman"/>
          <w:snapToGrid w:val="0"/>
          <w:color w:val="222222"/>
          <w:shd w:val="clear" w:color="auto" w:fill="FFFFFF"/>
        </w:rPr>
        <w:t>Qianxinan</w:t>
      </w:r>
      <w:proofErr w:type="spellEnd"/>
      <w:r w:rsidRPr="00E93C2C">
        <w:rPr>
          <w:rFonts w:cs="Times New Roman"/>
          <w:snapToGrid w:val="0"/>
          <w:color w:val="222222"/>
          <w:shd w:val="clear" w:color="auto" w:fill="FFFFFF"/>
        </w:rPr>
        <w:t xml:space="preserve"> Prefecture</w:t>
      </w:r>
      <w:r w:rsidRPr="00EF12D2">
        <w:rPr>
          <w:rFonts w:cs="Times New Roman"/>
          <w:shd w:val="clear" w:color="auto" w:fill="FFFFFF"/>
        </w:rPr>
        <w:t xml:space="preserve"> from December 2024 to February 2026. Follow-up was conducted until June 1, 2026, mainly through outpatient follow-up records, inpatient medical records, and telephone follow-up.</w:t>
      </w:r>
    </w:p>
    <w:p w14:paraId="04978C81" w14:textId="77777777" w:rsidR="00B834B4" w:rsidRPr="00EF12D2" w:rsidRDefault="00B834B4" w:rsidP="00E93C2C">
      <w:pPr>
        <w:rPr>
          <w:rFonts w:cs="Times New Roman"/>
          <w:shd w:val="clear" w:color="auto" w:fill="FFFFFF"/>
        </w:rPr>
      </w:pPr>
    </w:p>
    <w:p w14:paraId="44F5E46A" w14:textId="77777777" w:rsidR="00B834B4" w:rsidRPr="00E93C2C" w:rsidRDefault="00000000" w:rsidP="00E93C2C">
      <w:pPr>
        <w:rPr>
          <w:rFonts w:cs="Times New Roman"/>
          <w:b/>
          <w:bCs/>
        </w:rPr>
      </w:pPr>
      <w:r w:rsidRPr="00E93C2C">
        <w:rPr>
          <w:rFonts w:cs="Times New Roman"/>
          <w:b/>
          <w:bCs/>
          <w:shd w:val="clear" w:color="auto" w:fill="FFFFFF"/>
        </w:rPr>
        <w:t>2.2. Flow cytometric detection and indicators</w:t>
      </w:r>
    </w:p>
    <w:p w14:paraId="28488F26" w14:textId="77777777" w:rsidR="00B834B4" w:rsidRPr="00EF12D2" w:rsidRDefault="00000000" w:rsidP="00E93C2C">
      <w:pPr>
        <w:rPr>
          <w:rFonts w:cs="Times New Roman"/>
        </w:rPr>
      </w:pPr>
      <w:r w:rsidRPr="00EF12D2">
        <w:rPr>
          <w:rFonts w:cs="Times New Roman"/>
          <w:shd w:val="clear" w:color="auto" w:fill="FFFFFF"/>
        </w:rPr>
        <w:t>Peripheral blood flow cytometry was used to detect lymphocyte subsets, including CD4+ T-cell count, CD8+ T-cell count, B-cell count, NK-cell count, and CD4/CD8 ratio.</w:t>
      </w:r>
    </w:p>
    <w:p w14:paraId="02A87A14" w14:textId="77777777" w:rsidR="00B834B4" w:rsidRPr="00EF12D2" w:rsidRDefault="00B834B4" w:rsidP="00E93C2C">
      <w:pPr>
        <w:rPr>
          <w:rFonts w:cs="Times New Roman"/>
          <w:shd w:val="clear" w:color="auto" w:fill="FFFFFF"/>
        </w:rPr>
      </w:pPr>
    </w:p>
    <w:p w14:paraId="145FF981" w14:textId="77777777" w:rsidR="00B834B4" w:rsidRPr="00E93C2C" w:rsidRDefault="00000000" w:rsidP="00E93C2C">
      <w:pPr>
        <w:rPr>
          <w:rFonts w:cs="Times New Roman"/>
          <w:b/>
          <w:bCs/>
        </w:rPr>
      </w:pPr>
      <w:r w:rsidRPr="00E93C2C">
        <w:rPr>
          <w:rFonts w:cs="Times New Roman"/>
          <w:b/>
          <w:bCs/>
          <w:shd w:val="clear" w:color="auto" w:fill="FFFFFF"/>
        </w:rPr>
        <w:t>2.3. Statistical analysis</w:t>
      </w:r>
    </w:p>
    <w:p w14:paraId="40F39219" w14:textId="48246F48" w:rsidR="00B834B4" w:rsidRPr="00EF12D2" w:rsidRDefault="00000000" w:rsidP="00E93C2C">
      <w:pPr>
        <w:rPr>
          <w:rFonts w:cs="Times New Roman"/>
        </w:rPr>
      </w:pPr>
      <w:r w:rsidRPr="00EF12D2">
        <w:rPr>
          <w:rFonts w:cs="Times New Roman"/>
          <w:shd w:val="clear" w:color="auto" w:fill="FFFFFF"/>
        </w:rPr>
        <w:t xml:space="preserve">SPSS 27.0 software was used for data analysis. Non-normally distributed continuous data were expressed as median (range), and categorical data as number of cases (proportion). ROC curves were used to evaluate the predictive performance of each subset for infection, and cutoff values were determined according to the Youden index. Univariate and multivariate logistic regression analyses were performed, incorporating age, CD4+ T-cell count, and other key variables. A </w:t>
      </w:r>
      <w:r w:rsidR="00EF12D2">
        <w:rPr>
          <w:rFonts w:cs="Times New Roman"/>
          <w:i/>
          <w:iCs/>
          <w:shd w:val="clear" w:color="auto" w:fill="FFFFFF"/>
        </w:rPr>
        <w:t>p-</w:t>
      </w:r>
      <w:r w:rsidR="00EF12D2" w:rsidRPr="00E93C2C">
        <w:rPr>
          <w:rFonts w:cs="Times New Roman"/>
          <w:shd w:val="clear" w:color="auto" w:fill="FFFFFF"/>
        </w:rPr>
        <w:t>value</w:t>
      </w:r>
      <w:r w:rsidRPr="00EF12D2">
        <w:rPr>
          <w:rFonts w:cs="Times New Roman"/>
          <w:shd w:val="clear" w:color="auto" w:fill="FFFFFF"/>
        </w:rPr>
        <w:t xml:space="preserve"> &lt;</w:t>
      </w:r>
      <w:r w:rsidR="00EF12D2">
        <w:rPr>
          <w:rFonts w:cs="Times New Roman"/>
          <w:shd w:val="clear" w:color="auto" w:fill="FFFFFF"/>
        </w:rPr>
        <w:t xml:space="preserve"> </w:t>
      </w:r>
      <w:r w:rsidRPr="00EF12D2">
        <w:rPr>
          <w:rFonts w:cs="Times New Roman"/>
          <w:shd w:val="clear" w:color="auto" w:fill="FFFFFF"/>
        </w:rPr>
        <w:t>0.05 was considered statistically significant.</w:t>
      </w:r>
    </w:p>
    <w:p w14:paraId="5B389775" w14:textId="77777777" w:rsidR="00B834B4" w:rsidRPr="00EF12D2" w:rsidRDefault="00B834B4" w:rsidP="00E93C2C">
      <w:pPr>
        <w:rPr>
          <w:rFonts w:cs="Times New Roman"/>
          <w:shd w:val="clear" w:color="auto" w:fill="FFFFFF"/>
        </w:rPr>
      </w:pPr>
    </w:p>
    <w:p w14:paraId="25173D32" w14:textId="77777777" w:rsidR="00B834B4" w:rsidRPr="00E93C2C" w:rsidRDefault="00000000" w:rsidP="00E93C2C">
      <w:pPr>
        <w:rPr>
          <w:rFonts w:cs="Times New Roman"/>
          <w:b/>
          <w:bCs/>
        </w:rPr>
      </w:pPr>
      <w:r w:rsidRPr="00E93C2C">
        <w:rPr>
          <w:rFonts w:cs="Times New Roman"/>
          <w:b/>
          <w:bCs/>
          <w:shd w:val="clear" w:color="auto" w:fill="FFFFFF"/>
        </w:rPr>
        <w:t>3. Results</w:t>
      </w:r>
    </w:p>
    <w:p w14:paraId="07936AE7" w14:textId="77777777" w:rsidR="00B834B4" w:rsidRPr="00E93C2C" w:rsidRDefault="00000000" w:rsidP="00E93C2C">
      <w:pPr>
        <w:rPr>
          <w:rFonts w:cs="Times New Roman"/>
          <w:b/>
          <w:bCs/>
        </w:rPr>
      </w:pPr>
      <w:r w:rsidRPr="00E93C2C">
        <w:rPr>
          <w:rFonts w:cs="Times New Roman"/>
          <w:b/>
          <w:bCs/>
          <w:shd w:val="clear" w:color="auto" w:fill="FFFFFF"/>
        </w:rPr>
        <w:t>3.1. Patient characteristics</w:t>
      </w:r>
    </w:p>
    <w:p w14:paraId="3D78DB30" w14:textId="77777777" w:rsidR="00B834B4" w:rsidRPr="00EF12D2" w:rsidRDefault="00000000" w:rsidP="00E93C2C">
      <w:pPr>
        <w:rPr>
          <w:rFonts w:cs="Times New Roman"/>
        </w:rPr>
      </w:pPr>
      <w:r w:rsidRPr="00EF12D2">
        <w:rPr>
          <w:rFonts w:cs="Times New Roman"/>
          <w:shd w:val="clear" w:color="auto" w:fill="FFFFFF"/>
        </w:rPr>
        <w:t>A total of 35 patients with hematologic malignancies were enrolled in this study, with a median age of 56 (29–92) years; 20 patients (57.1%) were male. The diagnoses included acute leukemia in 19 cases, marginal zone lymphoma in 3, multiple myeloma in 3, myelodysplastic neoplasms in 2, Hodgkin lymphoma in 1, follicular lymphoma in 1, chronic myeloid leukemia in 2, and diffuse large B-cell lymphoma in 4. There was no statistically significant difference in data distribution between the infected and non-infected groups, allowing for analysis (</w:t>
      </w:r>
      <w:r w:rsidRPr="00E93C2C">
        <w:rPr>
          <w:rFonts w:cs="Times New Roman"/>
          <w:b/>
          <w:bCs/>
          <w:shd w:val="clear" w:color="auto" w:fill="FFFFFF"/>
        </w:rPr>
        <w:t>Table 1</w:t>
      </w:r>
      <w:r w:rsidRPr="00EF12D2">
        <w:rPr>
          <w:rFonts w:cs="Times New Roman"/>
          <w:shd w:val="clear" w:color="auto" w:fill="FFFFFF"/>
        </w:rPr>
        <w:t>).</w:t>
      </w:r>
    </w:p>
    <w:p w14:paraId="607D8DE9" w14:textId="77777777" w:rsidR="00B834B4" w:rsidRPr="00EF12D2" w:rsidRDefault="00B834B4" w:rsidP="00E93C2C">
      <w:pPr>
        <w:rPr>
          <w:rFonts w:cs="Times New Roman"/>
          <w:shd w:val="clear" w:color="auto" w:fill="FFFFFF"/>
        </w:rPr>
      </w:pPr>
    </w:p>
    <w:p w14:paraId="4BBA1CCE" w14:textId="77777777" w:rsidR="00B834B4" w:rsidRPr="00EF12D2" w:rsidRDefault="00000000" w:rsidP="00E93C2C">
      <w:pPr>
        <w:rPr>
          <w:rFonts w:cs="Times New Roman"/>
        </w:rPr>
      </w:pPr>
      <w:r w:rsidRPr="00E93C2C">
        <w:rPr>
          <w:rFonts w:cs="Times New Roman"/>
          <w:b/>
          <w:bCs/>
          <w:shd w:val="clear" w:color="auto" w:fill="FFFFFF"/>
        </w:rPr>
        <w:t>Table 1.</w:t>
      </w:r>
      <w:r w:rsidRPr="00EF12D2">
        <w:rPr>
          <w:rFonts w:cs="Times New Roman"/>
          <w:shd w:val="clear" w:color="auto" w:fill="FFFFFF"/>
        </w:rPr>
        <w:t xml:space="preserve"> Clinical characteristics of patients with hematologic malignancies in the infected and non-infected groups</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152"/>
        <w:gridCol w:w="1931"/>
        <w:gridCol w:w="1931"/>
        <w:gridCol w:w="1824"/>
        <w:gridCol w:w="800"/>
      </w:tblGrid>
      <w:tr w:rsidR="00B834B4" w:rsidRPr="00EF12D2" w14:paraId="283F49EB" w14:textId="77777777" w:rsidTr="00E93C2C">
        <w:trPr>
          <w:tblHeader/>
          <w:jc w:val="center"/>
        </w:trPr>
        <w:tc>
          <w:tcPr>
            <w:tcW w:w="1635" w:type="pct"/>
            <w:tcBorders>
              <w:top w:val="single" w:sz="12" w:space="0" w:color="000000"/>
              <w:left w:val="nil"/>
              <w:bottom w:val="nil"/>
              <w:right w:val="nil"/>
              <w:tl2br w:val="nil"/>
            </w:tcBorders>
            <w:shd w:val="clear" w:color="auto" w:fill="FFFFFF"/>
            <w:tcMar>
              <w:top w:w="-1" w:type="dxa"/>
              <w:left w:w="-1" w:type="dxa"/>
              <w:bottom w:w="-1" w:type="dxa"/>
              <w:right w:w="-1" w:type="dxa"/>
            </w:tcMar>
          </w:tcPr>
          <w:p w14:paraId="3DEFD9A9" w14:textId="0B8327D7" w:rsidR="00B834B4" w:rsidRPr="00E93C2C" w:rsidRDefault="00000000" w:rsidP="00E93C2C">
            <w:pPr>
              <w:jc w:val="left"/>
              <w:rPr>
                <w:rFonts w:cs="Times New Roman"/>
                <w:b/>
                <w:bCs/>
                <w:color w:val="000000"/>
              </w:rPr>
            </w:pPr>
            <w:r w:rsidRPr="00E93C2C">
              <w:rPr>
                <w:rFonts w:cs="Times New Roman"/>
                <w:b/>
                <w:bCs/>
                <w:color w:val="000000"/>
                <w:shd w:val="clear" w:color="auto" w:fill="FFFFFF"/>
              </w:rPr>
              <w:t>Characteristic</w:t>
            </w:r>
          </w:p>
        </w:tc>
        <w:tc>
          <w:tcPr>
            <w:tcW w:w="1002" w:type="pct"/>
            <w:tcBorders>
              <w:top w:val="single" w:sz="12" w:space="0" w:color="000000"/>
              <w:left w:val="nil"/>
              <w:bottom w:val="nil"/>
              <w:right w:val="nil"/>
            </w:tcBorders>
            <w:shd w:val="clear" w:color="auto" w:fill="FFFFFF"/>
            <w:tcMar>
              <w:top w:w="-1" w:type="dxa"/>
              <w:left w:w="-1" w:type="dxa"/>
              <w:bottom w:w="-1" w:type="dxa"/>
              <w:right w:w="-1" w:type="dxa"/>
            </w:tcMar>
          </w:tcPr>
          <w:p w14:paraId="357E0588" w14:textId="419C2677" w:rsidR="00B834B4" w:rsidRPr="00E93C2C" w:rsidRDefault="00000000" w:rsidP="00E93C2C">
            <w:pPr>
              <w:jc w:val="center"/>
              <w:rPr>
                <w:rFonts w:cs="Times New Roman"/>
                <w:b/>
                <w:bCs/>
                <w:color w:val="000000"/>
              </w:rPr>
            </w:pPr>
            <w:r w:rsidRPr="00E93C2C">
              <w:rPr>
                <w:rFonts w:cs="Times New Roman"/>
                <w:b/>
                <w:bCs/>
                <w:color w:val="000000"/>
                <w:shd w:val="clear" w:color="auto" w:fill="FFFFFF"/>
              </w:rPr>
              <w:t>Overall</w:t>
            </w:r>
          </w:p>
        </w:tc>
        <w:tc>
          <w:tcPr>
            <w:tcW w:w="1002" w:type="pct"/>
            <w:tcBorders>
              <w:top w:val="single" w:sz="12" w:space="0" w:color="000000"/>
              <w:left w:val="nil"/>
              <w:bottom w:val="nil"/>
              <w:right w:val="nil"/>
            </w:tcBorders>
            <w:shd w:val="clear" w:color="auto" w:fill="FFFFFF"/>
            <w:tcMar>
              <w:top w:w="-1" w:type="dxa"/>
              <w:left w:w="-1" w:type="dxa"/>
              <w:bottom w:w="-1" w:type="dxa"/>
              <w:right w:w="-1" w:type="dxa"/>
            </w:tcMar>
          </w:tcPr>
          <w:p w14:paraId="3EA703C7" w14:textId="1E7C8863" w:rsidR="00B834B4" w:rsidRPr="00E93C2C" w:rsidRDefault="00000000" w:rsidP="00E93C2C">
            <w:pPr>
              <w:jc w:val="center"/>
              <w:rPr>
                <w:rFonts w:cs="Times New Roman"/>
                <w:b/>
                <w:bCs/>
                <w:color w:val="000000"/>
              </w:rPr>
            </w:pPr>
            <w:r w:rsidRPr="00E93C2C">
              <w:rPr>
                <w:rFonts w:cs="Times New Roman"/>
                <w:b/>
                <w:bCs/>
                <w:color w:val="000000"/>
                <w:shd w:val="clear" w:color="auto" w:fill="FFFFFF"/>
              </w:rPr>
              <w:t>Infection</w:t>
            </w:r>
          </w:p>
        </w:tc>
        <w:tc>
          <w:tcPr>
            <w:tcW w:w="946" w:type="pct"/>
            <w:tcBorders>
              <w:top w:val="single" w:sz="12" w:space="0" w:color="000000"/>
              <w:left w:val="nil"/>
              <w:bottom w:val="nil"/>
              <w:right w:val="nil"/>
            </w:tcBorders>
            <w:shd w:val="clear" w:color="auto" w:fill="FFFFFF"/>
            <w:tcMar>
              <w:top w:w="-1" w:type="dxa"/>
              <w:left w:w="-1" w:type="dxa"/>
              <w:bottom w:w="-1" w:type="dxa"/>
              <w:right w:w="-1" w:type="dxa"/>
            </w:tcMar>
          </w:tcPr>
          <w:p w14:paraId="2848CD2D" w14:textId="2A88F9AF" w:rsidR="00B834B4" w:rsidRPr="00E93C2C" w:rsidRDefault="00000000" w:rsidP="00E93C2C">
            <w:pPr>
              <w:jc w:val="center"/>
              <w:rPr>
                <w:rFonts w:cs="Times New Roman"/>
                <w:b/>
                <w:bCs/>
                <w:color w:val="000000"/>
              </w:rPr>
            </w:pPr>
            <w:r w:rsidRPr="00E93C2C">
              <w:rPr>
                <w:rFonts w:cs="Times New Roman"/>
                <w:b/>
                <w:bCs/>
                <w:color w:val="000000"/>
                <w:shd w:val="clear" w:color="auto" w:fill="FFFFFF"/>
              </w:rPr>
              <w:t>Non-infection</w:t>
            </w:r>
          </w:p>
        </w:tc>
        <w:tc>
          <w:tcPr>
            <w:tcW w:w="415" w:type="pct"/>
            <w:tcBorders>
              <w:top w:val="single" w:sz="12" w:space="0" w:color="000000"/>
              <w:left w:val="nil"/>
              <w:bottom w:val="nil"/>
              <w:right w:val="nil"/>
            </w:tcBorders>
            <w:shd w:val="clear" w:color="auto" w:fill="FFFFFF"/>
            <w:tcMar>
              <w:top w:w="-1" w:type="dxa"/>
              <w:left w:w="-1" w:type="dxa"/>
              <w:bottom w:w="-1" w:type="dxa"/>
              <w:right w:w="-1" w:type="dxa"/>
            </w:tcMar>
          </w:tcPr>
          <w:p w14:paraId="0BF3EFB2" w14:textId="77777777" w:rsidR="00B834B4" w:rsidRPr="00E93C2C" w:rsidRDefault="00000000" w:rsidP="00E93C2C">
            <w:pPr>
              <w:jc w:val="center"/>
              <w:rPr>
                <w:rFonts w:cs="Times New Roman"/>
                <w:b/>
                <w:bCs/>
                <w:color w:val="000000"/>
              </w:rPr>
            </w:pPr>
            <w:r w:rsidRPr="00E93C2C">
              <w:rPr>
                <w:rFonts w:cs="Times New Roman"/>
                <w:b/>
                <w:bCs/>
                <w:i/>
                <w:iCs/>
                <w:color w:val="000000"/>
                <w:shd w:val="clear" w:color="auto" w:fill="FFFFFF"/>
              </w:rPr>
              <w:t>P</w:t>
            </w:r>
            <w:r w:rsidRPr="00E93C2C">
              <w:rPr>
                <w:rFonts w:cs="Times New Roman"/>
                <w:b/>
                <w:bCs/>
                <w:color w:val="000000"/>
                <w:shd w:val="clear" w:color="auto" w:fill="FFFFFF"/>
              </w:rPr>
              <w:t xml:space="preserve"> value</w:t>
            </w:r>
          </w:p>
        </w:tc>
      </w:tr>
      <w:tr w:rsidR="00B834B4" w:rsidRPr="00EF12D2" w14:paraId="5DE475B7" w14:textId="77777777" w:rsidTr="00E93C2C">
        <w:trPr>
          <w:jc w:val="center"/>
        </w:trPr>
        <w:tc>
          <w:tcPr>
            <w:tcW w:w="1635" w:type="pct"/>
            <w:tcBorders>
              <w:top w:val="single" w:sz="4" w:space="0" w:color="000000"/>
              <w:left w:val="nil"/>
              <w:bottom w:val="nil"/>
              <w:right w:val="nil"/>
            </w:tcBorders>
            <w:shd w:val="clear" w:color="auto" w:fill="FFFFFF"/>
            <w:tcMar>
              <w:top w:w="-1" w:type="dxa"/>
              <w:left w:w="-1" w:type="dxa"/>
              <w:bottom w:w="-1" w:type="dxa"/>
              <w:right w:w="-1" w:type="dxa"/>
            </w:tcMar>
          </w:tcPr>
          <w:p w14:paraId="1F039670" w14:textId="63DF7F7F" w:rsidR="00B834B4" w:rsidRPr="00EF12D2" w:rsidRDefault="00000000" w:rsidP="00E93C2C">
            <w:pPr>
              <w:jc w:val="left"/>
              <w:rPr>
                <w:rFonts w:cs="Times New Roman"/>
                <w:color w:val="000000"/>
              </w:rPr>
            </w:pPr>
            <w:r w:rsidRPr="00EF12D2">
              <w:rPr>
                <w:rFonts w:cs="Times New Roman"/>
                <w:color w:val="000000"/>
                <w:shd w:val="clear" w:color="auto" w:fill="FFFFFF"/>
              </w:rPr>
              <w:t>Age</w:t>
            </w:r>
          </w:p>
        </w:tc>
        <w:tc>
          <w:tcPr>
            <w:tcW w:w="1002" w:type="pct"/>
            <w:tcBorders>
              <w:top w:val="single" w:sz="4" w:space="0" w:color="000000"/>
              <w:left w:val="nil"/>
              <w:bottom w:val="nil"/>
              <w:right w:val="nil"/>
            </w:tcBorders>
            <w:shd w:val="clear" w:color="auto" w:fill="FFFFFF"/>
            <w:tcMar>
              <w:top w:w="-1" w:type="dxa"/>
              <w:left w:w="-1" w:type="dxa"/>
              <w:bottom w:w="-1" w:type="dxa"/>
              <w:right w:w="-1" w:type="dxa"/>
            </w:tcMar>
          </w:tcPr>
          <w:p w14:paraId="67AF06E6" w14:textId="102B0B93" w:rsidR="00B834B4" w:rsidRPr="00EF12D2" w:rsidRDefault="00000000" w:rsidP="00E93C2C">
            <w:pPr>
              <w:jc w:val="center"/>
              <w:rPr>
                <w:rFonts w:cs="Times New Roman"/>
                <w:color w:val="000000"/>
              </w:rPr>
            </w:pPr>
            <w:r w:rsidRPr="00EF12D2">
              <w:rPr>
                <w:rFonts w:cs="Times New Roman"/>
                <w:color w:val="000000"/>
                <w:shd w:val="clear" w:color="auto" w:fill="FFFFFF"/>
              </w:rPr>
              <w:t>56 (29–92)</w:t>
            </w:r>
          </w:p>
        </w:tc>
        <w:tc>
          <w:tcPr>
            <w:tcW w:w="1002" w:type="pct"/>
            <w:tcBorders>
              <w:top w:val="single" w:sz="4" w:space="0" w:color="000000"/>
              <w:left w:val="nil"/>
              <w:bottom w:val="nil"/>
              <w:right w:val="nil"/>
            </w:tcBorders>
            <w:shd w:val="clear" w:color="auto" w:fill="FFFFFF"/>
            <w:tcMar>
              <w:top w:w="-1" w:type="dxa"/>
              <w:left w:w="-1" w:type="dxa"/>
              <w:bottom w:w="-1" w:type="dxa"/>
              <w:right w:w="-1" w:type="dxa"/>
            </w:tcMar>
          </w:tcPr>
          <w:p w14:paraId="40A898F2" w14:textId="5E67B11C" w:rsidR="00B834B4" w:rsidRPr="00EF12D2" w:rsidRDefault="00000000" w:rsidP="00E93C2C">
            <w:pPr>
              <w:jc w:val="center"/>
              <w:rPr>
                <w:rFonts w:cs="Times New Roman"/>
                <w:color w:val="000000"/>
              </w:rPr>
            </w:pPr>
            <w:r w:rsidRPr="00EF12D2">
              <w:rPr>
                <w:rFonts w:cs="Times New Roman"/>
                <w:color w:val="000000"/>
                <w:shd w:val="clear" w:color="auto" w:fill="FFFFFF"/>
              </w:rPr>
              <w:t>56 (29–92)</w:t>
            </w:r>
          </w:p>
        </w:tc>
        <w:tc>
          <w:tcPr>
            <w:tcW w:w="946" w:type="pct"/>
            <w:tcBorders>
              <w:top w:val="single" w:sz="4" w:space="0" w:color="000000"/>
              <w:left w:val="nil"/>
              <w:bottom w:val="nil"/>
              <w:right w:val="nil"/>
            </w:tcBorders>
            <w:shd w:val="clear" w:color="auto" w:fill="FFFFFF"/>
            <w:tcMar>
              <w:top w:w="-1" w:type="dxa"/>
              <w:left w:w="-1" w:type="dxa"/>
              <w:bottom w:w="-1" w:type="dxa"/>
              <w:right w:w="-1" w:type="dxa"/>
            </w:tcMar>
          </w:tcPr>
          <w:p w14:paraId="1F004B44" w14:textId="4B026D8A" w:rsidR="00B834B4" w:rsidRPr="00EF12D2" w:rsidRDefault="00000000" w:rsidP="00E93C2C">
            <w:pPr>
              <w:jc w:val="center"/>
              <w:rPr>
                <w:rFonts w:cs="Times New Roman"/>
                <w:color w:val="000000"/>
              </w:rPr>
            </w:pPr>
            <w:r w:rsidRPr="00EF12D2">
              <w:rPr>
                <w:rFonts w:cs="Times New Roman"/>
                <w:color w:val="000000"/>
                <w:shd w:val="clear" w:color="auto" w:fill="FFFFFF"/>
              </w:rPr>
              <w:t>64 (50–76)</w:t>
            </w:r>
          </w:p>
        </w:tc>
        <w:tc>
          <w:tcPr>
            <w:tcW w:w="415" w:type="pct"/>
            <w:tcBorders>
              <w:top w:val="single" w:sz="4" w:space="0" w:color="000000"/>
              <w:left w:val="nil"/>
              <w:bottom w:val="nil"/>
              <w:right w:val="nil"/>
            </w:tcBorders>
            <w:shd w:val="clear" w:color="auto" w:fill="FFFFFF"/>
            <w:tcMar>
              <w:top w:w="-1" w:type="dxa"/>
              <w:left w:w="-1" w:type="dxa"/>
              <w:bottom w:w="-1" w:type="dxa"/>
              <w:right w:w="-1" w:type="dxa"/>
            </w:tcMar>
          </w:tcPr>
          <w:p w14:paraId="695430E3" w14:textId="77777777" w:rsidR="00B834B4" w:rsidRPr="00EF12D2" w:rsidRDefault="00B834B4" w:rsidP="00E93C2C">
            <w:pPr>
              <w:jc w:val="center"/>
              <w:rPr>
                <w:rFonts w:cs="Times New Roman"/>
                <w:color w:val="000000"/>
              </w:rPr>
            </w:pPr>
          </w:p>
        </w:tc>
      </w:tr>
      <w:tr w:rsidR="00B834B4" w:rsidRPr="00EF12D2" w14:paraId="11E6F61C"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2084D3FC" w14:textId="37313654" w:rsidR="00B834B4" w:rsidRPr="00EF12D2" w:rsidRDefault="00000000" w:rsidP="00E93C2C">
            <w:pPr>
              <w:jc w:val="left"/>
              <w:rPr>
                <w:rFonts w:cs="Times New Roman"/>
                <w:color w:val="000000"/>
              </w:rPr>
            </w:pPr>
            <w:r w:rsidRPr="00EF12D2">
              <w:rPr>
                <w:rFonts w:cs="Times New Roman"/>
                <w:color w:val="000000"/>
                <w:shd w:val="clear" w:color="auto" w:fill="FFFFFF"/>
              </w:rPr>
              <w:t>Sex</w:t>
            </w:r>
          </w:p>
        </w:tc>
        <w:tc>
          <w:tcPr>
            <w:tcW w:w="1002" w:type="pct"/>
            <w:tcBorders>
              <w:top w:val="nil"/>
              <w:left w:val="nil"/>
              <w:bottom w:val="nil"/>
              <w:right w:val="nil"/>
            </w:tcBorders>
            <w:shd w:val="clear" w:color="auto" w:fill="FFFFFF"/>
            <w:tcMar>
              <w:top w:w="-1" w:type="dxa"/>
              <w:left w:w="-1" w:type="dxa"/>
              <w:bottom w:w="-1" w:type="dxa"/>
              <w:right w:w="-1" w:type="dxa"/>
            </w:tcMar>
          </w:tcPr>
          <w:p w14:paraId="22C5309B" w14:textId="77777777" w:rsidR="00B834B4" w:rsidRPr="00EF12D2" w:rsidRDefault="00B834B4" w:rsidP="00E93C2C">
            <w:pPr>
              <w:jc w:val="center"/>
              <w:rPr>
                <w:rFonts w:cs="Times New Roman"/>
                <w:color w:val="000000"/>
              </w:rPr>
            </w:pPr>
          </w:p>
        </w:tc>
        <w:tc>
          <w:tcPr>
            <w:tcW w:w="1002" w:type="pct"/>
            <w:tcBorders>
              <w:top w:val="nil"/>
              <w:left w:val="nil"/>
              <w:bottom w:val="nil"/>
              <w:right w:val="nil"/>
            </w:tcBorders>
            <w:shd w:val="clear" w:color="auto" w:fill="FFFFFF"/>
            <w:tcMar>
              <w:top w:w="-1" w:type="dxa"/>
              <w:left w:w="-1" w:type="dxa"/>
              <w:bottom w:w="-1" w:type="dxa"/>
              <w:right w:w="-1" w:type="dxa"/>
            </w:tcMar>
          </w:tcPr>
          <w:p w14:paraId="01E67DC8" w14:textId="77777777" w:rsidR="00B834B4" w:rsidRPr="00EF12D2" w:rsidRDefault="00B834B4" w:rsidP="00E93C2C">
            <w:pPr>
              <w:jc w:val="center"/>
              <w:rPr>
                <w:rFonts w:cs="Times New Roman"/>
                <w:color w:val="000000"/>
              </w:rPr>
            </w:pPr>
          </w:p>
        </w:tc>
        <w:tc>
          <w:tcPr>
            <w:tcW w:w="946" w:type="pct"/>
            <w:tcBorders>
              <w:top w:val="nil"/>
              <w:left w:val="nil"/>
              <w:bottom w:val="nil"/>
              <w:right w:val="nil"/>
            </w:tcBorders>
            <w:shd w:val="clear" w:color="auto" w:fill="FFFFFF"/>
            <w:tcMar>
              <w:top w:w="-1" w:type="dxa"/>
              <w:left w:w="-1" w:type="dxa"/>
              <w:bottom w:w="-1" w:type="dxa"/>
              <w:right w:w="-1" w:type="dxa"/>
            </w:tcMar>
          </w:tcPr>
          <w:p w14:paraId="02742279" w14:textId="77777777" w:rsidR="00B834B4" w:rsidRPr="00EF12D2" w:rsidRDefault="00B834B4" w:rsidP="00E93C2C">
            <w:pPr>
              <w:jc w:val="center"/>
              <w:rPr>
                <w:rFonts w:cs="Times New Roman"/>
                <w:color w:val="000000"/>
              </w:rPr>
            </w:pPr>
          </w:p>
        </w:tc>
        <w:tc>
          <w:tcPr>
            <w:tcW w:w="415" w:type="pct"/>
            <w:tcBorders>
              <w:top w:val="nil"/>
              <w:left w:val="nil"/>
              <w:bottom w:val="nil"/>
              <w:right w:val="nil"/>
            </w:tcBorders>
            <w:shd w:val="clear" w:color="auto" w:fill="FFFFFF"/>
            <w:tcMar>
              <w:top w:w="-1" w:type="dxa"/>
              <w:left w:w="-1" w:type="dxa"/>
              <w:bottom w:w="-1" w:type="dxa"/>
              <w:right w:w="-1" w:type="dxa"/>
            </w:tcMar>
          </w:tcPr>
          <w:p w14:paraId="3C5B3402"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0.29</w:t>
            </w:r>
          </w:p>
        </w:tc>
      </w:tr>
      <w:tr w:rsidR="00B834B4" w:rsidRPr="00EF12D2" w14:paraId="46E87DC2"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647C43A5" w14:textId="75FDFD45" w:rsidR="00B834B4" w:rsidRPr="00EF12D2" w:rsidRDefault="00000000" w:rsidP="00E93C2C">
            <w:pPr>
              <w:jc w:val="left"/>
              <w:rPr>
                <w:rFonts w:cs="Times New Roman"/>
                <w:color w:val="000000"/>
              </w:rPr>
            </w:pPr>
            <w:r w:rsidRPr="00EF12D2">
              <w:rPr>
                <w:rFonts w:cs="Times New Roman"/>
                <w:color w:val="000000"/>
                <w:shd w:val="clear" w:color="auto" w:fill="FFFFFF"/>
              </w:rPr>
              <w:t>Male</w:t>
            </w:r>
          </w:p>
        </w:tc>
        <w:tc>
          <w:tcPr>
            <w:tcW w:w="1002" w:type="pct"/>
            <w:tcBorders>
              <w:top w:val="nil"/>
              <w:left w:val="nil"/>
              <w:bottom w:val="nil"/>
              <w:right w:val="nil"/>
            </w:tcBorders>
            <w:shd w:val="clear" w:color="auto" w:fill="FFFFFF"/>
            <w:tcMar>
              <w:top w:w="-1" w:type="dxa"/>
              <w:left w:w="-1" w:type="dxa"/>
              <w:bottom w:w="-1" w:type="dxa"/>
              <w:right w:w="-1" w:type="dxa"/>
            </w:tcMar>
          </w:tcPr>
          <w:p w14:paraId="0E3C08FB" w14:textId="2BEA2838" w:rsidR="00B834B4" w:rsidRPr="00EF12D2" w:rsidRDefault="00000000" w:rsidP="00E93C2C">
            <w:pPr>
              <w:jc w:val="center"/>
              <w:rPr>
                <w:rFonts w:cs="Times New Roman"/>
                <w:color w:val="000000"/>
              </w:rPr>
            </w:pPr>
            <w:r w:rsidRPr="00EF12D2">
              <w:rPr>
                <w:rFonts w:cs="Times New Roman"/>
                <w:color w:val="000000"/>
                <w:shd w:val="clear" w:color="auto" w:fill="FFFFFF"/>
              </w:rPr>
              <w:t>20</w:t>
            </w:r>
          </w:p>
        </w:tc>
        <w:tc>
          <w:tcPr>
            <w:tcW w:w="1002" w:type="pct"/>
            <w:tcBorders>
              <w:top w:val="nil"/>
              <w:left w:val="nil"/>
              <w:bottom w:val="nil"/>
              <w:right w:val="nil"/>
            </w:tcBorders>
            <w:shd w:val="clear" w:color="auto" w:fill="FFFFFF"/>
            <w:tcMar>
              <w:top w:w="-1" w:type="dxa"/>
              <w:left w:w="-1" w:type="dxa"/>
              <w:bottom w:w="-1" w:type="dxa"/>
              <w:right w:w="-1" w:type="dxa"/>
            </w:tcMar>
          </w:tcPr>
          <w:p w14:paraId="30313836" w14:textId="5115B267" w:rsidR="00B834B4" w:rsidRPr="00EF12D2" w:rsidRDefault="00000000" w:rsidP="00E93C2C">
            <w:pPr>
              <w:jc w:val="center"/>
              <w:rPr>
                <w:rFonts w:cs="Times New Roman"/>
                <w:color w:val="000000"/>
              </w:rPr>
            </w:pPr>
            <w:r w:rsidRPr="00EF12D2">
              <w:rPr>
                <w:rFonts w:cs="Times New Roman"/>
                <w:color w:val="000000"/>
                <w:shd w:val="clear" w:color="auto" w:fill="FFFFFF"/>
              </w:rPr>
              <w:t>19</w:t>
            </w:r>
          </w:p>
        </w:tc>
        <w:tc>
          <w:tcPr>
            <w:tcW w:w="946" w:type="pct"/>
            <w:tcBorders>
              <w:top w:val="nil"/>
              <w:left w:val="nil"/>
              <w:bottom w:val="nil"/>
              <w:right w:val="nil"/>
            </w:tcBorders>
            <w:shd w:val="clear" w:color="auto" w:fill="FFFFFF"/>
            <w:tcMar>
              <w:top w:w="-1" w:type="dxa"/>
              <w:left w:w="-1" w:type="dxa"/>
              <w:bottom w:w="-1" w:type="dxa"/>
              <w:right w:w="-1" w:type="dxa"/>
            </w:tcMar>
          </w:tcPr>
          <w:p w14:paraId="6B463DD7" w14:textId="4869ECE3" w:rsidR="00B834B4" w:rsidRPr="00EF12D2" w:rsidRDefault="00000000" w:rsidP="00E93C2C">
            <w:pPr>
              <w:jc w:val="center"/>
              <w:rPr>
                <w:rFonts w:cs="Times New Roman"/>
                <w:color w:val="000000"/>
              </w:rPr>
            </w:pPr>
            <w:r w:rsidRPr="00EF12D2">
              <w:rPr>
                <w:rFonts w:cs="Times New Roman"/>
                <w:color w:val="000000"/>
                <w:shd w:val="clear" w:color="auto" w:fill="FFFFFF"/>
              </w:rPr>
              <w:t>1</w:t>
            </w:r>
          </w:p>
        </w:tc>
        <w:tc>
          <w:tcPr>
            <w:tcW w:w="415" w:type="pct"/>
            <w:tcBorders>
              <w:top w:val="nil"/>
              <w:left w:val="nil"/>
              <w:bottom w:val="nil"/>
              <w:right w:val="nil"/>
            </w:tcBorders>
            <w:shd w:val="clear" w:color="auto" w:fill="FFFFFF"/>
            <w:tcMar>
              <w:top w:w="-1" w:type="dxa"/>
              <w:left w:w="-1" w:type="dxa"/>
              <w:bottom w:w="-1" w:type="dxa"/>
              <w:right w:w="-1" w:type="dxa"/>
            </w:tcMar>
          </w:tcPr>
          <w:p w14:paraId="00BF533A" w14:textId="77777777" w:rsidR="00B834B4" w:rsidRPr="00EF12D2" w:rsidRDefault="00B834B4" w:rsidP="00E93C2C">
            <w:pPr>
              <w:jc w:val="center"/>
              <w:rPr>
                <w:rFonts w:cs="Times New Roman"/>
                <w:color w:val="000000"/>
              </w:rPr>
            </w:pPr>
          </w:p>
        </w:tc>
      </w:tr>
      <w:tr w:rsidR="00B834B4" w:rsidRPr="00EF12D2" w14:paraId="18DD03F5"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602D6354" w14:textId="22B1A7A5" w:rsidR="00B834B4" w:rsidRPr="00EF12D2" w:rsidRDefault="00000000" w:rsidP="00E93C2C">
            <w:pPr>
              <w:jc w:val="left"/>
              <w:rPr>
                <w:rFonts w:cs="Times New Roman"/>
                <w:color w:val="000000"/>
              </w:rPr>
            </w:pPr>
            <w:r w:rsidRPr="00EF12D2">
              <w:rPr>
                <w:rFonts w:cs="Times New Roman"/>
                <w:color w:val="000000"/>
                <w:shd w:val="clear" w:color="auto" w:fill="FFFFFF"/>
              </w:rPr>
              <w:t>Female</w:t>
            </w:r>
          </w:p>
        </w:tc>
        <w:tc>
          <w:tcPr>
            <w:tcW w:w="1002" w:type="pct"/>
            <w:tcBorders>
              <w:top w:val="nil"/>
              <w:left w:val="nil"/>
              <w:bottom w:val="nil"/>
              <w:right w:val="nil"/>
            </w:tcBorders>
            <w:shd w:val="clear" w:color="auto" w:fill="FFFFFF"/>
            <w:tcMar>
              <w:top w:w="-1" w:type="dxa"/>
              <w:left w:w="-1" w:type="dxa"/>
              <w:bottom w:w="-1" w:type="dxa"/>
              <w:right w:w="-1" w:type="dxa"/>
            </w:tcMar>
          </w:tcPr>
          <w:p w14:paraId="48486961" w14:textId="14791CFE" w:rsidR="00B834B4" w:rsidRPr="00EF12D2" w:rsidRDefault="00000000" w:rsidP="00E93C2C">
            <w:pPr>
              <w:jc w:val="center"/>
              <w:rPr>
                <w:rFonts w:cs="Times New Roman"/>
                <w:color w:val="000000"/>
              </w:rPr>
            </w:pPr>
            <w:r w:rsidRPr="00EF12D2">
              <w:rPr>
                <w:rFonts w:cs="Times New Roman"/>
                <w:color w:val="000000"/>
                <w:shd w:val="clear" w:color="auto" w:fill="FFFFFF"/>
              </w:rPr>
              <w:t>15</w:t>
            </w:r>
          </w:p>
        </w:tc>
        <w:tc>
          <w:tcPr>
            <w:tcW w:w="1002" w:type="pct"/>
            <w:tcBorders>
              <w:top w:val="nil"/>
              <w:left w:val="nil"/>
              <w:bottom w:val="nil"/>
              <w:right w:val="nil"/>
            </w:tcBorders>
            <w:shd w:val="clear" w:color="auto" w:fill="FFFFFF"/>
            <w:tcMar>
              <w:top w:w="-1" w:type="dxa"/>
              <w:left w:w="-1" w:type="dxa"/>
              <w:bottom w:w="-1" w:type="dxa"/>
              <w:right w:w="-1" w:type="dxa"/>
            </w:tcMar>
          </w:tcPr>
          <w:p w14:paraId="1CFF7C3E" w14:textId="0559EAA8" w:rsidR="00B834B4" w:rsidRPr="00EF12D2" w:rsidRDefault="00000000" w:rsidP="00E93C2C">
            <w:pPr>
              <w:jc w:val="center"/>
              <w:rPr>
                <w:rFonts w:cs="Times New Roman"/>
                <w:color w:val="000000"/>
              </w:rPr>
            </w:pPr>
            <w:r w:rsidRPr="00EF12D2">
              <w:rPr>
                <w:rFonts w:cs="Times New Roman"/>
                <w:color w:val="000000"/>
                <w:shd w:val="clear" w:color="auto" w:fill="FFFFFF"/>
              </w:rPr>
              <w:t>12</w:t>
            </w:r>
          </w:p>
        </w:tc>
        <w:tc>
          <w:tcPr>
            <w:tcW w:w="946" w:type="pct"/>
            <w:tcBorders>
              <w:top w:val="nil"/>
              <w:left w:val="nil"/>
              <w:bottom w:val="nil"/>
              <w:right w:val="nil"/>
            </w:tcBorders>
            <w:shd w:val="clear" w:color="auto" w:fill="FFFFFF"/>
            <w:tcMar>
              <w:top w:w="-1" w:type="dxa"/>
              <w:left w:w="-1" w:type="dxa"/>
              <w:bottom w:w="-1" w:type="dxa"/>
              <w:right w:w="-1" w:type="dxa"/>
            </w:tcMar>
          </w:tcPr>
          <w:p w14:paraId="104E0D60" w14:textId="658BF337" w:rsidR="00B834B4" w:rsidRPr="00EF12D2" w:rsidRDefault="00000000" w:rsidP="00E93C2C">
            <w:pPr>
              <w:jc w:val="center"/>
              <w:rPr>
                <w:rFonts w:cs="Times New Roman"/>
                <w:color w:val="000000"/>
              </w:rPr>
            </w:pPr>
            <w:r w:rsidRPr="00EF12D2">
              <w:rPr>
                <w:rFonts w:cs="Times New Roman"/>
                <w:color w:val="000000"/>
                <w:shd w:val="clear" w:color="auto" w:fill="FFFFFF"/>
              </w:rPr>
              <w:t>3</w:t>
            </w:r>
          </w:p>
        </w:tc>
        <w:tc>
          <w:tcPr>
            <w:tcW w:w="415" w:type="pct"/>
            <w:tcBorders>
              <w:top w:val="nil"/>
              <w:left w:val="nil"/>
              <w:bottom w:val="nil"/>
              <w:right w:val="nil"/>
            </w:tcBorders>
            <w:shd w:val="clear" w:color="auto" w:fill="FFFFFF"/>
            <w:tcMar>
              <w:top w:w="-1" w:type="dxa"/>
              <w:left w:w="-1" w:type="dxa"/>
              <w:bottom w:w="-1" w:type="dxa"/>
              <w:right w:w="-1" w:type="dxa"/>
            </w:tcMar>
          </w:tcPr>
          <w:p w14:paraId="1D63CDDB" w14:textId="77777777" w:rsidR="00B834B4" w:rsidRPr="00EF12D2" w:rsidRDefault="00B834B4" w:rsidP="00E93C2C">
            <w:pPr>
              <w:jc w:val="center"/>
              <w:rPr>
                <w:rFonts w:cs="Times New Roman"/>
                <w:color w:val="000000"/>
              </w:rPr>
            </w:pPr>
          </w:p>
        </w:tc>
      </w:tr>
      <w:tr w:rsidR="00B834B4" w:rsidRPr="00EF12D2" w14:paraId="49E37354"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71ED86B9" w14:textId="44FE6A0F" w:rsidR="00B834B4" w:rsidRPr="00EF12D2" w:rsidRDefault="00000000" w:rsidP="00E93C2C">
            <w:pPr>
              <w:jc w:val="left"/>
              <w:rPr>
                <w:rFonts w:cs="Times New Roman"/>
                <w:color w:val="000000"/>
              </w:rPr>
            </w:pPr>
            <w:r w:rsidRPr="00EF12D2">
              <w:rPr>
                <w:rFonts w:cs="Times New Roman"/>
                <w:color w:val="000000"/>
                <w:shd w:val="clear" w:color="auto" w:fill="FFFFFF"/>
              </w:rPr>
              <w:t>White blood cell count, ×10⁹/L</w:t>
            </w:r>
          </w:p>
        </w:tc>
        <w:tc>
          <w:tcPr>
            <w:tcW w:w="1002" w:type="pct"/>
            <w:tcBorders>
              <w:top w:val="nil"/>
              <w:left w:val="nil"/>
              <w:bottom w:val="nil"/>
              <w:right w:val="nil"/>
            </w:tcBorders>
            <w:shd w:val="clear" w:color="auto" w:fill="FFFFFF"/>
            <w:tcMar>
              <w:top w:w="-1" w:type="dxa"/>
              <w:left w:w="-1" w:type="dxa"/>
              <w:bottom w:w="-1" w:type="dxa"/>
              <w:right w:w="-1" w:type="dxa"/>
            </w:tcMar>
          </w:tcPr>
          <w:p w14:paraId="4056544E" w14:textId="6F379C8F" w:rsidR="00B834B4" w:rsidRPr="00EF12D2" w:rsidRDefault="00000000" w:rsidP="00E93C2C">
            <w:pPr>
              <w:jc w:val="center"/>
              <w:rPr>
                <w:rFonts w:cs="Times New Roman"/>
                <w:color w:val="000000"/>
              </w:rPr>
            </w:pPr>
            <w:r w:rsidRPr="00EF12D2">
              <w:rPr>
                <w:rFonts w:cs="Times New Roman"/>
                <w:color w:val="000000"/>
                <w:shd w:val="clear" w:color="auto" w:fill="FFFFFF"/>
              </w:rPr>
              <w:t>5.69 (0.15–119.11)</w:t>
            </w:r>
          </w:p>
        </w:tc>
        <w:tc>
          <w:tcPr>
            <w:tcW w:w="1002" w:type="pct"/>
            <w:tcBorders>
              <w:top w:val="nil"/>
              <w:left w:val="nil"/>
              <w:bottom w:val="nil"/>
              <w:right w:val="nil"/>
            </w:tcBorders>
            <w:shd w:val="clear" w:color="auto" w:fill="FFFFFF"/>
            <w:tcMar>
              <w:top w:w="-1" w:type="dxa"/>
              <w:left w:w="-1" w:type="dxa"/>
              <w:bottom w:w="-1" w:type="dxa"/>
              <w:right w:w="-1" w:type="dxa"/>
            </w:tcMar>
          </w:tcPr>
          <w:p w14:paraId="4AECF9CB" w14:textId="437E155B" w:rsidR="00B834B4" w:rsidRPr="00EF12D2" w:rsidRDefault="00000000" w:rsidP="00E93C2C">
            <w:pPr>
              <w:jc w:val="center"/>
              <w:rPr>
                <w:rFonts w:cs="Times New Roman"/>
                <w:color w:val="000000"/>
              </w:rPr>
            </w:pPr>
            <w:r w:rsidRPr="00EF12D2">
              <w:rPr>
                <w:rFonts w:cs="Times New Roman"/>
                <w:color w:val="000000"/>
                <w:shd w:val="clear" w:color="auto" w:fill="FFFFFF"/>
              </w:rPr>
              <w:t>5.69 (0.15–119.11)</w:t>
            </w:r>
          </w:p>
        </w:tc>
        <w:tc>
          <w:tcPr>
            <w:tcW w:w="946" w:type="pct"/>
            <w:tcBorders>
              <w:top w:val="nil"/>
              <w:left w:val="nil"/>
              <w:bottom w:val="nil"/>
              <w:right w:val="nil"/>
            </w:tcBorders>
            <w:shd w:val="clear" w:color="auto" w:fill="FFFFFF"/>
            <w:tcMar>
              <w:top w:w="-1" w:type="dxa"/>
              <w:left w:w="-1" w:type="dxa"/>
              <w:bottom w:w="-1" w:type="dxa"/>
              <w:right w:w="-1" w:type="dxa"/>
            </w:tcMar>
          </w:tcPr>
          <w:p w14:paraId="0037C933" w14:textId="57062431" w:rsidR="00B834B4" w:rsidRPr="00EF12D2" w:rsidRDefault="00000000" w:rsidP="00E93C2C">
            <w:pPr>
              <w:jc w:val="center"/>
              <w:rPr>
                <w:rFonts w:cs="Times New Roman"/>
                <w:color w:val="000000"/>
              </w:rPr>
            </w:pPr>
            <w:r w:rsidRPr="00EF12D2">
              <w:rPr>
                <w:rFonts w:cs="Times New Roman"/>
                <w:color w:val="000000"/>
                <w:shd w:val="clear" w:color="auto" w:fill="FFFFFF"/>
              </w:rPr>
              <w:t>4.73 (1.7–39.81)</w:t>
            </w:r>
          </w:p>
        </w:tc>
        <w:tc>
          <w:tcPr>
            <w:tcW w:w="415" w:type="pct"/>
            <w:tcBorders>
              <w:top w:val="nil"/>
              <w:left w:val="nil"/>
              <w:bottom w:val="nil"/>
              <w:right w:val="nil"/>
            </w:tcBorders>
            <w:shd w:val="clear" w:color="auto" w:fill="FFFFFF"/>
            <w:tcMar>
              <w:top w:w="-1" w:type="dxa"/>
              <w:left w:w="-1" w:type="dxa"/>
              <w:bottom w:w="-1" w:type="dxa"/>
              <w:right w:w="-1" w:type="dxa"/>
            </w:tcMar>
          </w:tcPr>
          <w:p w14:paraId="772E64F1"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0.75</w:t>
            </w:r>
          </w:p>
        </w:tc>
      </w:tr>
      <w:tr w:rsidR="00B834B4" w:rsidRPr="00EF12D2" w14:paraId="68674F43"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35CC3675" w14:textId="21A7475E" w:rsidR="00B834B4" w:rsidRPr="00EF12D2" w:rsidRDefault="00000000" w:rsidP="00E93C2C">
            <w:pPr>
              <w:jc w:val="left"/>
              <w:rPr>
                <w:rFonts w:cs="Times New Roman"/>
                <w:color w:val="000000"/>
              </w:rPr>
            </w:pPr>
            <w:r w:rsidRPr="00EF12D2">
              <w:rPr>
                <w:rFonts w:cs="Times New Roman"/>
                <w:color w:val="000000"/>
                <w:shd w:val="clear" w:color="auto" w:fill="FFFFFF"/>
              </w:rPr>
              <w:t>NK cell count</w:t>
            </w:r>
          </w:p>
        </w:tc>
        <w:tc>
          <w:tcPr>
            <w:tcW w:w="1002" w:type="pct"/>
            <w:tcBorders>
              <w:top w:val="nil"/>
              <w:left w:val="nil"/>
              <w:bottom w:val="nil"/>
              <w:right w:val="nil"/>
            </w:tcBorders>
            <w:shd w:val="clear" w:color="auto" w:fill="FFFFFF"/>
            <w:tcMar>
              <w:top w:w="-1" w:type="dxa"/>
              <w:left w:w="-1" w:type="dxa"/>
              <w:bottom w:w="-1" w:type="dxa"/>
              <w:right w:w="-1" w:type="dxa"/>
            </w:tcMar>
          </w:tcPr>
          <w:p w14:paraId="7651F148" w14:textId="29699347" w:rsidR="00B834B4" w:rsidRPr="00EF12D2" w:rsidRDefault="00000000" w:rsidP="00E93C2C">
            <w:pPr>
              <w:jc w:val="center"/>
              <w:rPr>
                <w:rFonts w:cs="Times New Roman"/>
                <w:color w:val="000000"/>
              </w:rPr>
            </w:pPr>
            <w:r w:rsidRPr="00EF12D2">
              <w:rPr>
                <w:rFonts w:cs="Times New Roman"/>
                <w:color w:val="000000"/>
                <w:shd w:val="clear" w:color="auto" w:fill="FFFFFF"/>
              </w:rPr>
              <w:t>80 (1–449)</w:t>
            </w:r>
          </w:p>
        </w:tc>
        <w:tc>
          <w:tcPr>
            <w:tcW w:w="1002" w:type="pct"/>
            <w:tcBorders>
              <w:top w:val="nil"/>
              <w:left w:val="nil"/>
              <w:bottom w:val="nil"/>
              <w:right w:val="nil"/>
            </w:tcBorders>
            <w:shd w:val="clear" w:color="auto" w:fill="FFFFFF"/>
            <w:tcMar>
              <w:top w:w="-1" w:type="dxa"/>
              <w:left w:w="-1" w:type="dxa"/>
              <w:bottom w:w="-1" w:type="dxa"/>
              <w:right w:w="-1" w:type="dxa"/>
            </w:tcMar>
          </w:tcPr>
          <w:p w14:paraId="40A23BA3" w14:textId="5243D220" w:rsidR="00B834B4" w:rsidRPr="00EF12D2" w:rsidRDefault="00000000" w:rsidP="00E93C2C">
            <w:pPr>
              <w:jc w:val="center"/>
              <w:rPr>
                <w:rFonts w:cs="Times New Roman"/>
                <w:color w:val="000000"/>
              </w:rPr>
            </w:pPr>
            <w:r w:rsidRPr="00EF12D2">
              <w:rPr>
                <w:rFonts w:cs="Times New Roman"/>
                <w:color w:val="000000"/>
                <w:shd w:val="clear" w:color="auto" w:fill="FFFFFF"/>
              </w:rPr>
              <w:t>77 (1–449)</w:t>
            </w:r>
          </w:p>
        </w:tc>
        <w:tc>
          <w:tcPr>
            <w:tcW w:w="946" w:type="pct"/>
            <w:tcBorders>
              <w:top w:val="nil"/>
              <w:left w:val="nil"/>
              <w:bottom w:val="nil"/>
              <w:right w:val="nil"/>
            </w:tcBorders>
            <w:shd w:val="clear" w:color="auto" w:fill="FFFFFF"/>
            <w:tcMar>
              <w:top w:w="-1" w:type="dxa"/>
              <w:left w:w="-1" w:type="dxa"/>
              <w:bottom w:w="-1" w:type="dxa"/>
              <w:right w:w="-1" w:type="dxa"/>
            </w:tcMar>
          </w:tcPr>
          <w:p w14:paraId="2AD6A605" w14:textId="0EE0EC78" w:rsidR="00B834B4" w:rsidRPr="00EF12D2" w:rsidRDefault="00000000" w:rsidP="00E93C2C">
            <w:pPr>
              <w:jc w:val="center"/>
              <w:rPr>
                <w:rFonts w:cs="Times New Roman"/>
                <w:color w:val="000000"/>
              </w:rPr>
            </w:pPr>
            <w:r w:rsidRPr="00EF12D2">
              <w:rPr>
                <w:rFonts w:cs="Times New Roman"/>
                <w:color w:val="000000"/>
                <w:shd w:val="clear" w:color="auto" w:fill="FFFFFF"/>
              </w:rPr>
              <w:t>136.5 (6–291)</w:t>
            </w:r>
          </w:p>
        </w:tc>
        <w:tc>
          <w:tcPr>
            <w:tcW w:w="415" w:type="pct"/>
            <w:tcBorders>
              <w:top w:val="nil"/>
              <w:left w:val="nil"/>
              <w:bottom w:val="nil"/>
              <w:right w:val="nil"/>
            </w:tcBorders>
            <w:shd w:val="clear" w:color="auto" w:fill="FFFFFF"/>
            <w:tcMar>
              <w:top w:w="-1" w:type="dxa"/>
              <w:left w:w="-1" w:type="dxa"/>
              <w:bottom w:w="-1" w:type="dxa"/>
              <w:right w:w="-1" w:type="dxa"/>
            </w:tcMar>
          </w:tcPr>
          <w:p w14:paraId="07ABE470"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0.23</w:t>
            </w:r>
          </w:p>
        </w:tc>
      </w:tr>
      <w:tr w:rsidR="00B834B4" w:rsidRPr="00EF12D2" w14:paraId="27E7DA5E"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5E58AE7B" w14:textId="65DC7F13" w:rsidR="00B834B4" w:rsidRPr="00EF12D2" w:rsidRDefault="00000000" w:rsidP="00E93C2C">
            <w:pPr>
              <w:jc w:val="left"/>
              <w:rPr>
                <w:rFonts w:cs="Times New Roman"/>
                <w:color w:val="000000"/>
              </w:rPr>
            </w:pPr>
            <w:r w:rsidRPr="00EF12D2">
              <w:rPr>
                <w:rFonts w:cs="Times New Roman"/>
                <w:color w:val="000000"/>
                <w:shd w:val="clear" w:color="auto" w:fill="FFFFFF"/>
              </w:rPr>
              <w:t>CD4+ T cell count</w:t>
            </w:r>
          </w:p>
        </w:tc>
        <w:tc>
          <w:tcPr>
            <w:tcW w:w="1002" w:type="pct"/>
            <w:tcBorders>
              <w:top w:val="nil"/>
              <w:left w:val="nil"/>
              <w:bottom w:val="nil"/>
              <w:right w:val="nil"/>
            </w:tcBorders>
            <w:shd w:val="clear" w:color="auto" w:fill="FFFFFF"/>
            <w:tcMar>
              <w:top w:w="-1" w:type="dxa"/>
              <w:left w:w="-1" w:type="dxa"/>
              <w:bottom w:w="-1" w:type="dxa"/>
              <w:right w:w="-1" w:type="dxa"/>
            </w:tcMar>
          </w:tcPr>
          <w:p w14:paraId="0B2A892A" w14:textId="5703E0AE" w:rsidR="00B834B4" w:rsidRPr="00EF12D2" w:rsidRDefault="00000000" w:rsidP="00E93C2C">
            <w:pPr>
              <w:jc w:val="center"/>
              <w:rPr>
                <w:rFonts w:cs="Times New Roman"/>
                <w:color w:val="000000"/>
              </w:rPr>
            </w:pPr>
            <w:r w:rsidRPr="00EF12D2">
              <w:rPr>
                <w:rFonts w:cs="Times New Roman"/>
                <w:color w:val="000000"/>
                <w:shd w:val="clear" w:color="auto" w:fill="FFFFFF"/>
              </w:rPr>
              <w:t>278 (11–1103)</w:t>
            </w:r>
          </w:p>
        </w:tc>
        <w:tc>
          <w:tcPr>
            <w:tcW w:w="1002" w:type="pct"/>
            <w:tcBorders>
              <w:top w:val="nil"/>
              <w:left w:val="nil"/>
              <w:bottom w:val="nil"/>
              <w:right w:val="nil"/>
            </w:tcBorders>
            <w:shd w:val="clear" w:color="auto" w:fill="FFFFFF"/>
            <w:tcMar>
              <w:top w:w="-1" w:type="dxa"/>
              <w:left w:w="-1" w:type="dxa"/>
              <w:bottom w:w="-1" w:type="dxa"/>
              <w:right w:w="-1" w:type="dxa"/>
            </w:tcMar>
          </w:tcPr>
          <w:p w14:paraId="79DCD9FC" w14:textId="4ACF58D0" w:rsidR="00B834B4" w:rsidRPr="00EF12D2" w:rsidRDefault="00000000" w:rsidP="00E93C2C">
            <w:pPr>
              <w:jc w:val="center"/>
              <w:rPr>
                <w:rFonts w:cs="Times New Roman"/>
                <w:color w:val="000000"/>
              </w:rPr>
            </w:pPr>
            <w:r w:rsidRPr="00EF12D2">
              <w:rPr>
                <w:rFonts w:cs="Times New Roman"/>
                <w:color w:val="000000"/>
                <w:shd w:val="clear" w:color="auto" w:fill="FFFFFF"/>
              </w:rPr>
              <w:t>313 (11–1103)</w:t>
            </w:r>
          </w:p>
        </w:tc>
        <w:tc>
          <w:tcPr>
            <w:tcW w:w="946" w:type="pct"/>
            <w:tcBorders>
              <w:top w:val="nil"/>
              <w:left w:val="nil"/>
              <w:bottom w:val="nil"/>
              <w:right w:val="nil"/>
            </w:tcBorders>
            <w:shd w:val="clear" w:color="auto" w:fill="FFFFFF"/>
            <w:tcMar>
              <w:top w:w="-1" w:type="dxa"/>
              <w:left w:w="-1" w:type="dxa"/>
              <w:bottom w:w="-1" w:type="dxa"/>
              <w:right w:w="-1" w:type="dxa"/>
            </w:tcMar>
          </w:tcPr>
          <w:p w14:paraId="28A38E90" w14:textId="0F8F0918" w:rsidR="00B834B4" w:rsidRPr="00EF12D2" w:rsidRDefault="00000000" w:rsidP="00E93C2C">
            <w:pPr>
              <w:jc w:val="center"/>
              <w:rPr>
                <w:rFonts w:cs="Times New Roman"/>
                <w:color w:val="000000"/>
              </w:rPr>
            </w:pPr>
            <w:r w:rsidRPr="00EF12D2">
              <w:rPr>
                <w:rFonts w:cs="Times New Roman"/>
                <w:color w:val="000000"/>
                <w:shd w:val="clear" w:color="auto" w:fill="FFFFFF"/>
              </w:rPr>
              <w:t>230 (220–1000)</w:t>
            </w:r>
          </w:p>
        </w:tc>
        <w:tc>
          <w:tcPr>
            <w:tcW w:w="415" w:type="pct"/>
            <w:tcBorders>
              <w:top w:val="nil"/>
              <w:left w:val="nil"/>
              <w:bottom w:val="nil"/>
              <w:right w:val="nil"/>
            </w:tcBorders>
            <w:shd w:val="clear" w:color="auto" w:fill="FFFFFF"/>
            <w:tcMar>
              <w:top w:w="-1" w:type="dxa"/>
              <w:left w:w="-1" w:type="dxa"/>
              <w:bottom w:w="-1" w:type="dxa"/>
              <w:right w:w="-1" w:type="dxa"/>
            </w:tcMar>
          </w:tcPr>
          <w:p w14:paraId="25A0E116"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0.98</w:t>
            </w:r>
          </w:p>
        </w:tc>
      </w:tr>
      <w:tr w:rsidR="00B834B4" w:rsidRPr="00EF12D2" w14:paraId="3A456D98"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04B105AB" w14:textId="7D5C95E9" w:rsidR="00B834B4" w:rsidRPr="00EF12D2" w:rsidRDefault="00000000" w:rsidP="00E93C2C">
            <w:pPr>
              <w:jc w:val="left"/>
              <w:rPr>
                <w:rFonts w:cs="Times New Roman"/>
                <w:color w:val="000000"/>
              </w:rPr>
            </w:pPr>
            <w:r w:rsidRPr="00EF12D2">
              <w:rPr>
                <w:rFonts w:cs="Times New Roman"/>
                <w:color w:val="000000"/>
                <w:shd w:val="clear" w:color="auto" w:fill="FFFFFF"/>
              </w:rPr>
              <w:t>CD8+ T cell count</w:t>
            </w:r>
          </w:p>
        </w:tc>
        <w:tc>
          <w:tcPr>
            <w:tcW w:w="1002" w:type="pct"/>
            <w:tcBorders>
              <w:top w:val="nil"/>
              <w:left w:val="nil"/>
              <w:bottom w:val="nil"/>
              <w:right w:val="nil"/>
            </w:tcBorders>
            <w:shd w:val="clear" w:color="auto" w:fill="FFFFFF"/>
            <w:tcMar>
              <w:top w:w="-1" w:type="dxa"/>
              <w:left w:w="-1" w:type="dxa"/>
              <w:bottom w:w="-1" w:type="dxa"/>
              <w:right w:w="-1" w:type="dxa"/>
            </w:tcMar>
          </w:tcPr>
          <w:p w14:paraId="16332978" w14:textId="63F014B0" w:rsidR="00B834B4" w:rsidRPr="00EF12D2" w:rsidRDefault="00000000" w:rsidP="00E93C2C">
            <w:pPr>
              <w:jc w:val="center"/>
              <w:rPr>
                <w:rFonts w:cs="Times New Roman"/>
                <w:color w:val="000000"/>
              </w:rPr>
            </w:pPr>
            <w:r w:rsidRPr="00EF12D2">
              <w:rPr>
                <w:rFonts w:cs="Times New Roman"/>
                <w:color w:val="000000"/>
                <w:shd w:val="clear" w:color="auto" w:fill="FFFFFF"/>
              </w:rPr>
              <w:t>221 (8–1087)</w:t>
            </w:r>
          </w:p>
        </w:tc>
        <w:tc>
          <w:tcPr>
            <w:tcW w:w="1002" w:type="pct"/>
            <w:tcBorders>
              <w:top w:val="nil"/>
              <w:left w:val="nil"/>
              <w:bottom w:val="nil"/>
              <w:right w:val="nil"/>
            </w:tcBorders>
            <w:shd w:val="clear" w:color="auto" w:fill="FFFFFF"/>
            <w:tcMar>
              <w:top w:w="-1" w:type="dxa"/>
              <w:left w:w="-1" w:type="dxa"/>
              <w:bottom w:w="-1" w:type="dxa"/>
              <w:right w:w="-1" w:type="dxa"/>
            </w:tcMar>
          </w:tcPr>
          <w:p w14:paraId="43CAAAD9" w14:textId="0C568652" w:rsidR="00B834B4" w:rsidRPr="00EF12D2" w:rsidRDefault="00000000" w:rsidP="00E93C2C">
            <w:pPr>
              <w:jc w:val="center"/>
              <w:rPr>
                <w:rFonts w:cs="Times New Roman"/>
                <w:color w:val="000000"/>
              </w:rPr>
            </w:pPr>
            <w:r w:rsidRPr="00EF12D2">
              <w:rPr>
                <w:rFonts w:cs="Times New Roman"/>
                <w:color w:val="000000"/>
                <w:shd w:val="clear" w:color="auto" w:fill="FFFFFF"/>
              </w:rPr>
              <w:t>201 (8–1087)</w:t>
            </w:r>
          </w:p>
        </w:tc>
        <w:tc>
          <w:tcPr>
            <w:tcW w:w="946" w:type="pct"/>
            <w:tcBorders>
              <w:top w:val="nil"/>
              <w:left w:val="nil"/>
              <w:bottom w:val="nil"/>
              <w:right w:val="nil"/>
            </w:tcBorders>
            <w:shd w:val="clear" w:color="auto" w:fill="FFFFFF"/>
            <w:tcMar>
              <w:top w:w="-1" w:type="dxa"/>
              <w:left w:w="-1" w:type="dxa"/>
              <w:bottom w:w="-1" w:type="dxa"/>
              <w:right w:w="-1" w:type="dxa"/>
            </w:tcMar>
          </w:tcPr>
          <w:p w14:paraId="510920E5" w14:textId="6E6BBE38" w:rsidR="00B834B4" w:rsidRPr="00EF12D2" w:rsidRDefault="00000000" w:rsidP="00E93C2C">
            <w:pPr>
              <w:jc w:val="center"/>
              <w:rPr>
                <w:rFonts w:cs="Times New Roman"/>
                <w:color w:val="000000"/>
              </w:rPr>
            </w:pPr>
            <w:r w:rsidRPr="00EF12D2">
              <w:rPr>
                <w:rFonts w:cs="Times New Roman"/>
                <w:color w:val="000000"/>
                <w:shd w:val="clear" w:color="auto" w:fill="FFFFFF"/>
              </w:rPr>
              <w:t>344 (80–638)</w:t>
            </w:r>
          </w:p>
        </w:tc>
        <w:tc>
          <w:tcPr>
            <w:tcW w:w="415" w:type="pct"/>
            <w:tcBorders>
              <w:top w:val="nil"/>
              <w:left w:val="nil"/>
              <w:bottom w:val="nil"/>
              <w:right w:val="nil"/>
            </w:tcBorders>
            <w:shd w:val="clear" w:color="auto" w:fill="FFFFFF"/>
            <w:tcMar>
              <w:top w:w="-1" w:type="dxa"/>
              <w:left w:w="-1" w:type="dxa"/>
              <w:bottom w:w="-1" w:type="dxa"/>
              <w:right w:w="-1" w:type="dxa"/>
            </w:tcMar>
          </w:tcPr>
          <w:p w14:paraId="663FD7C4"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0.75</w:t>
            </w:r>
          </w:p>
        </w:tc>
      </w:tr>
      <w:tr w:rsidR="00B834B4" w:rsidRPr="00EF12D2" w14:paraId="113C2211" w14:textId="77777777" w:rsidTr="00E93C2C">
        <w:trPr>
          <w:jc w:val="center"/>
        </w:trPr>
        <w:tc>
          <w:tcPr>
            <w:tcW w:w="1635" w:type="pct"/>
            <w:tcBorders>
              <w:top w:val="nil"/>
              <w:left w:val="nil"/>
              <w:bottom w:val="nil"/>
              <w:right w:val="nil"/>
            </w:tcBorders>
            <w:shd w:val="clear" w:color="auto" w:fill="FFFFFF"/>
            <w:tcMar>
              <w:top w:w="-1" w:type="dxa"/>
              <w:left w:w="-1" w:type="dxa"/>
              <w:bottom w:w="-1" w:type="dxa"/>
              <w:right w:w="-1" w:type="dxa"/>
            </w:tcMar>
          </w:tcPr>
          <w:p w14:paraId="148A2F92" w14:textId="366D60A8" w:rsidR="00B834B4" w:rsidRPr="00EF12D2" w:rsidRDefault="00000000" w:rsidP="00E93C2C">
            <w:pPr>
              <w:jc w:val="left"/>
              <w:rPr>
                <w:rFonts w:cs="Times New Roman"/>
                <w:color w:val="000000"/>
              </w:rPr>
            </w:pPr>
            <w:r w:rsidRPr="00EF12D2">
              <w:rPr>
                <w:rFonts w:cs="Times New Roman"/>
                <w:color w:val="000000"/>
                <w:shd w:val="clear" w:color="auto" w:fill="FFFFFF"/>
              </w:rPr>
              <w:t>B cell count</w:t>
            </w:r>
          </w:p>
        </w:tc>
        <w:tc>
          <w:tcPr>
            <w:tcW w:w="1002" w:type="pct"/>
            <w:tcBorders>
              <w:top w:val="nil"/>
              <w:left w:val="nil"/>
              <w:bottom w:val="nil"/>
              <w:right w:val="nil"/>
            </w:tcBorders>
            <w:shd w:val="clear" w:color="auto" w:fill="FFFFFF"/>
            <w:tcMar>
              <w:top w:w="-1" w:type="dxa"/>
              <w:left w:w="-1" w:type="dxa"/>
              <w:bottom w:w="-1" w:type="dxa"/>
              <w:right w:w="-1" w:type="dxa"/>
            </w:tcMar>
          </w:tcPr>
          <w:p w14:paraId="144FB53B" w14:textId="1D21DFAE" w:rsidR="00B834B4" w:rsidRPr="00EF12D2" w:rsidRDefault="00000000" w:rsidP="00E93C2C">
            <w:pPr>
              <w:jc w:val="center"/>
              <w:rPr>
                <w:rFonts w:cs="Times New Roman"/>
                <w:color w:val="000000"/>
              </w:rPr>
            </w:pPr>
            <w:r w:rsidRPr="00EF12D2">
              <w:rPr>
                <w:rFonts w:cs="Times New Roman"/>
                <w:color w:val="000000"/>
                <w:shd w:val="clear" w:color="auto" w:fill="FFFFFF"/>
              </w:rPr>
              <w:t>74 (1–2629)</w:t>
            </w:r>
          </w:p>
        </w:tc>
        <w:tc>
          <w:tcPr>
            <w:tcW w:w="1002" w:type="pct"/>
            <w:tcBorders>
              <w:top w:val="nil"/>
              <w:left w:val="nil"/>
              <w:bottom w:val="nil"/>
              <w:right w:val="nil"/>
            </w:tcBorders>
            <w:shd w:val="clear" w:color="auto" w:fill="FFFFFF"/>
            <w:tcMar>
              <w:top w:w="-1" w:type="dxa"/>
              <w:left w:w="-1" w:type="dxa"/>
              <w:bottom w:w="-1" w:type="dxa"/>
              <w:right w:w="-1" w:type="dxa"/>
            </w:tcMar>
          </w:tcPr>
          <w:p w14:paraId="50E84CF5" w14:textId="378ED71A" w:rsidR="00B834B4" w:rsidRPr="00EF12D2" w:rsidRDefault="00000000" w:rsidP="00E93C2C">
            <w:pPr>
              <w:jc w:val="center"/>
              <w:rPr>
                <w:rFonts w:cs="Times New Roman"/>
                <w:color w:val="000000"/>
              </w:rPr>
            </w:pPr>
            <w:r w:rsidRPr="00EF12D2">
              <w:rPr>
                <w:rFonts w:cs="Times New Roman"/>
                <w:color w:val="000000"/>
                <w:shd w:val="clear" w:color="auto" w:fill="FFFFFF"/>
              </w:rPr>
              <w:t>84 (0–2629)</w:t>
            </w:r>
          </w:p>
        </w:tc>
        <w:tc>
          <w:tcPr>
            <w:tcW w:w="946" w:type="pct"/>
            <w:tcBorders>
              <w:top w:val="nil"/>
              <w:left w:val="nil"/>
              <w:bottom w:val="nil"/>
              <w:right w:val="nil"/>
            </w:tcBorders>
            <w:shd w:val="clear" w:color="auto" w:fill="FFFFFF"/>
            <w:tcMar>
              <w:top w:w="-1" w:type="dxa"/>
              <w:left w:w="-1" w:type="dxa"/>
              <w:bottom w:w="-1" w:type="dxa"/>
              <w:right w:w="-1" w:type="dxa"/>
            </w:tcMar>
          </w:tcPr>
          <w:p w14:paraId="7ADD3981" w14:textId="7DDEBF75" w:rsidR="00B834B4" w:rsidRPr="00EF12D2" w:rsidRDefault="00000000" w:rsidP="00E93C2C">
            <w:pPr>
              <w:jc w:val="center"/>
              <w:rPr>
                <w:rFonts w:cs="Times New Roman"/>
                <w:color w:val="000000"/>
              </w:rPr>
            </w:pPr>
            <w:r w:rsidRPr="00EF12D2">
              <w:rPr>
                <w:rFonts w:cs="Times New Roman"/>
                <w:color w:val="000000"/>
                <w:shd w:val="clear" w:color="auto" w:fill="FFFFFF"/>
              </w:rPr>
              <w:t>40.5 (1–396)</w:t>
            </w:r>
          </w:p>
        </w:tc>
        <w:tc>
          <w:tcPr>
            <w:tcW w:w="415" w:type="pct"/>
            <w:tcBorders>
              <w:top w:val="nil"/>
              <w:left w:val="nil"/>
              <w:bottom w:val="nil"/>
              <w:right w:val="nil"/>
            </w:tcBorders>
            <w:shd w:val="clear" w:color="auto" w:fill="FFFFFF"/>
            <w:tcMar>
              <w:top w:w="-1" w:type="dxa"/>
              <w:left w:w="-1" w:type="dxa"/>
              <w:bottom w:w="-1" w:type="dxa"/>
              <w:right w:w="-1" w:type="dxa"/>
            </w:tcMar>
          </w:tcPr>
          <w:p w14:paraId="13F3F64A"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0.86</w:t>
            </w:r>
          </w:p>
        </w:tc>
      </w:tr>
      <w:tr w:rsidR="00B834B4" w:rsidRPr="00EF12D2" w14:paraId="2233E868" w14:textId="77777777" w:rsidTr="00E93C2C">
        <w:trPr>
          <w:jc w:val="center"/>
        </w:trPr>
        <w:tc>
          <w:tcPr>
            <w:tcW w:w="1635" w:type="pct"/>
            <w:tcBorders>
              <w:top w:val="nil"/>
              <w:left w:val="nil"/>
              <w:bottom w:val="single" w:sz="12" w:space="0" w:color="000000"/>
              <w:right w:val="nil"/>
            </w:tcBorders>
            <w:shd w:val="clear" w:color="auto" w:fill="FFFFFF"/>
            <w:tcMar>
              <w:top w:w="-1" w:type="dxa"/>
              <w:left w:w="-1" w:type="dxa"/>
              <w:bottom w:w="-1" w:type="dxa"/>
              <w:right w:w="-1" w:type="dxa"/>
            </w:tcMar>
          </w:tcPr>
          <w:p w14:paraId="4AF3ADF5" w14:textId="6563E27D" w:rsidR="00B834B4" w:rsidRPr="00EF12D2" w:rsidRDefault="00000000" w:rsidP="00E93C2C">
            <w:pPr>
              <w:jc w:val="left"/>
              <w:rPr>
                <w:rFonts w:cs="Times New Roman"/>
                <w:color w:val="000000"/>
              </w:rPr>
            </w:pPr>
            <w:r w:rsidRPr="00EF12D2">
              <w:rPr>
                <w:rFonts w:cs="Times New Roman"/>
                <w:color w:val="000000"/>
                <w:shd w:val="clear" w:color="auto" w:fill="FFFFFF"/>
              </w:rPr>
              <w:t>CD4/CD8 ratio</w:t>
            </w:r>
          </w:p>
        </w:tc>
        <w:tc>
          <w:tcPr>
            <w:tcW w:w="1002" w:type="pct"/>
            <w:tcBorders>
              <w:top w:val="nil"/>
              <w:left w:val="nil"/>
              <w:bottom w:val="single" w:sz="12" w:space="0" w:color="000000"/>
              <w:right w:val="nil"/>
            </w:tcBorders>
            <w:shd w:val="clear" w:color="auto" w:fill="FFFFFF"/>
            <w:tcMar>
              <w:top w:w="-1" w:type="dxa"/>
              <w:left w:w="-1" w:type="dxa"/>
              <w:bottom w:w="-1" w:type="dxa"/>
              <w:right w:w="-1" w:type="dxa"/>
            </w:tcMar>
          </w:tcPr>
          <w:p w14:paraId="01656A4C" w14:textId="43F4C055" w:rsidR="00B834B4" w:rsidRPr="00EF12D2" w:rsidRDefault="00000000" w:rsidP="00E93C2C">
            <w:pPr>
              <w:jc w:val="center"/>
              <w:rPr>
                <w:rFonts w:cs="Times New Roman"/>
                <w:color w:val="000000"/>
              </w:rPr>
            </w:pPr>
            <w:r w:rsidRPr="00EF12D2">
              <w:rPr>
                <w:rFonts w:cs="Times New Roman"/>
                <w:color w:val="000000"/>
                <w:shd w:val="clear" w:color="auto" w:fill="FFFFFF"/>
              </w:rPr>
              <w:t>1.08 (0.23–4.54)</w:t>
            </w:r>
          </w:p>
        </w:tc>
        <w:tc>
          <w:tcPr>
            <w:tcW w:w="1002" w:type="pct"/>
            <w:tcBorders>
              <w:top w:val="nil"/>
              <w:left w:val="nil"/>
              <w:bottom w:val="single" w:sz="12" w:space="0" w:color="000000"/>
              <w:right w:val="nil"/>
            </w:tcBorders>
            <w:shd w:val="clear" w:color="auto" w:fill="FFFFFF"/>
            <w:tcMar>
              <w:top w:w="-1" w:type="dxa"/>
              <w:left w:w="-1" w:type="dxa"/>
              <w:bottom w:w="-1" w:type="dxa"/>
              <w:right w:w="-1" w:type="dxa"/>
            </w:tcMar>
          </w:tcPr>
          <w:p w14:paraId="2AAB945E" w14:textId="1F835E70" w:rsidR="00B834B4" w:rsidRPr="00EF12D2" w:rsidRDefault="00000000" w:rsidP="00E93C2C">
            <w:pPr>
              <w:jc w:val="center"/>
              <w:rPr>
                <w:rFonts w:cs="Times New Roman"/>
                <w:color w:val="000000"/>
              </w:rPr>
            </w:pPr>
            <w:r w:rsidRPr="00EF12D2">
              <w:rPr>
                <w:rFonts w:cs="Times New Roman"/>
                <w:color w:val="000000"/>
                <w:shd w:val="clear" w:color="auto" w:fill="FFFFFF"/>
              </w:rPr>
              <w:t>1.08 (0.23–4.54)</w:t>
            </w:r>
          </w:p>
        </w:tc>
        <w:tc>
          <w:tcPr>
            <w:tcW w:w="946" w:type="pct"/>
            <w:tcBorders>
              <w:top w:val="nil"/>
              <w:left w:val="nil"/>
              <w:bottom w:val="single" w:sz="12" w:space="0" w:color="000000"/>
              <w:right w:val="nil"/>
            </w:tcBorders>
            <w:shd w:val="clear" w:color="auto" w:fill="FFFFFF"/>
            <w:tcMar>
              <w:top w:w="-1" w:type="dxa"/>
              <w:left w:w="-1" w:type="dxa"/>
              <w:bottom w:w="-1" w:type="dxa"/>
              <w:right w:w="-1" w:type="dxa"/>
            </w:tcMar>
          </w:tcPr>
          <w:p w14:paraId="13679AD1" w14:textId="0DCAB533" w:rsidR="00B834B4" w:rsidRPr="00EF12D2" w:rsidRDefault="00000000" w:rsidP="00E93C2C">
            <w:pPr>
              <w:jc w:val="center"/>
              <w:rPr>
                <w:rFonts w:cs="Times New Roman"/>
                <w:color w:val="000000"/>
              </w:rPr>
            </w:pPr>
            <w:r w:rsidRPr="00EF12D2">
              <w:rPr>
                <w:rFonts w:cs="Times New Roman"/>
                <w:color w:val="000000"/>
                <w:shd w:val="clear" w:color="auto" w:fill="FFFFFF"/>
              </w:rPr>
              <w:t>1.165 (0.29–2.73)</w:t>
            </w:r>
          </w:p>
        </w:tc>
        <w:tc>
          <w:tcPr>
            <w:tcW w:w="415" w:type="pct"/>
            <w:tcBorders>
              <w:top w:val="nil"/>
              <w:left w:val="nil"/>
              <w:bottom w:val="single" w:sz="12" w:space="0" w:color="000000"/>
              <w:right w:val="nil"/>
            </w:tcBorders>
            <w:shd w:val="clear" w:color="auto" w:fill="FFFFFF"/>
            <w:tcMar>
              <w:top w:w="-1" w:type="dxa"/>
              <w:left w:w="-1" w:type="dxa"/>
              <w:bottom w:w="-1" w:type="dxa"/>
              <w:right w:w="-1" w:type="dxa"/>
            </w:tcMar>
          </w:tcPr>
          <w:p w14:paraId="08AAF98A" w14:textId="77777777" w:rsidR="00B834B4" w:rsidRPr="00EF12D2" w:rsidRDefault="00000000" w:rsidP="00E93C2C">
            <w:pPr>
              <w:jc w:val="center"/>
              <w:rPr>
                <w:rFonts w:cs="Times New Roman"/>
                <w:color w:val="000000"/>
              </w:rPr>
            </w:pPr>
            <w:r w:rsidRPr="00EF12D2">
              <w:rPr>
                <w:rFonts w:cs="Times New Roman"/>
                <w:color w:val="000000"/>
                <w:shd w:val="clear" w:color="auto" w:fill="FFFFFF"/>
              </w:rPr>
              <w:t>0.86</w:t>
            </w:r>
          </w:p>
        </w:tc>
      </w:tr>
    </w:tbl>
    <w:p w14:paraId="3C67A1A1" w14:textId="77777777" w:rsidR="00B834B4" w:rsidRPr="00EF12D2" w:rsidRDefault="00B834B4" w:rsidP="00E93C2C">
      <w:pPr>
        <w:rPr>
          <w:rFonts w:cs="Times New Roman"/>
          <w:shd w:val="clear" w:color="auto" w:fill="FFFFFF"/>
        </w:rPr>
      </w:pPr>
    </w:p>
    <w:p w14:paraId="6EB07663" w14:textId="77777777" w:rsidR="00B834B4" w:rsidRPr="00E93C2C" w:rsidRDefault="00000000" w:rsidP="00E93C2C">
      <w:pPr>
        <w:rPr>
          <w:rFonts w:cs="Times New Roman"/>
          <w:b/>
          <w:bCs/>
        </w:rPr>
      </w:pPr>
      <w:r w:rsidRPr="00E93C2C">
        <w:rPr>
          <w:rFonts w:cs="Times New Roman"/>
          <w:b/>
          <w:bCs/>
          <w:shd w:val="clear" w:color="auto" w:fill="FFFFFF"/>
        </w:rPr>
        <w:t>3.2. Differences in lymphocyte subsets among hematological malignancies</w:t>
      </w:r>
    </w:p>
    <w:p w14:paraId="02BAB4D8" w14:textId="77777777" w:rsidR="00B834B4" w:rsidRPr="00EF12D2" w:rsidRDefault="00000000" w:rsidP="00E93C2C">
      <w:pPr>
        <w:rPr>
          <w:rFonts w:cs="Times New Roman"/>
          <w:shd w:val="clear" w:color="auto" w:fill="FFFFFF"/>
        </w:rPr>
      </w:pPr>
      <w:r w:rsidRPr="00EF12D2">
        <w:rPr>
          <w:rFonts w:cs="Times New Roman"/>
          <w:shd w:val="clear" w:color="auto" w:fill="FFFFFF"/>
        </w:rPr>
        <w:t>B cell counts exhibited significant differences among different types of hematological malignancies (</w:t>
      </w:r>
      <w:r w:rsidRPr="00E93C2C">
        <w:rPr>
          <w:rFonts w:cs="Times New Roman"/>
          <w:b/>
          <w:bCs/>
          <w:shd w:val="clear" w:color="auto" w:fill="FFFFFF"/>
        </w:rPr>
        <w:t>Figure 1</w:t>
      </w:r>
      <w:r w:rsidRPr="00EF12D2">
        <w:rPr>
          <w:rFonts w:cs="Times New Roman"/>
          <w:shd w:val="clear" w:color="auto" w:fill="FFFFFF"/>
        </w:rPr>
        <w:t>), whereas no statistically significant differences were observed in the CD4/CD8 ratio, NK cell count, total T cell count, CD4+ T cell count, or CD8+ T cell count.</w:t>
      </w:r>
    </w:p>
    <w:p w14:paraId="4FB88621" w14:textId="77777777" w:rsidR="00B834B4" w:rsidRPr="00EF12D2" w:rsidRDefault="00B834B4" w:rsidP="00E93C2C">
      <w:pPr>
        <w:rPr>
          <w:rFonts w:cs="Times New Roman"/>
          <w:shd w:val="clear" w:color="auto" w:fill="FFFFFF"/>
        </w:rPr>
      </w:pPr>
    </w:p>
    <w:p w14:paraId="74FE7AA7" w14:textId="240D54BB"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38617FAB" wp14:editId="0F6B971E">
            <wp:extent cx="1508760" cy="1176020"/>
            <wp:effectExtent l="0" t="0" r="0" b="12700"/>
            <wp:docPr id="1026" name="图片 2" descr="CD4及CD8"/>
            <wp:cNvGraphicFramePr/>
            <a:graphic xmlns:a="http://schemas.openxmlformats.org/drawingml/2006/main">
              <a:graphicData uri="http://schemas.openxmlformats.org/drawingml/2006/picture">
                <pic:pic xmlns:pic="http://schemas.openxmlformats.org/drawingml/2006/picture">
                  <pic:nvPicPr>
                    <pic:cNvPr id="1026" name="图片 2" descr="CD4及CD8"/>
                    <pic:cNvPicPr/>
                  </pic:nvPicPr>
                  <pic:blipFill>
                    <a:blip r:embed="rId4" cstate="print"/>
                    <a:srcRect/>
                    <a:stretch>
                      <a:fillRect/>
                    </a:stretch>
                  </pic:blipFill>
                  <pic:spPr>
                    <a:xfrm>
                      <a:off x="0" y="0"/>
                      <a:ext cx="1508760" cy="1176020"/>
                    </a:xfrm>
                    <a:prstGeom prst="rect">
                      <a:avLst/>
                    </a:prstGeom>
                  </pic:spPr>
                </pic:pic>
              </a:graphicData>
            </a:graphic>
          </wp:inline>
        </w:drawing>
      </w:r>
      <w:r w:rsidRPr="00E93C2C">
        <w:rPr>
          <w:rFonts w:cs="Times New Roman"/>
          <w:noProof/>
          <w:color w:val="222222"/>
          <w:sz w:val="20"/>
          <w:szCs w:val="20"/>
          <w:shd w:val="clear" w:color="auto" w:fill="FFFFFF"/>
        </w:rPr>
        <w:drawing>
          <wp:inline distT="0" distB="0" distL="0" distR="0" wp14:anchorId="2D912521" wp14:editId="344A248D">
            <wp:extent cx="1554480" cy="1167130"/>
            <wp:effectExtent l="0" t="0" r="0" b="6350"/>
            <wp:docPr id="1027" name="图片 1" descr="Column scatter graph"/>
            <wp:cNvGraphicFramePr/>
            <a:graphic xmlns:a="http://schemas.openxmlformats.org/drawingml/2006/main">
              <a:graphicData uri="http://schemas.openxmlformats.org/drawingml/2006/picture">
                <pic:pic xmlns:pic="http://schemas.openxmlformats.org/drawingml/2006/picture">
                  <pic:nvPicPr>
                    <pic:cNvPr id="1027" name="图片 1" descr="Column scatter graph"/>
                    <pic:cNvPicPr/>
                  </pic:nvPicPr>
                  <pic:blipFill>
                    <a:blip r:embed="rId5" cstate="print"/>
                    <a:srcRect/>
                    <a:stretch>
                      <a:fillRect/>
                    </a:stretch>
                  </pic:blipFill>
                  <pic:spPr>
                    <a:xfrm>
                      <a:off x="0" y="0"/>
                      <a:ext cx="1554480" cy="1167130"/>
                    </a:xfrm>
                    <a:prstGeom prst="rect">
                      <a:avLst/>
                    </a:prstGeom>
                  </pic:spPr>
                </pic:pic>
              </a:graphicData>
            </a:graphic>
          </wp:inline>
        </w:drawing>
      </w:r>
      <w:r w:rsidRPr="00E93C2C">
        <w:rPr>
          <w:rFonts w:cs="Times New Roman"/>
          <w:noProof/>
          <w:color w:val="222222"/>
          <w:sz w:val="20"/>
          <w:szCs w:val="20"/>
          <w:shd w:val="clear" w:color="auto" w:fill="FFFFFF"/>
        </w:rPr>
        <w:drawing>
          <wp:inline distT="0" distB="0" distL="0" distR="0" wp14:anchorId="1B690C97" wp14:editId="2814CEC1">
            <wp:extent cx="1541145" cy="1134745"/>
            <wp:effectExtent l="0" t="0" r="13334" b="8255"/>
            <wp:docPr id="1028" name="图片 4" descr="Column scatter graph"/>
            <wp:cNvGraphicFramePr/>
            <a:graphic xmlns:a="http://schemas.openxmlformats.org/drawingml/2006/main">
              <a:graphicData uri="http://schemas.openxmlformats.org/drawingml/2006/picture">
                <pic:pic xmlns:pic="http://schemas.openxmlformats.org/drawingml/2006/picture">
                  <pic:nvPicPr>
                    <pic:cNvPr id="1028" name="图片 4" descr="Column scatter graph"/>
                    <pic:cNvPicPr/>
                  </pic:nvPicPr>
                  <pic:blipFill>
                    <a:blip r:embed="rId6" cstate="print"/>
                    <a:srcRect/>
                    <a:stretch>
                      <a:fillRect/>
                    </a:stretch>
                  </pic:blipFill>
                  <pic:spPr>
                    <a:xfrm>
                      <a:off x="0" y="0"/>
                      <a:ext cx="1541145" cy="1134745"/>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2"/>
        <w:gridCol w:w="2712"/>
        <w:gridCol w:w="2921"/>
      </w:tblGrid>
      <w:tr w:rsidR="00B834B4" w:rsidRPr="00EF12D2" w14:paraId="49078015" w14:textId="77777777">
        <w:trPr>
          <w:trHeight w:val="1818"/>
          <w:jc w:val="center"/>
        </w:trPr>
        <w:tc>
          <w:tcPr>
            <w:tcW w:w="2782" w:type="dxa"/>
          </w:tcPr>
          <w:p w14:paraId="61B44144"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lastRenderedPageBreak/>
              <w:drawing>
                <wp:inline distT="0" distB="0" distL="0" distR="0" wp14:anchorId="414C8A0B" wp14:editId="3058B039">
                  <wp:extent cx="1487805" cy="1089025"/>
                  <wp:effectExtent l="0" t="0" r="5715" b="8255"/>
                  <wp:docPr id="1029" name="图片 5" descr="Column scatter graph"/>
                  <wp:cNvGraphicFramePr/>
                  <a:graphic xmlns:a="http://schemas.openxmlformats.org/drawingml/2006/main">
                    <a:graphicData uri="http://schemas.openxmlformats.org/drawingml/2006/picture">
                      <pic:pic xmlns:pic="http://schemas.openxmlformats.org/drawingml/2006/picture">
                        <pic:nvPicPr>
                          <pic:cNvPr id="1029" name="图片 5" descr="Column scatter graph"/>
                          <pic:cNvPicPr/>
                        </pic:nvPicPr>
                        <pic:blipFill>
                          <a:blip r:embed="rId7" cstate="print"/>
                          <a:srcRect/>
                          <a:stretch>
                            <a:fillRect/>
                          </a:stretch>
                        </pic:blipFill>
                        <pic:spPr>
                          <a:xfrm>
                            <a:off x="0" y="0"/>
                            <a:ext cx="1487805" cy="1089025"/>
                          </a:xfrm>
                          <a:prstGeom prst="rect">
                            <a:avLst/>
                          </a:prstGeom>
                        </pic:spPr>
                      </pic:pic>
                    </a:graphicData>
                  </a:graphic>
                </wp:inline>
              </w:drawing>
            </w:r>
          </w:p>
        </w:tc>
        <w:tc>
          <w:tcPr>
            <w:tcW w:w="2707" w:type="dxa"/>
          </w:tcPr>
          <w:p w14:paraId="5B38BD6B"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556D4795" wp14:editId="5C6006E7">
                  <wp:extent cx="1579245" cy="1160145"/>
                  <wp:effectExtent l="0" t="0" r="5715" b="13334"/>
                  <wp:docPr id="1030" name="图片 6" descr="Column scatter graph"/>
                  <wp:cNvGraphicFramePr/>
                  <a:graphic xmlns:a="http://schemas.openxmlformats.org/drawingml/2006/main">
                    <a:graphicData uri="http://schemas.openxmlformats.org/drawingml/2006/picture">
                      <pic:pic xmlns:pic="http://schemas.openxmlformats.org/drawingml/2006/picture">
                        <pic:nvPicPr>
                          <pic:cNvPr id="1030" name="图片 6" descr="Column scatter graph"/>
                          <pic:cNvPicPr/>
                        </pic:nvPicPr>
                        <pic:blipFill>
                          <a:blip r:embed="rId8" cstate="print"/>
                          <a:srcRect/>
                          <a:stretch>
                            <a:fillRect/>
                          </a:stretch>
                        </pic:blipFill>
                        <pic:spPr>
                          <a:xfrm>
                            <a:off x="0" y="0"/>
                            <a:ext cx="1579245" cy="1160145"/>
                          </a:xfrm>
                          <a:prstGeom prst="rect">
                            <a:avLst/>
                          </a:prstGeom>
                        </pic:spPr>
                      </pic:pic>
                    </a:graphicData>
                  </a:graphic>
                </wp:inline>
              </w:drawing>
            </w:r>
          </w:p>
        </w:tc>
        <w:tc>
          <w:tcPr>
            <w:tcW w:w="2921" w:type="dxa"/>
          </w:tcPr>
          <w:p w14:paraId="2AC7AB68"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6AF5BBB5" wp14:editId="702F0F41">
                  <wp:extent cx="1546225" cy="1142365"/>
                  <wp:effectExtent l="0" t="0" r="8255" b="635"/>
                  <wp:docPr id="1031" name="图片 7" descr="Column scatter graph"/>
                  <wp:cNvGraphicFramePr/>
                  <a:graphic xmlns:a="http://schemas.openxmlformats.org/drawingml/2006/main">
                    <a:graphicData uri="http://schemas.openxmlformats.org/drawingml/2006/picture">
                      <pic:pic xmlns:pic="http://schemas.openxmlformats.org/drawingml/2006/picture">
                        <pic:nvPicPr>
                          <pic:cNvPr id="1031" name="图片 7" descr="Column scatter graph"/>
                          <pic:cNvPicPr/>
                        </pic:nvPicPr>
                        <pic:blipFill>
                          <a:blip r:embed="rId9" cstate="print"/>
                          <a:srcRect/>
                          <a:stretch>
                            <a:fillRect/>
                          </a:stretch>
                        </pic:blipFill>
                        <pic:spPr>
                          <a:xfrm>
                            <a:off x="0" y="0"/>
                            <a:ext cx="1546225" cy="1142365"/>
                          </a:xfrm>
                          <a:prstGeom prst="rect">
                            <a:avLst/>
                          </a:prstGeom>
                        </pic:spPr>
                      </pic:pic>
                    </a:graphicData>
                  </a:graphic>
                </wp:inline>
              </w:drawing>
            </w:r>
          </w:p>
        </w:tc>
      </w:tr>
    </w:tbl>
    <w:p w14:paraId="3FC99486" w14:textId="1156347F" w:rsidR="00B834B4" w:rsidRPr="00E93C2C" w:rsidRDefault="00000000" w:rsidP="00E93C2C">
      <w:pPr>
        <w:jc w:val="center"/>
        <w:rPr>
          <w:rFonts w:cs="Times New Roman"/>
          <w:sz w:val="20"/>
          <w:szCs w:val="20"/>
        </w:rPr>
      </w:pPr>
      <w:r w:rsidRPr="00E93C2C">
        <w:rPr>
          <w:rFonts w:cs="Times New Roman"/>
          <w:b/>
          <w:bCs/>
          <w:sz w:val="20"/>
          <w:szCs w:val="20"/>
          <w:shd w:val="clear" w:color="auto" w:fill="FFFFFF"/>
        </w:rPr>
        <w:t>Figure 1.</w:t>
      </w:r>
      <w:r w:rsidRPr="00E93C2C">
        <w:rPr>
          <w:rFonts w:cs="Times New Roman"/>
          <w:sz w:val="20"/>
          <w:szCs w:val="20"/>
          <w:shd w:val="clear" w:color="auto" w:fill="FFFFFF"/>
        </w:rPr>
        <w:t xml:space="preserve"> Differences in lymphocyte subsets among hematological malignancies</w:t>
      </w:r>
      <w:r w:rsidR="00EF12D2" w:rsidRPr="00E93C2C">
        <w:rPr>
          <w:rFonts w:cs="Times New Roman"/>
          <w:sz w:val="20"/>
          <w:szCs w:val="20"/>
          <w:shd w:val="clear" w:color="auto" w:fill="FFFFFF"/>
        </w:rPr>
        <w:t>.</w:t>
      </w:r>
    </w:p>
    <w:p w14:paraId="3353ABED" w14:textId="77777777" w:rsidR="00B834B4" w:rsidRPr="00EF12D2" w:rsidRDefault="00B834B4" w:rsidP="00E93C2C">
      <w:pPr>
        <w:rPr>
          <w:rFonts w:cs="Times New Roman"/>
          <w:shd w:val="clear" w:color="auto" w:fill="FFFFFF"/>
        </w:rPr>
      </w:pPr>
    </w:p>
    <w:p w14:paraId="2BF7755F" w14:textId="77777777" w:rsidR="00B834B4" w:rsidRPr="00E93C2C" w:rsidRDefault="00000000" w:rsidP="00E93C2C">
      <w:pPr>
        <w:rPr>
          <w:rFonts w:cs="Times New Roman"/>
          <w:b/>
          <w:bCs/>
        </w:rPr>
      </w:pPr>
      <w:r w:rsidRPr="00E93C2C">
        <w:rPr>
          <w:rFonts w:cs="Times New Roman"/>
          <w:b/>
          <w:bCs/>
          <w:shd w:val="clear" w:color="auto" w:fill="FFFFFF"/>
        </w:rPr>
        <w:t>3.3. Predictive efficacy of lymphocyte subsets for infection in hematological malignancies.</w:t>
      </w:r>
    </w:p>
    <w:p w14:paraId="4F5E81EC" w14:textId="77777777" w:rsidR="00B834B4" w:rsidRDefault="00000000" w:rsidP="00EF12D2">
      <w:pPr>
        <w:rPr>
          <w:rFonts w:cs="Times New Roman"/>
          <w:shd w:val="clear" w:color="auto" w:fill="FFFFFF"/>
        </w:rPr>
      </w:pPr>
      <w:r w:rsidRPr="00EF12D2">
        <w:rPr>
          <w:rFonts w:cs="Times New Roman"/>
          <w:shd w:val="clear" w:color="auto" w:fill="FFFFFF"/>
        </w:rPr>
        <w:t>According to the area under the ROC curve (AUC), B cell count showed the highest predictive efficacy (AUC = 0.532), followed by CD4+ T cell count, total lymphocytes (AUC = 0.50), total T cell count (AUC = 0.47), CD8+ T cell count (AUC = 0.44), and NK cell count (AUC = 0.31) (</w:t>
      </w:r>
      <w:r w:rsidRPr="00E93C2C">
        <w:rPr>
          <w:rFonts w:cs="Times New Roman"/>
          <w:b/>
          <w:bCs/>
          <w:shd w:val="clear" w:color="auto" w:fill="FFFFFF"/>
        </w:rPr>
        <w:t>Figure 2</w:t>
      </w:r>
      <w:r w:rsidRPr="00EF12D2">
        <w:rPr>
          <w:rFonts w:cs="Times New Roman"/>
          <w:shd w:val="clear" w:color="auto" w:fill="FFFFFF"/>
        </w:rPr>
        <w:t>). Because the p-values of the area under the ROC curve for the above indicators were greater than 0.05 (</w:t>
      </w:r>
      <w:r w:rsidRPr="00E93C2C">
        <w:rPr>
          <w:rFonts w:cs="Times New Roman"/>
          <w:b/>
          <w:bCs/>
          <w:shd w:val="clear" w:color="auto" w:fill="FFFFFF"/>
        </w:rPr>
        <w:t>Figure 3</w:t>
      </w:r>
      <w:r w:rsidRPr="00EF12D2">
        <w:rPr>
          <w:rFonts w:cs="Times New Roman"/>
          <w:shd w:val="clear" w:color="auto" w:fill="FFFFFF"/>
        </w:rPr>
        <w:t>), the median of each indicator was used as the cutoff value; those with values greater than or equal to the cutoff were assigned to the high group, and those with values less than the cutoff were assigned to the low group (</w:t>
      </w:r>
      <w:r w:rsidRPr="00E93C2C">
        <w:rPr>
          <w:rFonts w:cs="Times New Roman"/>
          <w:b/>
          <w:bCs/>
          <w:shd w:val="clear" w:color="auto" w:fill="FFFFFF"/>
        </w:rPr>
        <w:t>Figure 4</w:t>
      </w:r>
      <w:r w:rsidRPr="00EF12D2">
        <w:rPr>
          <w:rFonts w:cs="Times New Roman"/>
          <w:shd w:val="clear" w:color="auto" w:fill="FFFFFF"/>
        </w:rPr>
        <w:t>).</w:t>
      </w:r>
    </w:p>
    <w:p w14:paraId="503F05C1" w14:textId="77777777" w:rsidR="00EF12D2" w:rsidRPr="00EF12D2" w:rsidRDefault="00EF12D2" w:rsidP="00E93C2C">
      <w:pPr>
        <w:rPr>
          <w:rFonts w:cs="Times New Roman"/>
          <w:shd w:val="clear" w:color="auto" w:fill="FFFFFF"/>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4"/>
        <w:gridCol w:w="3213"/>
        <w:gridCol w:w="3211"/>
      </w:tblGrid>
      <w:tr w:rsidR="00B834B4" w:rsidRPr="00EF12D2" w14:paraId="1C055997" w14:textId="77777777" w:rsidTr="00E93C2C">
        <w:trPr>
          <w:trHeight w:val="2511"/>
        </w:trPr>
        <w:tc>
          <w:tcPr>
            <w:tcW w:w="1667" w:type="pct"/>
            <w:shd w:val="clear" w:color="auto" w:fill="FFFFFF"/>
          </w:tcPr>
          <w:p w14:paraId="77AB0E5A" w14:textId="77777777" w:rsidR="00B834B4" w:rsidRPr="00E93C2C" w:rsidRDefault="00000000" w:rsidP="00E93C2C">
            <w:pPr>
              <w:jc w:val="center"/>
              <w:rPr>
                <w:rFonts w:cs="Times New Roman"/>
                <w:color w:val="000000"/>
                <w:sz w:val="20"/>
                <w:szCs w:val="20"/>
                <w:shd w:val="clear" w:color="auto" w:fill="FFFFFF"/>
              </w:rPr>
            </w:pPr>
            <w:r w:rsidRPr="00E93C2C">
              <w:rPr>
                <w:rFonts w:cs="Times New Roman"/>
                <w:noProof/>
                <w:color w:val="000000"/>
                <w:sz w:val="20"/>
                <w:szCs w:val="20"/>
              </w:rPr>
              <w:drawing>
                <wp:inline distT="0" distB="0" distL="0" distR="0" wp14:anchorId="58691E3B" wp14:editId="53B9B3BF">
                  <wp:extent cx="1537970" cy="1542415"/>
                  <wp:effectExtent l="0" t="0" r="1270" b="12065"/>
                  <wp:docPr id="1032" name="图片 3" descr="E:/360MoveData/Users/NING MEI/Desktop/淋巴细胞亚群/ROC 曲线_ ROC of NK细胞计数.jpgROC 曲线_ ROC of NK细胞计数"/>
                  <wp:cNvGraphicFramePr/>
                  <a:graphic xmlns:a="http://schemas.openxmlformats.org/drawingml/2006/main">
                    <a:graphicData uri="http://schemas.openxmlformats.org/drawingml/2006/picture">
                      <pic:pic xmlns:pic="http://schemas.openxmlformats.org/drawingml/2006/picture">
                        <pic:nvPicPr>
                          <pic:cNvPr id="1032" name="图片 3" descr="E:/360MoveData/Users/NING MEI/Desktop/淋巴细胞亚群/ROC 曲线_ ROC of NK细胞计数.jpgROC 曲线_ ROC of NK细胞计数"/>
                          <pic:cNvPicPr/>
                        </pic:nvPicPr>
                        <pic:blipFill>
                          <a:blip r:embed="rId10" cstate="print"/>
                          <a:srcRect/>
                          <a:stretch>
                            <a:fillRect/>
                          </a:stretch>
                        </pic:blipFill>
                        <pic:spPr>
                          <a:xfrm>
                            <a:off x="0" y="0"/>
                            <a:ext cx="1537970" cy="1542415"/>
                          </a:xfrm>
                          <a:prstGeom prst="rect">
                            <a:avLst/>
                          </a:prstGeom>
                          <a:ln>
                            <a:noFill/>
                          </a:ln>
                        </pic:spPr>
                      </pic:pic>
                    </a:graphicData>
                  </a:graphic>
                </wp:inline>
              </w:drawing>
            </w:r>
          </w:p>
        </w:tc>
        <w:tc>
          <w:tcPr>
            <w:tcW w:w="1667" w:type="pct"/>
            <w:shd w:val="clear" w:color="auto" w:fill="FFFFFF"/>
          </w:tcPr>
          <w:p w14:paraId="785287CE" w14:textId="77777777" w:rsidR="00B834B4" w:rsidRPr="00E93C2C" w:rsidRDefault="00000000" w:rsidP="00E93C2C">
            <w:pPr>
              <w:jc w:val="center"/>
              <w:rPr>
                <w:rFonts w:cs="Times New Roman"/>
                <w:color w:val="000000"/>
                <w:sz w:val="20"/>
                <w:szCs w:val="20"/>
                <w:shd w:val="clear" w:color="auto" w:fill="FFFFFF"/>
              </w:rPr>
            </w:pPr>
            <w:r w:rsidRPr="00E93C2C">
              <w:rPr>
                <w:rFonts w:cs="Times New Roman"/>
                <w:noProof/>
                <w:color w:val="000000"/>
                <w:sz w:val="20"/>
                <w:szCs w:val="20"/>
              </w:rPr>
              <w:drawing>
                <wp:inline distT="0" distB="0" distL="0" distR="0" wp14:anchorId="163178F6" wp14:editId="02FA2F4A">
                  <wp:extent cx="1492250" cy="1504950"/>
                  <wp:effectExtent l="0" t="0" r="1270" b="3810"/>
                  <wp:docPr id="1033" name="图片 2" descr="E:/360MoveData/Users/NING MEI/Desktop/淋巴细胞亚群/ROC 曲线_ ROC of 总T细胞计数.jpgROC 曲线_ ROC of 总T细胞计数"/>
                  <wp:cNvGraphicFramePr/>
                  <a:graphic xmlns:a="http://schemas.openxmlformats.org/drawingml/2006/main">
                    <a:graphicData uri="http://schemas.openxmlformats.org/drawingml/2006/picture">
                      <pic:pic xmlns:pic="http://schemas.openxmlformats.org/drawingml/2006/picture">
                        <pic:nvPicPr>
                          <pic:cNvPr id="1033" name="图片 2" descr="E:/360MoveData/Users/NING MEI/Desktop/淋巴细胞亚群/ROC 曲线_ ROC of 总T细胞计数.jpgROC 曲线_ ROC of 总T细胞计数"/>
                          <pic:cNvPicPr/>
                        </pic:nvPicPr>
                        <pic:blipFill>
                          <a:blip r:embed="rId11" cstate="print"/>
                          <a:srcRect/>
                          <a:stretch>
                            <a:fillRect/>
                          </a:stretch>
                        </pic:blipFill>
                        <pic:spPr>
                          <a:xfrm>
                            <a:off x="0" y="0"/>
                            <a:ext cx="1492250" cy="1504950"/>
                          </a:xfrm>
                          <a:prstGeom prst="rect">
                            <a:avLst/>
                          </a:prstGeom>
                          <a:ln>
                            <a:noFill/>
                          </a:ln>
                        </pic:spPr>
                      </pic:pic>
                    </a:graphicData>
                  </a:graphic>
                </wp:inline>
              </w:drawing>
            </w:r>
          </w:p>
        </w:tc>
        <w:tc>
          <w:tcPr>
            <w:tcW w:w="1667" w:type="pct"/>
            <w:shd w:val="clear" w:color="auto" w:fill="FFFFFF"/>
          </w:tcPr>
          <w:p w14:paraId="1130E672" w14:textId="77777777" w:rsidR="00B834B4" w:rsidRPr="00E93C2C" w:rsidRDefault="00000000" w:rsidP="00E93C2C">
            <w:pPr>
              <w:jc w:val="center"/>
              <w:rPr>
                <w:rFonts w:cs="Times New Roman"/>
                <w:color w:val="000000"/>
                <w:sz w:val="20"/>
                <w:szCs w:val="20"/>
              </w:rPr>
            </w:pPr>
            <w:r w:rsidRPr="00E93C2C">
              <w:rPr>
                <w:rFonts w:cs="Times New Roman"/>
                <w:noProof/>
                <w:color w:val="000000"/>
                <w:sz w:val="20"/>
                <w:szCs w:val="20"/>
              </w:rPr>
              <w:drawing>
                <wp:inline distT="0" distB="0" distL="0" distR="0" wp14:anchorId="52F4ED05" wp14:editId="1935A912">
                  <wp:extent cx="1533525" cy="1536700"/>
                  <wp:effectExtent l="0" t="0" r="5715" b="2540"/>
                  <wp:docPr id="1034" name="图片 3" descr="E:/360MoveData/Users/NING MEI/Desktop/淋巴细胞亚群/ROC 曲线_ ROC of CD4+T细胞计数.jpgROC 曲线_ ROC of CD4+T细胞计数"/>
                  <wp:cNvGraphicFramePr/>
                  <a:graphic xmlns:a="http://schemas.openxmlformats.org/drawingml/2006/main">
                    <a:graphicData uri="http://schemas.openxmlformats.org/drawingml/2006/picture">
                      <pic:pic xmlns:pic="http://schemas.openxmlformats.org/drawingml/2006/picture">
                        <pic:nvPicPr>
                          <pic:cNvPr id="1034" name="图片 3" descr="E:/360MoveData/Users/NING MEI/Desktop/淋巴细胞亚群/ROC 曲线_ ROC of CD4+T细胞计数.jpgROC 曲线_ ROC of CD4+T细胞计数"/>
                          <pic:cNvPicPr/>
                        </pic:nvPicPr>
                        <pic:blipFill>
                          <a:blip r:embed="rId12" cstate="print"/>
                          <a:srcRect/>
                          <a:stretch>
                            <a:fillRect/>
                          </a:stretch>
                        </pic:blipFill>
                        <pic:spPr>
                          <a:xfrm>
                            <a:off x="0" y="0"/>
                            <a:ext cx="1533525" cy="1536700"/>
                          </a:xfrm>
                          <a:prstGeom prst="rect">
                            <a:avLst/>
                          </a:prstGeom>
                          <a:ln>
                            <a:noFill/>
                          </a:ln>
                        </pic:spPr>
                      </pic:pic>
                    </a:graphicData>
                  </a:graphic>
                </wp:inline>
              </w:drawing>
            </w:r>
          </w:p>
        </w:tc>
      </w:tr>
      <w:tr w:rsidR="00B834B4" w:rsidRPr="00EF12D2" w14:paraId="4D0B1A89" w14:textId="77777777" w:rsidTr="00E93C2C">
        <w:trPr>
          <w:trHeight w:val="2511"/>
        </w:trPr>
        <w:tc>
          <w:tcPr>
            <w:tcW w:w="1667" w:type="pct"/>
            <w:shd w:val="clear" w:color="auto" w:fill="FFFFFF"/>
          </w:tcPr>
          <w:p w14:paraId="144AB5D9" w14:textId="77777777" w:rsidR="00B834B4" w:rsidRPr="00E93C2C" w:rsidRDefault="00000000" w:rsidP="00E93C2C">
            <w:pPr>
              <w:jc w:val="center"/>
              <w:rPr>
                <w:rFonts w:cs="Times New Roman"/>
                <w:color w:val="000000"/>
                <w:sz w:val="20"/>
                <w:szCs w:val="20"/>
                <w:shd w:val="clear" w:color="auto" w:fill="FFFFFF"/>
              </w:rPr>
            </w:pPr>
            <w:r w:rsidRPr="00E93C2C">
              <w:rPr>
                <w:rFonts w:cs="Times New Roman"/>
                <w:noProof/>
                <w:color w:val="000000"/>
                <w:sz w:val="20"/>
                <w:szCs w:val="20"/>
              </w:rPr>
              <w:drawing>
                <wp:inline distT="0" distB="0" distL="0" distR="0" wp14:anchorId="3AA3D043" wp14:editId="39796113">
                  <wp:extent cx="1492250" cy="1529715"/>
                  <wp:effectExtent l="0" t="0" r="1270" b="9525"/>
                  <wp:docPr id="1035" name="图片 4" descr="E:/360MoveData/Users/NING MEI/Desktop/淋巴细胞亚群/ROC 曲线_ ROC of CD8+T细胞计数.jpgROC 曲线_ ROC of CD8+T细胞计数"/>
                  <wp:cNvGraphicFramePr/>
                  <a:graphic xmlns:a="http://schemas.openxmlformats.org/drawingml/2006/main">
                    <a:graphicData uri="http://schemas.openxmlformats.org/drawingml/2006/picture">
                      <pic:pic xmlns:pic="http://schemas.openxmlformats.org/drawingml/2006/picture">
                        <pic:nvPicPr>
                          <pic:cNvPr id="1035" name="图片 4" descr="E:/360MoveData/Users/NING MEI/Desktop/淋巴细胞亚群/ROC 曲线_ ROC of CD8+T细胞计数.jpgROC 曲线_ ROC of CD8+T细胞计数"/>
                          <pic:cNvPicPr/>
                        </pic:nvPicPr>
                        <pic:blipFill>
                          <a:blip r:embed="rId13" cstate="print"/>
                          <a:srcRect/>
                          <a:stretch>
                            <a:fillRect/>
                          </a:stretch>
                        </pic:blipFill>
                        <pic:spPr>
                          <a:xfrm>
                            <a:off x="0" y="0"/>
                            <a:ext cx="1492250" cy="1529715"/>
                          </a:xfrm>
                          <a:prstGeom prst="rect">
                            <a:avLst/>
                          </a:prstGeom>
                          <a:ln>
                            <a:noFill/>
                          </a:ln>
                        </pic:spPr>
                      </pic:pic>
                    </a:graphicData>
                  </a:graphic>
                </wp:inline>
              </w:drawing>
            </w:r>
          </w:p>
        </w:tc>
        <w:tc>
          <w:tcPr>
            <w:tcW w:w="1667" w:type="pct"/>
            <w:shd w:val="clear" w:color="auto" w:fill="FFFFFF"/>
          </w:tcPr>
          <w:p w14:paraId="112EFDF5" w14:textId="77777777" w:rsidR="00B834B4" w:rsidRPr="00E93C2C" w:rsidRDefault="00000000" w:rsidP="00E93C2C">
            <w:pPr>
              <w:jc w:val="center"/>
              <w:rPr>
                <w:rFonts w:cs="Times New Roman"/>
                <w:color w:val="000000"/>
                <w:sz w:val="20"/>
                <w:szCs w:val="20"/>
                <w:shd w:val="clear" w:color="auto" w:fill="FFFFFF"/>
              </w:rPr>
            </w:pPr>
            <w:r w:rsidRPr="00E93C2C">
              <w:rPr>
                <w:rFonts w:cs="Times New Roman"/>
                <w:noProof/>
                <w:color w:val="000000"/>
                <w:sz w:val="20"/>
                <w:szCs w:val="20"/>
              </w:rPr>
              <w:drawing>
                <wp:inline distT="0" distB="0" distL="0" distR="0" wp14:anchorId="008DDB5D" wp14:editId="5D2540DF">
                  <wp:extent cx="1539240" cy="1551305"/>
                  <wp:effectExtent l="0" t="0" r="0" b="3175"/>
                  <wp:docPr id="1036" name="图片 5" descr="E:/360MoveData/Users/NING MEI/Desktop/淋巴细胞亚群/ROC 曲线_ ROC of B细胞计数.jpgROC 曲线_ ROC of B细胞计数"/>
                  <wp:cNvGraphicFramePr/>
                  <a:graphic xmlns:a="http://schemas.openxmlformats.org/drawingml/2006/main">
                    <a:graphicData uri="http://schemas.openxmlformats.org/drawingml/2006/picture">
                      <pic:pic xmlns:pic="http://schemas.openxmlformats.org/drawingml/2006/picture">
                        <pic:nvPicPr>
                          <pic:cNvPr id="1036" name="图片 5" descr="E:/360MoveData/Users/NING MEI/Desktop/淋巴细胞亚群/ROC 曲线_ ROC of B细胞计数.jpgROC 曲线_ ROC of B细胞计数"/>
                          <pic:cNvPicPr/>
                        </pic:nvPicPr>
                        <pic:blipFill>
                          <a:blip r:embed="rId14" cstate="print"/>
                          <a:srcRect/>
                          <a:stretch>
                            <a:fillRect/>
                          </a:stretch>
                        </pic:blipFill>
                        <pic:spPr>
                          <a:xfrm>
                            <a:off x="0" y="0"/>
                            <a:ext cx="1539240" cy="1551305"/>
                          </a:xfrm>
                          <a:prstGeom prst="rect">
                            <a:avLst/>
                          </a:prstGeom>
                          <a:ln>
                            <a:noFill/>
                          </a:ln>
                        </pic:spPr>
                      </pic:pic>
                    </a:graphicData>
                  </a:graphic>
                </wp:inline>
              </w:drawing>
            </w:r>
          </w:p>
        </w:tc>
        <w:tc>
          <w:tcPr>
            <w:tcW w:w="1667" w:type="pct"/>
            <w:shd w:val="clear" w:color="auto" w:fill="FFFFFF"/>
            <w:vAlign w:val="center"/>
          </w:tcPr>
          <w:p w14:paraId="5064FB57" w14:textId="77777777" w:rsidR="00B834B4" w:rsidRPr="00E93C2C" w:rsidRDefault="00B834B4" w:rsidP="00E93C2C">
            <w:pPr>
              <w:jc w:val="center"/>
              <w:rPr>
                <w:rFonts w:cs="Times New Roman"/>
                <w:color w:val="000000"/>
                <w:sz w:val="20"/>
                <w:szCs w:val="20"/>
              </w:rPr>
            </w:pPr>
          </w:p>
        </w:tc>
      </w:tr>
    </w:tbl>
    <w:p w14:paraId="3E05E31F" w14:textId="2248C5DA" w:rsidR="00B834B4" w:rsidRPr="00E93C2C" w:rsidRDefault="00000000" w:rsidP="00E93C2C">
      <w:pPr>
        <w:jc w:val="center"/>
        <w:rPr>
          <w:rFonts w:cs="Times New Roman"/>
          <w:sz w:val="20"/>
          <w:szCs w:val="20"/>
          <w:shd w:val="clear" w:color="auto" w:fill="FFFFFF"/>
        </w:rPr>
      </w:pPr>
      <w:r w:rsidRPr="00E93C2C">
        <w:rPr>
          <w:rFonts w:cs="Times New Roman"/>
          <w:b/>
          <w:bCs/>
          <w:sz w:val="20"/>
          <w:szCs w:val="20"/>
          <w:shd w:val="clear" w:color="auto" w:fill="FFFFFF"/>
        </w:rPr>
        <w:t>Figure 2.</w:t>
      </w:r>
      <w:r w:rsidRPr="00E93C2C">
        <w:rPr>
          <w:rFonts w:cs="Times New Roman"/>
          <w:sz w:val="20"/>
          <w:szCs w:val="20"/>
          <w:shd w:val="clear" w:color="auto" w:fill="FFFFFF"/>
        </w:rPr>
        <w:t xml:space="preserve"> Predictive performance of lymphocyte subsets for infection in hematological malignancies</w:t>
      </w:r>
      <w:r w:rsidR="00EF12D2" w:rsidRPr="00E93C2C">
        <w:rPr>
          <w:rFonts w:cs="Times New Roman"/>
          <w:sz w:val="20"/>
          <w:szCs w:val="20"/>
          <w:shd w:val="clear" w:color="auto" w:fill="FFFFFF"/>
        </w:rPr>
        <w:t>.</w:t>
      </w:r>
    </w:p>
    <w:p w14:paraId="02E6DE94" w14:textId="77777777" w:rsidR="00B834B4" w:rsidRDefault="00B834B4" w:rsidP="00EF12D2">
      <w:pPr>
        <w:rPr>
          <w:rFonts w:cs="Times New Roman"/>
          <w:shd w:val="clear" w:color="auto" w:fill="FFFFFF"/>
        </w:rPr>
      </w:pPr>
    </w:p>
    <w:p w14:paraId="2BBC63C6" w14:textId="77777777" w:rsidR="00EF12D2" w:rsidRPr="00E93C2C" w:rsidRDefault="00EF12D2">
      <w:pPr>
        <w:jc w:val="center"/>
        <w:rPr>
          <w:rFonts w:cs="Times New Roman"/>
          <w:color w:val="000000"/>
          <w:sz w:val="20"/>
          <w:szCs w:val="20"/>
          <w:shd w:val="clear" w:color="auto" w:fill="FFFFFF"/>
        </w:rPr>
      </w:pPr>
      <w:r w:rsidRPr="00E93C2C">
        <w:rPr>
          <w:rFonts w:cs="Times New Roman"/>
          <w:noProof/>
          <w:color w:val="000000"/>
          <w:sz w:val="20"/>
          <w:szCs w:val="20"/>
          <w:shd w:val="clear" w:color="auto" w:fill="FFFFFF"/>
        </w:rPr>
        <w:drawing>
          <wp:inline distT="0" distB="0" distL="0" distR="0" wp14:anchorId="12024740" wp14:editId="7C742203">
            <wp:extent cx="2136140" cy="1808480"/>
            <wp:effectExtent l="0" t="0" r="10160" b="7620"/>
            <wp:docPr id="914740719" name="图片 14" descr="Data 1"/>
            <wp:cNvGraphicFramePr/>
            <a:graphic xmlns:a="http://schemas.openxmlformats.org/drawingml/2006/main">
              <a:graphicData uri="http://schemas.openxmlformats.org/drawingml/2006/picture">
                <pic:pic xmlns:pic="http://schemas.openxmlformats.org/drawingml/2006/picture">
                  <pic:nvPicPr>
                    <pic:cNvPr id="1037" name="图片 14" descr="Data 1"/>
                    <pic:cNvPicPr/>
                  </pic:nvPicPr>
                  <pic:blipFill>
                    <a:blip r:embed="rId15" cstate="print"/>
                    <a:srcRect/>
                    <a:stretch>
                      <a:fillRect/>
                    </a:stretch>
                  </pic:blipFill>
                  <pic:spPr>
                    <a:xfrm>
                      <a:off x="0" y="0"/>
                      <a:ext cx="2136140" cy="1808480"/>
                    </a:xfrm>
                    <a:prstGeom prst="rect">
                      <a:avLst/>
                    </a:prstGeom>
                  </pic:spPr>
                </pic:pic>
              </a:graphicData>
            </a:graphic>
          </wp:inline>
        </w:drawing>
      </w:r>
    </w:p>
    <w:p w14:paraId="554B7164" w14:textId="6F5064CB" w:rsidR="00EF12D2" w:rsidRPr="00E93C2C" w:rsidRDefault="00EF12D2" w:rsidP="00E93C2C">
      <w:pPr>
        <w:jc w:val="center"/>
        <w:rPr>
          <w:rFonts w:eastAsia="Microsoft YaHei" w:cs="Times New Roman"/>
          <w:color w:val="0F182A"/>
          <w:sz w:val="20"/>
          <w:szCs w:val="20"/>
        </w:rPr>
      </w:pPr>
      <w:r w:rsidRPr="00E93C2C">
        <w:rPr>
          <w:rFonts w:eastAsia="Microsoft YaHei" w:cs="Times New Roman"/>
          <w:b/>
          <w:bCs/>
          <w:color w:val="0F182A"/>
          <w:sz w:val="20"/>
          <w:szCs w:val="20"/>
        </w:rPr>
        <w:t>Figure 3.</w:t>
      </w:r>
      <w:r w:rsidRPr="00E93C2C">
        <w:rPr>
          <w:rFonts w:eastAsia="Microsoft YaHei" w:cs="Times New Roman"/>
          <w:color w:val="0F182A"/>
          <w:sz w:val="20"/>
          <w:szCs w:val="20"/>
        </w:rPr>
        <w:t xml:space="preserve"> Truncated values determined based on </w:t>
      </w:r>
      <w:r w:rsidR="00C64060">
        <w:rPr>
          <w:rFonts w:eastAsia="Microsoft YaHei" w:cs="Times New Roman"/>
          <w:color w:val="0F182A"/>
          <w:sz w:val="20"/>
          <w:szCs w:val="20"/>
        </w:rPr>
        <w:t xml:space="preserve">the </w:t>
      </w:r>
      <w:r w:rsidRPr="00E93C2C">
        <w:rPr>
          <w:rFonts w:eastAsia="Microsoft YaHei" w:cs="Times New Roman"/>
          <w:color w:val="0F182A"/>
          <w:sz w:val="20"/>
          <w:szCs w:val="20"/>
        </w:rPr>
        <w:t>ROC curve.</w:t>
      </w:r>
    </w:p>
    <w:p w14:paraId="5654D873" w14:textId="77777777" w:rsidR="00EF12D2" w:rsidRDefault="00EF12D2" w:rsidP="00EF12D2">
      <w:pPr>
        <w:rPr>
          <w:rFonts w:eastAsia="Microsoft YaHei" w:cs="Times New Roman"/>
          <w:color w:val="0F182A"/>
        </w:rPr>
      </w:pPr>
    </w:p>
    <w:p w14:paraId="47F62682" w14:textId="77777777" w:rsidR="00EF12D2" w:rsidRPr="00E93C2C" w:rsidRDefault="00EF12D2">
      <w:pPr>
        <w:jc w:val="center"/>
        <w:rPr>
          <w:rFonts w:cs="Times New Roman"/>
          <w:color w:val="000000"/>
          <w:sz w:val="20"/>
          <w:szCs w:val="20"/>
          <w:shd w:val="clear" w:color="auto" w:fill="FFFFFF"/>
        </w:rPr>
      </w:pPr>
      <w:r w:rsidRPr="00E93C2C">
        <w:rPr>
          <w:rFonts w:cs="Times New Roman"/>
          <w:noProof/>
          <w:color w:val="000000"/>
          <w:sz w:val="20"/>
          <w:szCs w:val="20"/>
          <w:shd w:val="clear" w:color="auto" w:fill="FFFFFF"/>
        </w:rPr>
        <w:lastRenderedPageBreak/>
        <w:drawing>
          <wp:inline distT="0" distB="0" distL="0" distR="0" wp14:anchorId="55AD0122" wp14:editId="6911569B">
            <wp:extent cx="2175510" cy="1880235"/>
            <wp:effectExtent l="0" t="0" r="3810" b="9525"/>
            <wp:docPr id="1800428362" name="图片 12" descr="E:/360MoveData/Users/NING MEI/Desktop/淋巴细胞亚群/Data 3.jpgData 3"/>
            <wp:cNvGraphicFramePr/>
            <a:graphic xmlns:a="http://schemas.openxmlformats.org/drawingml/2006/main">
              <a:graphicData uri="http://schemas.openxmlformats.org/drawingml/2006/picture">
                <pic:pic xmlns:pic="http://schemas.openxmlformats.org/drawingml/2006/picture">
                  <pic:nvPicPr>
                    <pic:cNvPr id="1038" name="图片 12" descr="E:/360MoveData/Users/NING MEI/Desktop/淋巴细胞亚群/Data 3.jpgData 3"/>
                    <pic:cNvPicPr/>
                  </pic:nvPicPr>
                  <pic:blipFill>
                    <a:blip r:embed="rId16" cstate="print"/>
                    <a:srcRect/>
                    <a:stretch>
                      <a:fillRect/>
                    </a:stretch>
                  </pic:blipFill>
                  <pic:spPr>
                    <a:xfrm>
                      <a:off x="0" y="0"/>
                      <a:ext cx="2175510" cy="1880235"/>
                    </a:xfrm>
                    <a:prstGeom prst="rect">
                      <a:avLst/>
                    </a:prstGeom>
                  </pic:spPr>
                </pic:pic>
              </a:graphicData>
            </a:graphic>
          </wp:inline>
        </w:drawing>
      </w:r>
    </w:p>
    <w:p w14:paraId="07B9310F" w14:textId="01C102E3" w:rsidR="00EF12D2" w:rsidRPr="00E93C2C" w:rsidRDefault="00EF12D2" w:rsidP="00E93C2C">
      <w:pPr>
        <w:jc w:val="center"/>
        <w:rPr>
          <w:rFonts w:eastAsia="Microsoft YaHei" w:cs="Times New Roman"/>
          <w:color w:val="0F182A"/>
          <w:sz w:val="20"/>
          <w:szCs w:val="20"/>
        </w:rPr>
      </w:pPr>
      <w:r w:rsidRPr="00E93C2C">
        <w:rPr>
          <w:rFonts w:eastAsia="Microsoft YaHei" w:cs="Times New Roman"/>
          <w:b/>
          <w:bCs/>
          <w:color w:val="0F182A"/>
          <w:sz w:val="20"/>
          <w:szCs w:val="20"/>
        </w:rPr>
        <w:t>Figure 4.</w:t>
      </w:r>
      <w:r w:rsidRPr="00E93C2C">
        <w:rPr>
          <w:rFonts w:eastAsia="Microsoft YaHei" w:cs="Times New Roman"/>
          <w:color w:val="0F182A"/>
          <w:sz w:val="20"/>
          <w:szCs w:val="20"/>
        </w:rPr>
        <w:t xml:space="preserve"> Truncation value determined based on </w:t>
      </w:r>
      <w:r w:rsidR="00C64060">
        <w:rPr>
          <w:rFonts w:eastAsia="Microsoft YaHei" w:cs="Times New Roman"/>
          <w:color w:val="0F182A"/>
          <w:sz w:val="20"/>
          <w:szCs w:val="20"/>
        </w:rPr>
        <w:t xml:space="preserve">the </w:t>
      </w:r>
      <w:r w:rsidRPr="00E93C2C">
        <w:rPr>
          <w:rFonts w:eastAsia="Microsoft YaHei" w:cs="Times New Roman"/>
          <w:color w:val="0F182A"/>
          <w:sz w:val="20"/>
          <w:szCs w:val="20"/>
        </w:rPr>
        <w:t>median.</w:t>
      </w:r>
    </w:p>
    <w:p w14:paraId="0BDAD811" w14:textId="77777777" w:rsidR="00EF12D2" w:rsidRPr="00EF12D2" w:rsidRDefault="00EF12D2" w:rsidP="00E93C2C">
      <w:pPr>
        <w:rPr>
          <w:rFonts w:cs="Times New Roman"/>
          <w:shd w:val="clear" w:color="auto" w:fill="FFFFFF"/>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3"/>
        <w:gridCol w:w="2568"/>
        <w:gridCol w:w="3477"/>
      </w:tblGrid>
      <w:tr w:rsidR="00B834B4" w:rsidRPr="00EF12D2" w14:paraId="00983E76" w14:textId="77777777" w:rsidTr="00E93C2C">
        <w:trPr>
          <w:jc w:val="center"/>
        </w:trPr>
        <w:tc>
          <w:tcPr>
            <w:tcW w:w="2282" w:type="pct"/>
          </w:tcPr>
          <w:p w14:paraId="1B2F186D"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230600B4" wp14:editId="3855C691">
                  <wp:extent cx="991870" cy="1490980"/>
                  <wp:effectExtent l="0" t="0" r="11430" b="7620"/>
                  <wp:docPr id="1039" name="图片 13" descr="E:/360MoveData/Users/NING MEI/Desktop/淋巴细胞亚群/NK细胞.jpgNK细胞"/>
                  <wp:cNvGraphicFramePr/>
                  <a:graphic xmlns:a="http://schemas.openxmlformats.org/drawingml/2006/main">
                    <a:graphicData uri="http://schemas.openxmlformats.org/drawingml/2006/picture">
                      <pic:pic xmlns:pic="http://schemas.openxmlformats.org/drawingml/2006/picture">
                        <pic:nvPicPr>
                          <pic:cNvPr id="1039" name="图片 13" descr="E:/360MoveData/Users/NING MEI/Desktop/淋巴细胞亚群/NK细胞.jpgNK细胞"/>
                          <pic:cNvPicPr/>
                        </pic:nvPicPr>
                        <pic:blipFill>
                          <a:blip r:embed="rId17" cstate="print"/>
                          <a:srcRect/>
                          <a:stretch>
                            <a:fillRect/>
                          </a:stretch>
                        </pic:blipFill>
                        <pic:spPr>
                          <a:xfrm>
                            <a:off x="0" y="0"/>
                            <a:ext cx="991870" cy="1490980"/>
                          </a:xfrm>
                          <a:prstGeom prst="rect">
                            <a:avLst/>
                          </a:prstGeom>
                        </pic:spPr>
                      </pic:pic>
                    </a:graphicData>
                  </a:graphic>
                </wp:inline>
              </w:drawing>
            </w:r>
          </w:p>
        </w:tc>
        <w:tc>
          <w:tcPr>
            <w:tcW w:w="495" w:type="pct"/>
          </w:tcPr>
          <w:p w14:paraId="78C8E03E"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4DAF85F6" wp14:editId="61B30DAD">
                  <wp:extent cx="1344930" cy="1433830"/>
                  <wp:effectExtent l="0" t="0" r="1270" b="1270"/>
                  <wp:docPr id="1040" name="图片 15" descr="E:/360MoveData/Users/NING MEI/Desktop/淋巴细胞亚群/总T细胞.jpg总T细胞"/>
                  <wp:cNvGraphicFramePr/>
                  <a:graphic xmlns:a="http://schemas.openxmlformats.org/drawingml/2006/main">
                    <a:graphicData uri="http://schemas.openxmlformats.org/drawingml/2006/picture">
                      <pic:pic xmlns:pic="http://schemas.openxmlformats.org/drawingml/2006/picture">
                        <pic:nvPicPr>
                          <pic:cNvPr id="1040" name="图片 15" descr="E:/360MoveData/Users/NING MEI/Desktop/淋巴细胞亚群/总T细胞.jpg总T细胞"/>
                          <pic:cNvPicPr/>
                        </pic:nvPicPr>
                        <pic:blipFill>
                          <a:blip r:embed="rId18" cstate="print"/>
                          <a:srcRect/>
                          <a:stretch>
                            <a:fillRect/>
                          </a:stretch>
                        </pic:blipFill>
                        <pic:spPr>
                          <a:xfrm>
                            <a:off x="0" y="0"/>
                            <a:ext cx="1344930" cy="1433830"/>
                          </a:xfrm>
                          <a:prstGeom prst="rect">
                            <a:avLst/>
                          </a:prstGeom>
                        </pic:spPr>
                      </pic:pic>
                    </a:graphicData>
                  </a:graphic>
                </wp:inline>
              </w:drawing>
            </w:r>
          </w:p>
        </w:tc>
        <w:tc>
          <w:tcPr>
            <w:tcW w:w="2222" w:type="pct"/>
          </w:tcPr>
          <w:p w14:paraId="4D4F91C6"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2D20817D" wp14:editId="53145181">
                  <wp:extent cx="1345565" cy="1443355"/>
                  <wp:effectExtent l="0" t="0" r="635" b="4445"/>
                  <wp:docPr id="1041" name="图片 16" descr="E:/360MoveData/Users/NING MEI/Desktop/淋巴细胞亚群/CD4+T细胞.jpgCD4+T细胞"/>
                  <wp:cNvGraphicFramePr/>
                  <a:graphic xmlns:a="http://schemas.openxmlformats.org/drawingml/2006/main">
                    <a:graphicData uri="http://schemas.openxmlformats.org/drawingml/2006/picture">
                      <pic:pic xmlns:pic="http://schemas.openxmlformats.org/drawingml/2006/picture">
                        <pic:nvPicPr>
                          <pic:cNvPr id="1041" name="图片 16" descr="E:/360MoveData/Users/NING MEI/Desktop/淋巴细胞亚群/CD4+T细胞.jpgCD4+T细胞"/>
                          <pic:cNvPicPr/>
                        </pic:nvPicPr>
                        <pic:blipFill>
                          <a:blip r:embed="rId19" cstate="print"/>
                          <a:srcRect/>
                          <a:stretch>
                            <a:fillRect/>
                          </a:stretch>
                        </pic:blipFill>
                        <pic:spPr>
                          <a:xfrm>
                            <a:off x="0" y="0"/>
                            <a:ext cx="1345565" cy="1443355"/>
                          </a:xfrm>
                          <a:prstGeom prst="rect">
                            <a:avLst/>
                          </a:prstGeom>
                        </pic:spPr>
                      </pic:pic>
                    </a:graphicData>
                  </a:graphic>
                </wp:inline>
              </w:drawing>
            </w:r>
          </w:p>
        </w:tc>
      </w:tr>
      <w:tr w:rsidR="00B834B4" w:rsidRPr="00EF12D2" w14:paraId="17E3CE0D" w14:textId="77777777" w:rsidTr="00E93C2C">
        <w:trPr>
          <w:jc w:val="center"/>
        </w:trPr>
        <w:tc>
          <w:tcPr>
            <w:tcW w:w="2282" w:type="pct"/>
          </w:tcPr>
          <w:p w14:paraId="6BA0ED10"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4D87AB70" wp14:editId="68C8BEE7">
                  <wp:extent cx="1503045" cy="1604010"/>
                  <wp:effectExtent l="0" t="0" r="5715" b="11430"/>
                  <wp:docPr id="1042" name="图片 17" descr="E:/360MoveData/Users/NING MEI/Desktop/淋巴细胞亚群/CD8+T细胞.jpgCD8+T细胞"/>
                  <wp:cNvGraphicFramePr/>
                  <a:graphic xmlns:a="http://schemas.openxmlformats.org/drawingml/2006/main">
                    <a:graphicData uri="http://schemas.openxmlformats.org/drawingml/2006/picture">
                      <pic:pic xmlns:pic="http://schemas.openxmlformats.org/drawingml/2006/picture">
                        <pic:nvPicPr>
                          <pic:cNvPr id="1042" name="图片 17" descr="E:/360MoveData/Users/NING MEI/Desktop/淋巴细胞亚群/CD8+T细胞.jpgCD8+T细胞"/>
                          <pic:cNvPicPr/>
                        </pic:nvPicPr>
                        <pic:blipFill>
                          <a:blip r:embed="rId20" cstate="print"/>
                          <a:srcRect/>
                          <a:stretch>
                            <a:fillRect/>
                          </a:stretch>
                        </pic:blipFill>
                        <pic:spPr>
                          <a:xfrm>
                            <a:off x="0" y="0"/>
                            <a:ext cx="1503045" cy="1604010"/>
                          </a:xfrm>
                          <a:prstGeom prst="rect">
                            <a:avLst/>
                          </a:prstGeom>
                        </pic:spPr>
                      </pic:pic>
                    </a:graphicData>
                  </a:graphic>
                </wp:inline>
              </w:drawing>
            </w:r>
          </w:p>
        </w:tc>
        <w:tc>
          <w:tcPr>
            <w:tcW w:w="495" w:type="pct"/>
          </w:tcPr>
          <w:p w14:paraId="17B3617F" w14:textId="77777777" w:rsidR="00B834B4" w:rsidRPr="00E93C2C" w:rsidRDefault="00000000" w:rsidP="00E93C2C">
            <w:pPr>
              <w:jc w:val="center"/>
              <w:rPr>
                <w:rFonts w:cs="Times New Roman"/>
                <w:color w:val="222222"/>
                <w:sz w:val="20"/>
                <w:szCs w:val="20"/>
                <w:shd w:val="clear" w:color="auto" w:fill="FFFFFF"/>
              </w:rPr>
            </w:pPr>
            <w:r w:rsidRPr="00E93C2C">
              <w:rPr>
                <w:rFonts w:cs="Times New Roman"/>
                <w:noProof/>
                <w:color w:val="222222"/>
                <w:sz w:val="20"/>
                <w:szCs w:val="20"/>
                <w:shd w:val="clear" w:color="auto" w:fill="FFFFFF"/>
              </w:rPr>
              <w:drawing>
                <wp:inline distT="0" distB="0" distL="0" distR="0" wp14:anchorId="78508E3D" wp14:editId="456DB0B2">
                  <wp:extent cx="1485265" cy="1597025"/>
                  <wp:effectExtent l="0" t="0" r="8255" b="3175"/>
                  <wp:docPr id="1043" name="图片 18" descr="E:/360MoveData/Users/NING MEI/Desktop/淋巴细胞亚群/B细胞计数.jpgB细胞计数"/>
                  <wp:cNvGraphicFramePr/>
                  <a:graphic xmlns:a="http://schemas.openxmlformats.org/drawingml/2006/main">
                    <a:graphicData uri="http://schemas.openxmlformats.org/drawingml/2006/picture">
                      <pic:pic xmlns:pic="http://schemas.openxmlformats.org/drawingml/2006/picture">
                        <pic:nvPicPr>
                          <pic:cNvPr id="1043" name="图片 18" descr="E:/360MoveData/Users/NING MEI/Desktop/淋巴细胞亚群/B细胞计数.jpgB细胞计数"/>
                          <pic:cNvPicPr/>
                        </pic:nvPicPr>
                        <pic:blipFill>
                          <a:blip r:embed="rId21" cstate="print"/>
                          <a:srcRect/>
                          <a:stretch>
                            <a:fillRect/>
                          </a:stretch>
                        </pic:blipFill>
                        <pic:spPr>
                          <a:xfrm>
                            <a:off x="0" y="0"/>
                            <a:ext cx="1485265" cy="1597025"/>
                          </a:xfrm>
                          <a:prstGeom prst="rect">
                            <a:avLst/>
                          </a:prstGeom>
                        </pic:spPr>
                      </pic:pic>
                    </a:graphicData>
                  </a:graphic>
                </wp:inline>
              </w:drawing>
            </w:r>
          </w:p>
        </w:tc>
        <w:tc>
          <w:tcPr>
            <w:tcW w:w="2222" w:type="pct"/>
          </w:tcPr>
          <w:p w14:paraId="57B00CB1" w14:textId="77777777" w:rsidR="00B834B4" w:rsidRPr="00E93C2C" w:rsidRDefault="00B834B4" w:rsidP="00E93C2C">
            <w:pPr>
              <w:jc w:val="center"/>
              <w:rPr>
                <w:rFonts w:cs="Times New Roman"/>
                <w:color w:val="222222"/>
                <w:sz w:val="20"/>
                <w:szCs w:val="20"/>
                <w:shd w:val="clear" w:color="auto" w:fill="FFFFFF"/>
              </w:rPr>
            </w:pPr>
          </w:p>
        </w:tc>
      </w:tr>
    </w:tbl>
    <w:p w14:paraId="196483D8" w14:textId="5E421B49" w:rsidR="00B834B4" w:rsidRPr="00E93C2C" w:rsidRDefault="00000000" w:rsidP="00E93C2C">
      <w:pPr>
        <w:jc w:val="center"/>
        <w:rPr>
          <w:rFonts w:cs="Times New Roman"/>
          <w:sz w:val="20"/>
          <w:szCs w:val="20"/>
        </w:rPr>
      </w:pPr>
      <w:r w:rsidRPr="00E93C2C">
        <w:rPr>
          <w:rFonts w:cs="Times New Roman"/>
          <w:b/>
          <w:bCs/>
          <w:sz w:val="20"/>
          <w:szCs w:val="20"/>
          <w:shd w:val="clear" w:color="auto" w:fill="FFFFFF"/>
        </w:rPr>
        <w:t>Figure 5.</w:t>
      </w:r>
      <w:r w:rsidRPr="00E93C2C">
        <w:rPr>
          <w:rFonts w:cs="Times New Roman"/>
          <w:sz w:val="20"/>
          <w:szCs w:val="20"/>
          <w:shd w:val="clear" w:color="auto" w:fill="FFFFFF"/>
        </w:rPr>
        <w:t xml:space="preserve"> Impact of lymphocyte subsets on pathogens</w:t>
      </w:r>
      <w:r w:rsidR="00EF12D2" w:rsidRPr="00E93C2C">
        <w:rPr>
          <w:rFonts w:cs="Times New Roman"/>
          <w:sz w:val="20"/>
          <w:szCs w:val="20"/>
          <w:shd w:val="clear" w:color="auto" w:fill="FFFFFF"/>
        </w:rPr>
        <w:t>.</w:t>
      </w:r>
    </w:p>
    <w:p w14:paraId="4022B502" w14:textId="77777777" w:rsidR="00B834B4" w:rsidRPr="00EF12D2" w:rsidRDefault="00B834B4" w:rsidP="00E93C2C">
      <w:pPr>
        <w:rPr>
          <w:rFonts w:cs="Times New Roman"/>
          <w:shd w:val="clear" w:color="auto" w:fill="FFFFFF"/>
        </w:rPr>
      </w:pPr>
    </w:p>
    <w:p w14:paraId="0E86E8C5" w14:textId="77777777" w:rsidR="00B834B4" w:rsidRPr="00E93C2C" w:rsidRDefault="00000000" w:rsidP="00E93C2C">
      <w:pPr>
        <w:rPr>
          <w:rFonts w:cs="Times New Roman"/>
          <w:b/>
          <w:bCs/>
        </w:rPr>
      </w:pPr>
      <w:r w:rsidRPr="00E93C2C">
        <w:rPr>
          <w:rFonts w:cs="Times New Roman"/>
          <w:b/>
          <w:bCs/>
          <w:shd w:val="clear" w:color="auto" w:fill="FFFFFF"/>
        </w:rPr>
        <w:t>3.4. Lymphocyte subsets and pathogen types</w:t>
      </w:r>
    </w:p>
    <w:p w14:paraId="689C7547" w14:textId="77777777" w:rsidR="00B834B4" w:rsidRPr="00EF12D2" w:rsidRDefault="00000000" w:rsidP="00E93C2C">
      <w:pPr>
        <w:rPr>
          <w:rFonts w:cs="Times New Roman"/>
        </w:rPr>
      </w:pPr>
      <w:r w:rsidRPr="00EF12D2">
        <w:rPr>
          <w:rFonts w:cs="Times New Roman"/>
          <w:shd w:val="clear" w:color="auto" w:fill="FFFFFF"/>
        </w:rPr>
        <w:t>No significant association was observed between lymphocyte subsets and pathogen types (</w:t>
      </w:r>
      <w:r w:rsidRPr="00EF12D2">
        <w:rPr>
          <w:rFonts w:cs="Times New Roman"/>
          <w:i/>
          <w:iCs/>
          <w:shd w:val="clear" w:color="auto" w:fill="FFFFFF"/>
        </w:rPr>
        <w:t>p</w:t>
      </w:r>
      <w:r w:rsidRPr="00EF12D2">
        <w:rPr>
          <w:rFonts w:cs="Times New Roman"/>
          <w:shd w:val="clear" w:color="auto" w:fill="FFFFFF"/>
        </w:rPr>
        <w:t xml:space="preserve"> &gt; 0.05), suggesting that this examination is not suitable for use alone in predicting pathogen species (</w:t>
      </w:r>
      <w:r w:rsidRPr="00E93C2C">
        <w:rPr>
          <w:rFonts w:cs="Times New Roman"/>
          <w:b/>
          <w:bCs/>
          <w:shd w:val="clear" w:color="auto" w:fill="FFFFFF"/>
        </w:rPr>
        <w:t>Figure 5</w:t>
      </w:r>
      <w:r w:rsidRPr="00EF12D2">
        <w:rPr>
          <w:rFonts w:cs="Times New Roman"/>
          <w:shd w:val="clear" w:color="auto" w:fill="FFFFFF"/>
        </w:rPr>
        <w:t>).</w:t>
      </w:r>
    </w:p>
    <w:p w14:paraId="554C08F9" w14:textId="77777777" w:rsidR="00B834B4" w:rsidRPr="00EF12D2" w:rsidRDefault="00B834B4" w:rsidP="00E93C2C">
      <w:pPr>
        <w:rPr>
          <w:rFonts w:cs="Times New Roman"/>
          <w:shd w:val="clear" w:color="auto" w:fill="FFFFFF"/>
        </w:rPr>
      </w:pPr>
    </w:p>
    <w:p w14:paraId="61010CAD" w14:textId="77777777" w:rsidR="00B834B4" w:rsidRPr="00E93C2C" w:rsidRDefault="00000000" w:rsidP="00E93C2C">
      <w:pPr>
        <w:rPr>
          <w:rFonts w:cs="Times New Roman"/>
          <w:b/>
          <w:bCs/>
        </w:rPr>
      </w:pPr>
      <w:r w:rsidRPr="00E93C2C">
        <w:rPr>
          <w:rFonts w:cs="Times New Roman"/>
          <w:b/>
          <w:bCs/>
          <w:shd w:val="clear" w:color="auto" w:fill="FFFFFF"/>
        </w:rPr>
        <w:t>3.5. Correlation between lymphocyte subsets and infection in hematological malignancies</w:t>
      </w:r>
    </w:p>
    <w:p w14:paraId="005028FC" w14:textId="77777777" w:rsidR="00B834B4" w:rsidRPr="00EF12D2" w:rsidRDefault="00000000" w:rsidP="00E93C2C">
      <w:pPr>
        <w:rPr>
          <w:rFonts w:cs="Times New Roman"/>
        </w:rPr>
      </w:pPr>
      <w:r w:rsidRPr="00EF12D2">
        <w:rPr>
          <w:rFonts w:cs="Times New Roman"/>
          <w:shd w:val="clear" w:color="auto" w:fill="FFFFFF"/>
        </w:rPr>
        <w:t>In univariate and multivariate analyses using logistic regression, no high-risk factors for infection were identified (</w:t>
      </w:r>
      <w:r w:rsidRPr="00EF12D2">
        <w:rPr>
          <w:rFonts w:cs="Times New Roman"/>
          <w:i/>
          <w:iCs/>
          <w:shd w:val="clear" w:color="auto" w:fill="FFFFFF"/>
        </w:rPr>
        <w:t>p</w:t>
      </w:r>
      <w:r w:rsidRPr="00EF12D2">
        <w:rPr>
          <w:rFonts w:cs="Times New Roman"/>
          <w:shd w:val="clear" w:color="auto" w:fill="FFFFFF"/>
        </w:rPr>
        <w:t xml:space="preserve"> &gt; 0.05), which may be attributable to the small number of cases included (</w:t>
      </w:r>
      <w:r w:rsidRPr="00E93C2C">
        <w:rPr>
          <w:rFonts w:cs="Times New Roman"/>
          <w:b/>
          <w:bCs/>
          <w:shd w:val="clear" w:color="auto" w:fill="FFFFFF"/>
        </w:rPr>
        <w:t>Table 2</w:t>
      </w:r>
      <w:r w:rsidRPr="00EF12D2">
        <w:rPr>
          <w:rFonts w:cs="Times New Roman"/>
          <w:shd w:val="clear" w:color="auto" w:fill="FFFFFF"/>
        </w:rPr>
        <w:t>).</w:t>
      </w:r>
    </w:p>
    <w:p w14:paraId="1E4100C0" w14:textId="77777777" w:rsidR="00B834B4" w:rsidRPr="00EF12D2" w:rsidRDefault="00B834B4" w:rsidP="00E93C2C">
      <w:pPr>
        <w:rPr>
          <w:rFonts w:cs="Times New Roman"/>
          <w:shd w:val="clear" w:color="auto" w:fill="FFFFFF"/>
        </w:rPr>
      </w:pPr>
    </w:p>
    <w:p w14:paraId="3EC677E1" w14:textId="77777777" w:rsidR="00B834B4" w:rsidRPr="00EF12D2" w:rsidRDefault="00000000" w:rsidP="00E93C2C">
      <w:pPr>
        <w:rPr>
          <w:rFonts w:cs="Times New Roman"/>
          <w:shd w:val="clear" w:color="auto" w:fill="FFFFFF"/>
        </w:rPr>
      </w:pPr>
      <w:r w:rsidRPr="00E93C2C">
        <w:rPr>
          <w:rFonts w:cs="Times New Roman"/>
          <w:b/>
          <w:bCs/>
          <w:shd w:val="clear" w:color="auto" w:fill="FFFFFF"/>
        </w:rPr>
        <w:t xml:space="preserve">Table 2. </w:t>
      </w:r>
      <w:r w:rsidRPr="00EF12D2">
        <w:rPr>
          <w:rFonts w:cs="Times New Roman"/>
          <w:shd w:val="clear" w:color="auto" w:fill="FFFFFF"/>
        </w:rPr>
        <w:t>Univariate and multivariate analysis of infection in patients with hematological malignancies</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966"/>
        <w:gridCol w:w="2273"/>
        <w:gridCol w:w="983"/>
        <w:gridCol w:w="2435"/>
        <w:gridCol w:w="981"/>
      </w:tblGrid>
      <w:tr w:rsidR="00B834B4" w:rsidRPr="00EF12D2" w14:paraId="71509F7C" w14:textId="77777777" w:rsidTr="00E93C2C">
        <w:trPr>
          <w:tblHeader/>
          <w:jc w:val="center"/>
        </w:trPr>
        <w:tc>
          <w:tcPr>
            <w:tcW w:w="1539" w:type="pct"/>
            <w:vMerge w:val="restart"/>
            <w:tcBorders>
              <w:top w:val="single" w:sz="12" w:space="0" w:color="auto"/>
              <w:left w:val="nil"/>
              <w:bottom w:val="nil"/>
              <w:right w:val="nil"/>
            </w:tcBorders>
            <w:tcMar>
              <w:top w:w="-1" w:type="dxa"/>
              <w:left w:w="-1" w:type="dxa"/>
              <w:bottom w:w="-1" w:type="dxa"/>
              <w:right w:w="-1" w:type="dxa"/>
            </w:tcMar>
          </w:tcPr>
          <w:p w14:paraId="5EF1C874" w14:textId="060C233B" w:rsidR="00B834B4" w:rsidRPr="00E93C2C" w:rsidRDefault="00000000" w:rsidP="00E93C2C">
            <w:pPr>
              <w:jc w:val="left"/>
              <w:rPr>
                <w:rFonts w:cs="Times New Roman"/>
                <w:b/>
                <w:bCs/>
              </w:rPr>
            </w:pPr>
            <w:r w:rsidRPr="00E93C2C">
              <w:rPr>
                <w:rFonts w:cs="Times New Roman"/>
                <w:b/>
                <w:bCs/>
                <w:shd w:val="clear" w:color="auto" w:fill="FFFFFF"/>
              </w:rPr>
              <w:t>Characteristic</w:t>
            </w:r>
          </w:p>
        </w:tc>
        <w:tc>
          <w:tcPr>
            <w:tcW w:w="1689" w:type="pct"/>
            <w:gridSpan w:val="2"/>
            <w:tcBorders>
              <w:top w:val="single" w:sz="12" w:space="0" w:color="auto"/>
              <w:left w:val="nil"/>
              <w:bottom w:val="single" w:sz="4" w:space="0" w:color="auto"/>
              <w:right w:val="nil"/>
            </w:tcBorders>
            <w:tcMar>
              <w:top w:w="-1" w:type="dxa"/>
              <w:left w:w="-1" w:type="dxa"/>
              <w:bottom w:w="-1" w:type="dxa"/>
              <w:right w:w="-1" w:type="dxa"/>
            </w:tcMar>
          </w:tcPr>
          <w:p w14:paraId="7CA4028C" w14:textId="1AB04642" w:rsidR="00B834B4" w:rsidRPr="00E93C2C" w:rsidRDefault="00000000" w:rsidP="00C4480C">
            <w:pPr>
              <w:jc w:val="center"/>
              <w:rPr>
                <w:rFonts w:cs="Times New Roman"/>
                <w:b/>
                <w:bCs/>
              </w:rPr>
            </w:pPr>
            <w:r w:rsidRPr="00E93C2C">
              <w:rPr>
                <w:rFonts w:cs="Times New Roman"/>
                <w:b/>
                <w:bCs/>
                <w:shd w:val="clear" w:color="auto" w:fill="FFFFFF"/>
              </w:rPr>
              <w:t>Univariate analysis</w:t>
            </w:r>
          </w:p>
        </w:tc>
        <w:tc>
          <w:tcPr>
            <w:tcW w:w="1773" w:type="pct"/>
            <w:gridSpan w:val="2"/>
            <w:tcBorders>
              <w:top w:val="single" w:sz="12" w:space="0" w:color="auto"/>
              <w:left w:val="nil"/>
              <w:bottom w:val="single" w:sz="4" w:space="0" w:color="auto"/>
              <w:right w:val="nil"/>
            </w:tcBorders>
            <w:tcMar>
              <w:top w:w="-1" w:type="dxa"/>
              <w:left w:w="-1" w:type="dxa"/>
              <w:bottom w:w="-1" w:type="dxa"/>
              <w:right w:w="-1" w:type="dxa"/>
            </w:tcMar>
          </w:tcPr>
          <w:p w14:paraId="3B02B117" w14:textId="778411D0" w:rsidR="00B834B4" w:rsidRPr="00E93C2C" w:rsidRDefault="00000000" w:rsidP="00C4480C">
            <w:pPr>
              <w:jc w:val="center"/>
              <w:rPr>
                <w:rFonts w:cs="Times New Roman"/>
                <w:b/>
                <w:bCs/>
              </w:rPr>
            </w:pPr>
            <w:r w:rsidRPr="00E93C2C">
              <w:rPr>
                <w:rFonts w:cs="Times New Roman"/>
                <w:b/>
                <w:bCs/>
                <w:shd w:val="clear" w:color="auto" w:fill="FFFFFF"/>
              </w:rPr>
              <w:t>Multivariate analysis</w:t>
            </w:r>
          </w:p>
        </w:tc>
      </w:tr>
      <w:tr w:rsidR="00B834B4" w:rsidRPr="00EF12D2" w14:paraId="183559D8" w14:textId="77777777" w:rsidTr="00E93C2C">
        <w:trPr>
          <w:tblHeader/>
          <w:jc w:val="center"/>
        </w:trPr>
        <w:tc>
          <w:tcPr>
            <w:tcW w:w="1539" w:type="pct"/>
            <w:vMerge/>
            <w:tcBorders>
              <w:top w:val="nil"/>
              <w:left w:val="nil"/>
              <w:bottom w:val="nil"/>
              <w:right w:val="nil"/>
            </w:tcBorders>
            <w:tcMar>
              <w:top w:w="-1" w:type="dxa"/>
              <w:left w:w="-1" w:type="dxa"/>
              <w:bottom w:w="-1" w:type="dxa"/>
              <w:right w:w="-1" w:type="dxa"/>
            </w:tcMar>
          </w:tcPr>
          <w:p w14:paraId="3D0359F9" w14:textId="77777777" w:rsidR="00B834B4" w:rsidRPr="00E93C2C" w:rsidRDefault="00B834B4" w:rsidP="00E93C2C">
            <w:pPr>
              <w:jc w:val="left"/>
              <w:rPr>
                <w:rFonts w:cs="Times New Roman"/>
                <w:b/>
                <w:bCs/>
              </w:rPr>
            </w:pPr>
          </w:p>
        </w:tc>
        <w:tc>
          <w:tcPr>
            <w:tcW w:w="1179" w:type="pct"/>
            <w:tcBorders>
              <w:top w:val="single" w:sz="4" w:space="0" w:color="auto"/>
              <w:left w:val="nil"/>
              <w:bottom w:val="nil"/>
              <w:right w:val="nil"/>
            </w:tcBorders>
            <w:tcMar>
              <w:top w:w="-1" w:type="dxa"/>
              <w:left w:w="-1" w:type="dxa"/>
              <w:bottom w:w="-1" w:type="dxa"/>
              <w:right w:w="-1" w:type="dxa"/>
            </w:tcMar>
          </w:tcPr>
          <w:p w14:paraId="449F7E19" w14:textId="20AC4F7A" w:rsidR="00B834B4" w:rsidRPr="00E93C2C" w:rsidRDefault="00000000" w:rsidP="00C4480C">
            <w:pPr>
              <w:jc w:val="center"/>
              <w:rPr>
                <w:rFonts w:cs="Times New Roman"/>
                <w:b/>
                <w:bCs/>
              </w:rPr>
            </w:pPr>
            <w:r w:rsidRPr="00E93C2C">
              <w:rPr>
                <w:rFonts w:cs="Times New Roman"/>
                <w:b/>
                <w:bCs/>
                <w:shd w:val="clear" w:color="auto" w:fill="FFFFFF"/>
              </w:rPr>
              <w:t>OR (95% CI)</w:t>
            </w:r>
          </w:p>
        </w:tc>
        <w:tc>
          <w:tcPr>
            <w:tcW w:w="510" w:type="pct"/>
            <w:tcBorders>
              <w:top w:val="single" w:sz="4" w:space="0" w:color="auto"/>
              <w:left w:val="nil"/>
              <w:bottom w:val="nil"/>
              <w:right w:val="nil"/>
            </w:tcBorders>
            <w:tcMar>
              <w:top w:w="-1" w:type="dxa"/>
              <w:left w:w="-1" w:type="dxa"/>
              <w:bottom w:w="-1" w:type="dxa"/>
              <w:right w:w="-1" w:type="dxa"/>
            </w:tcMar>
          </w:tcPr>
          <w:p w14:paraId="35B55A5A" w14:textId="0D71B8FD" w:rsidR="00B834B4" w:rsidRPr="00E93C2C" w:rsidRDefault="00000000" w:rsidP="00C4480C">
            <w:pPr>
              <w:jc w:val="center"/>
              <w:rPr>
                <w:rFonts w:cs="Times New Roman"/>
                <w:b/>
                <w:bCs/>
              </w:rPr>
            </w:pPr>
            <w:r w:rsidRPr="00E93C2C">
              <w:rPr>
                <w:rFonts w:cs="Times New Roman"/>
                <w:b/>
                <w:bCs/>
                <w:i/>
                <w:iCs/>
                <w:shd w:val="clear" w:color="auto" w:fill="FFFFFF"/>
              </w:rPr>
              <w:t>p</w:t>
            </w:r>
            <w:r w:rsidRPr="00E93C2C">
              <w:rPr>
                <w:rFonts w:cs="Times New Roman"/>
                <w:b/>
                <w:bCs/>
                <w:shd w:val="clear" w:color="auto" w:fill="FFFFFF"/>
              </w:rPr>
              <w:t xml:space="preserve"> value</w:t>
            </w:r>
          </w:p>
        </w:tc>
        <w:tc>
          <w:tcPr>
            <w:tcW w:w="1263" w:type="pct"/>
            <w:tcBorders>
              <w:top w:val="single" w:sz="4" w:space="0" w:color="auto"/>
              <w:left w:val="nil"/>
              <w:bottom w:val="nil"/>
              <w:right w:val="nil"/>
            </w:tcBorders>
            <w:tcMar>
              <w:top w:w="-1" w:type="dxa"/>
              <w:left w:w="-1" w:type="dxa"/>
              <w:bottom w:w="-1" w:type="dxa"/>
              <w:right w:w="-1" w:type="dxa"/>
            </w:tcMar>
          </w:tcPr>
          <w:p w14:paraId="0957FD4C" w14:textId="5ED28831" w:rsidR="00B834B4" w:rsidRPr="00E93C2C" w:rsidRDefault="00000000" w:rsidP="00C4480C">
            <w:pPr>
              <w:jc w:val="center"/>
              <w:rPr>
                <w:rFonts w:cs="Times New Roman"/>
                <w:b/>
                <w:bCs/>
              </w:rPr>
            </w:pPr>
            <w:r w:rsidRPr="00E93C2C">
              <w:rPr>
                <w:rFonts w:cs="Times New Roman"/>
                <w:b/>
                <w:bCs/>
                <w:shd w:val="clear" w:color="auto" w:fill="FFFFFF"/>
              </w:rPr>
              <w:t>OR (95% CI)</w:t>
            </w:r>
          </w:p>
        </w:tc>
        <w:tc>
          <w:tcPr>
            <w:tcW w:w="510" w:type="pct"/>
            <w:tcBorders>
              <w:top w:val="single" w:sz="4" w:space="0" w:color="auto"/>
              <w:left w:val="nil"/>
              <w:bottom w:val="nil"/>
              <w:right w:val="nil"/>
            </w:tcBorders>
            <w:tcMar>
              <w:top w:w="-1" w:type="dxa"/>
              <w:left w:w="-1" w:type="dxa"/>
              <w:bottom w:w="-1" w:type="dxa"/>
              <w:right w:w="-1" w:type="dxa"/>
            </w:tcMar>
          </w:tcPr>
          <w:p w14:paraId="0F9D14D8" w14:textId="77777777" w:rsidR="00B834B4" w:rsidRPr="00E93C2C" w:rsidRDefault="00000000" w:rsidP="00C4480C">
            <w:pPr>
              <w:jc w:val="center"/>
              <w:rPr>
                <w:rFonts w:cs="Times New Roman"/>
                <w:b/>
                <w:bCs/>
              </w:rPr>
            </w:pPr>
            <w:r w:rsidRPr="00E93C2C">
              <w:rPr>
                <w:rFonts w:cs="Times New Roman"/>
                <w:b/>
                <w:bCs/>
                <w:i/>
                <w:iCs/>
                <w:shd w:val="clear" w:color="auto" w:fill="FFFFFF"/>
              </w:rPr>
              <w:t>p</w:t>
            </w:r>
            <w:r w:rsidRPr="00E93C2C">
              <w:rPr>
                <w:rFonts w:cs="Times New Roman"/>
                <w:b/>
                <w:bCs/>
                <w:shd w:val="clear" w:color="auto" w:fill="FFFFFF"/>
              </w:rPr>
              <w:t xml:space="preserve"> value</w:t>
            </w:r>
          </w:p>
        </w:tc>
      </w:tr>
      <w:tr w:rsidR="00B834B4" w:rsidRPr="00EF12D2" w14:paraId="5DCE14E9" w14:textId="77777777" w:rsidTr="00E93C2C">
        <w:trPr>
          <w:jc w:val="center"/>
        </w:trPr>
        <w:tc>
          <w:tcPr>
            <w:tcW w:w="1539" w:type="pct"/>
            <w:tcBorders>
              <w:top w:val="single" w:sz="4" w:space="0" w:color="auto"/>
              <w:left w:val="nil"/>
              <w:bottom w:val="nil"/>
              <w:right w:val="nil"/>
            </w:tcBorders>
            <w:tcMar>
              <w:top w:w="-1" w:type="dxa"/>
              <w:left w:w="-1" w:type="dxa"/>
              <w:bottom w:w="-1" w:type="dxa"/>
              <w:right w:w="-1" w:type="dxa"/>
            </w:tcMar>
          </w:tcPr>
          <w:p w14:paraId="51C46FDC" w14:textId="4DBFA82D" w:rsidR="00B834B4" w:rsidRPr="00EF12D2" w:rsidRDefault="00000000" w:rsidP="00E93C2C">
            <w:pPr>
              <w:jc w:val="left"/>
              <w:rPr>
                <w:rFonts w:cs="Times New Roman"/>
              </w:rPr>
            </w:pPr>
            <w:r w:rsidRPr="00EF12D2">
              <w:rPr>
                <w:rFonts w:cs="Times New Roman"/>
                <w:shd w:val="clear" w:color="auto" w:fill="FFFFFF"/>
              </w:rPr>
              <w:t>Age</w:t>
            </w:r>
          </w:p>
        </w:tc>
        <w:tc>
          <w:tcPr>
            <w:tcW w:w="1179" w:type="pct"/>
            <w:tcBorders>
              <w:top w:val="single" w:sz="4" w:space="0" w:color="auto"/>
              <w:left w:val="nil"/>
              <w:bottom w:val="nil"/>
              <w:right w:val="nil"/>
            </w:tcBorders>
            <w:tcMar>
              <w:top w:w="-1" w:type="dxa"/>
              <w:left w:w="-1" w:type="dxa"/>
              <w:bottom w:w="-1" w:type="dxa"/>
              <w:right w:w="-1" w:type="dxa"/>
            </w:tcMar>
          </w:tcPr>
          <w:p w14:paraId="78043431" w14:textId="4CA3A129" w:rsidR="00B834B4" w:rsidRPr="00EF12D2" w:rsidRDefault="00000000" w:rsidP="00C4480C">
            <w:pPr>
              <w:jc w:val="center"/>
              <w:rPr>
                <w:rFonts w:cs="Times New Roman"/>
              </w:rPr>
            </w:pPr>
            <w:r w:rsidRPr="00EF12D2">
              <w:rPr>
                <w:rFonts w:cs="Times New Roman"/>
                <w:shd w:val="clear" w:color="auto" w:fill="FFFFFF"/>
              </w:rPr>
              <w:t>0.24 (0.03-2.07)</w:t>
            </w:r>
          </w:p>
        </w:tc>
        <w:tc>
          <w:tcPr>
            <w:tcW w:w="510" w:type="pct"/>
            <w:tcBorders>
              <w:top w:val="single" w:sz="4" w:space="0" w:color="auto"/>
              <w:left w:val="nil"/>
              <w:bottom w:val="nil"/>
              <w:right w:val="nil"/>
            </w:tcBorders>
            <w:tcMar>
              <w:top w:w="-1" w:type="dxa"/>
              <w:left w:w="-1" w:type="dxa"/>
              <w:bottom w:w="-1" w:type="dxa"/>
              <w:right w:w="-1" w:type="dxa"/>
            </w:tcMar>
          </w:tcPr>
          <w:p w14:paraId="545343DF" w14:textId="3C6A816E" w:rsidR="00B834B4" w:rsidRPr="00EF12D2" w:rsidRDefault="00000000" w:rsidP="00C4480C">
            <w:pPr>
              <w:jc w:val="center"/>
              <w:rPr>
                <w:rFonts w:cs="Times New Roman"/>
              </w:rPr>
            </w:pPr>
            <w:r w:rsidRPr="00EF12D2">
              <w:rPr>
                <w:rFonts w:cs="Times New Roman"/>
                <w:shd w:val="clear" w:color="auto" w:fill="FFFFFF"/>
              </w:rPr>
              <w:t>0.19</w:t>
            </w:r>
          </w:p>
        </w:tc>
        <w:tc>
          <w:tcPr>
            <w:tcW w:w="1263" w:type="pct"/>
            <w:tcBorders>
              <w:top w:val="single" w:sz="4" w:space="0" w:color="auto"/>
              <w:left w:val="nil"/>
              <w:bottom w:val="nil"/>
              <w:right w:val="nil"/>
            </w:tcBorders>
            <w:tcMar>
              <w:top w:w="-1" w:type="dxa"/>
              <w:left w:w="-1" w:type="dxa"/>
              <w:bottom w:w="-1" w:type="dxa"/>
              <w:right w:w="-1" w:type="dxa"/>
            </w:tcMar>
          </w:tcPr>
          <w:p w14:paraId="195F9675" w14:textId="77777777" w:rsidR="00B834B4" w:rsidRPr="00EF12D2" w:rsidRDefault="00B834B4" w:rsidP="00C4480C">
            <w:pPr>
              <w:jc w:val="center"/>
              <w:rPr>
                <w:rFonts w:cs="Times New Roman"/>
              </w:rPr>
            </w:pPr>
          </w:p>
        </w:tc>
        <w:tc>
          <w:tcPr>
            <w:tcW w:w="510" w:type="pct"/>
            <w:tcBorders>
              <w:top w:val="single" w:sz="4" w:space="0" w:color="auto"/>
              <w:left w:val="nil"/>
              <w:bottom w:val="nil"/>
              <w:right w:val="nil"/>
            </w:tcBorders>
            <w:tcMar>
              <w:top w:w="-1" w:type="dxa"/>
              <w:left w:w="-1" w:type="dxa"/>
              <w:bottom w:w="-1" w:type="dxa"/>
              <w:right w:w="-1" w:type="dxa"/>
            </w:tcMar>
          </w:tcPr>
          <w:p w14:paraId="031BD52F" w14:textId="77777777" w:rsidR="00B834B4" w:rsidRPr="00EF12D2" w:rsidRDefault="00B834B4" w:rsidP="00C4480C">
            <w:pPr>
              <w:jc w:val="center"/>
              <w:rPr>
                <w:rFonts w:cs="Times New Roman"/>
              </w:rPr>
            </w:pPr>
          </w:p>
        </w:tc>
      </w:tr>
      <w:tr w:rsidR="00B834B4" w:rsidRPr="00EF12D2" w14:paraId="3C376BC0" w14:textId="77777777" w:rsidTr="00E93C2C">
        <w:trPr>
          <w:jc w:val="center"/>
        </w:trPr>
        <w:tc>
          <w:tcPr>
            <w:tcW w:w="1539" w:type="pct"/>
            <w:tcBorders>
              <w:top w:val="nil"/>
              <w:left w:val="nil"/>
              <w:bottom w:val="nil"/>
              <w:right w:val="nil"/>
            </w:tcBorders>
            <w:tcMar>
              <w:top w:w="-1" w:type="dxa"/>
              <w:left w:w="-1" w:type="dxa"/>
              <w:bottom w:w="-1" w:type="dxa"/>
              <w:right w:w="-1" w:type="dxa"/>
            </w:tcMar>
          </w:tcPr>
          <w:p w14:paraId="46050843" w14:textId="5CF42323" w:rsidR="00B834B4" w:rsidRPr="00EF12D2" w:rsidRDefault="00000000" w:rsidP="00E93C2C">
            <w:pPr>
              <w:jc w:val="left"/>
              <w:rPr>
                <w:rFonts w:cs="Times New Roman"/>
              </w:rPr>
            </w:pPr>
            <w:r w:rsidRPr="00EF12D2">
              <w:rPr>
                <w:rFonts w:cs="Times New Roman"/>
                <w:shd w:val="clear" w:color="auto" w:fill="FFFFFF"/>
              </w:rPr>
              <w:t>Gender</w:t>
            </w:r>
          </w:p>
        </w:tc>
        <w:tc>
          <w:tcPr>
            <w:tcW w:w="1179" w:type="pct"/>
            <w:tcBorders>
              <w:top w:val="nil"/>
              <w:left w:val="nil"/>
              <w:bottom w:val="nil"/>
              <w:right w:val="nil"/>
            </w:tcBorders>
            <w:tcMar>
              <w:top w:w="-1" w:type="dxa"/>
              <w:left w:w="-1" w:type="dxa"/>
              <w:bottom w:w="-1" w:type="dxa"/>
              <w:right w:w="-1" w:type="dxa"/>
            </w:tcMar>
          </w:tcPr>
          <w:p w14:paraId="4A1AC61C" w14:textId="1CF4EF2D" w:rsidR="00B834B4" w:rsidRPr="00EF12D2" w:rsidRDefault="00000000" w:rsidP="00C4480C">
            <w:pPr>
              <w:jc w:val="center"/>
              <w:rPr>
                <w:rFonts w:cs="Times New Roman"/>
              </w:rPr>
            </w:pPr>
            <w:r w:rsidRPr="00EF12D2">
              <w:rPr>
                <w:rFonts w:cs="Times New Roman"/>
                <w:shd w:val="clear" w:color="auto" w:fill="FFFFFF"/>
              </w:rPr>
              <w:t>4.75 (0.44-51.11)</w:t>
            </w:r>
          </w:p>
        </w:tc>
        <w:tc>
          <w:tcPr>
            <w:tcW w:w="510" w:type="pct"/>
            <w:tcBorders>
              <w:top w:val="nil"/>
              <w:left w:val="nil"/>
              <w:bottom w:val="nil"/>
              <w:right w:val="nil"/>
            </w:tcBorders>
            <w:tcMar>
              <w:top w:w="-1" w:type="dxa"/>
              <w:left w:w="-1" w:type="dxa"/>
              <w:bottom w:w="-1" w:type="dxa"/>
              <w:right w:w="-1" w:type="dxa"/>
            </w:tcMar>
          </w:tcPr>
          <w:p w14:paraId="002EFCDD" w14:textId="7B8855AE" w:rsidR="00B834B4" w:rsidRPr="00EF12D2" w:rsidRDefault="00000000" w:rsidP="00C4480C">
            <w:pPr>
              <w:jc w:val="center"/>
              <w:rPr>
                <w:rFonts w:cs="Times New Roman"/>
              </w:rPr>
            </w:pPr>
            <w:r w:rsidRPr="00EF12D2">
              <w:rPr>
                <w:rFonts w:cs="Times New Roman"/>
                <w:shd w:val="clear" w:color="auto" w:fill="FFFFFF"/>
              </w:rPr>
              <w:t>0.20</w:t>
            </w:r>
          </w:p>
        </w:tc>
        <w:tc>
          <w:tcPr>
            <w:tcW w:w="1263" w:type="pct"/>
            <w:tcBorders>
              <w:top w:val="nil"/>
              <w:left w:val="nil"/>
              <w:bottom w:val="nil"/>
              <w:right w:val="nil"/>
            </w:tcBorders>
            <w:tcMar>
              <w:top w:w="-1" w:type="dxa"/>
              <w:left w:w="-1" w:type="dxa"/>
              <w:bottom w:w="-1" w:type="dxa"/>
              <w:right w:w="-1" w:type="dxa"/>
            </w:tcMar>
          </w:tcPr>
          <w:p w14:paraId="25A751D9" w14:textId="384BE73A" w:rsidR="00B834B4" w:rsidRPr="00EF12D2" w:rsidRDefault="00000000" w:rsidP="00C4480C">
            <w:pPr>
              <w:jc w:val="center"/>
              <w:rPr>
                <w:rFonts w:cs="Times New Roman"/>
              </w:rPr>
            </w:pPr>
            <w:r w:rsidRPr="00EF12D2">
              <w:rPr>
                <w:rFonts w:cs="Times New Roman"/>
                <w:shd w:val="clear" w:color="auto" w:fill="FFFFFF"/>
              </w:rPr>
              <w:t>8.58 (0.30-246.54)</w:t>
            </w:r>
          </w:p>
        </w:tc>
        <w:tc>
          <w:tcPr>
            <w:tcW w:w="510" w:type="pct"/>
            <w:tcBorders>
              <w:top w:val="nil"/>
              <w:left w:val="nil"/>
              <w:bottom w:val="nil"/>
              <w:right w:val="nil"/>
            </w:tcBorders>
            <w:tcMar>
              <w:top w:w="-1" w:type="dxa"/>
              <w:left w:w="-1" w:type="dxa"/>
              <w:bottom w:w="-1" w:type="dxa"/>
              <w:right w:w="-1" w:type="dxa"/>
            </w:tcMar>
          </w:tcPr>
          <w:p w14:paraId="1EFBC814" w14:textId="77777777" w:rsidR="00B834B4" w:rsidRPr="00EF12D2" w:rsidRDefault="00000000" w:rsidP="00C4480C">
            <w:pPr>
              <w:jc w:val="center"/>
              <w:rPr>
                <w:rFonts w:cs="Times New Roman"/>
              </w:rPr>
            </w:pPr>
            <w:r w:rsidRPr="00EF12D2">
              <w:rPr>
                <w:rFonts w:cs="Times New Roman"/>
                <w:shd w:val="clear" w:color="auto" w:fill="FFFFFF"/>
              </w:rPr>
              <w:t>0.21</w:t>
            </w:r>
          </w:p>
        </w:tc>
      </w:tr>
      <w:tr w:rsidR="00B834B4" w:rsidRPr="00EF12D2" w14:paraId="3711A7F0" w14:textId="77777777" w:rsidTr="00E93C2C">
        <w:trPr>
          <w:jc w:val="center"/>
        </w:trPr>
        <w:tc>
          <w:tcPr>
            <w:tcW w:w="1539" w:type="pct"/>
            <w:tcBorders>
              <w:top w:val="nil"/>
              <w:left w:val="nil"/>
              <w:bottom w:val="nil"/>
              <w:right w:val="nil"/>
            </w:tcBorders>
            <w:tcMar>
              <w:top w:w="-1" w:type="dxa"/>
              <w:left w:w="-1" w:type="dxa"/>
              <w:bottom w:w="-1" w:type="dxa"/>
              <w:right w:w="-1" w:type="dxa"/>
            </w:tcMar>
          </w:tcPr>
          <w:p w14:paraId="352D7F57" w14:textId="52F26F04" w:rsidR="00B834B4" w:rsidRPr="00EF12D2" w:rsidRDefault="00000000" w:rsidP="00E93C2C">
            <w:pPr>
              <w:jc w:val="left"/>
              <w:rPr>
                <w:rFonts w:cs="Times New Roman"/>
              </w:rPr>
            </w:pPr>
            <w:r w:rsidRPr="00EF12D2">
              <w:rPr>
                <w:rFonts w:cs="Times New Roman"/>
                <w:shd w:val="clear" w:color="auto" w:fill="FFFFFF"/>
              </w:rPr>
              <w:t>White blood cell count</w:t>
            </w:r>
          </w:p>
        </w:tc>
        <w:tc>
          <w:tcPr>
            <w:tcW w:w="1179" w:type="pct"/>
            <w:tcBorders>
              <w:top w:val="nil"/>
              <w:left w:val="nil"/>
              <w:bottom w:val="nil"/>
              <w:right w:val="nil"/>
            </w:tcBorders>
            <w:tcMar>
              <w:top w:w="-1" w:type="dxa"/>
              <w:left w:w="-1" w:type="dxa"/>
              <w:bottom w:w="-1" w:type="dxa"/>
              <w:right w:w="-1" w:type="dxa"/>
            </w:tcMar>
          </w:tcPr>
          <w:p w14:paraId="2D7AF73C" w14:textId="3999C937" w:rsidR="00B834B4" w:rsidRPr="00EF12D2" w:rsidRDefault="00000000" w:rsidP="00C4480C">
            <w:pPr>
              <w:jc w:val="center"/>
              <w:rPr>
                <w:rFonts w:cs="Times New Roman"/>
              </w:rPr>
            </w:pPr>
            <w:r w:rsidRPr="00EF12D2">
              <w:rPr>
                <w:rFonts w:cs="Times New Roman"/>
                <w:shd w:val="clear" w:color="auto" w:fill="FFFFFF"/>
              </w:rPr>
              <w:t>1.43 (0.13-15.52)</w:t>
            </w:r>
          </w:p>
        </w:tc>
        <w:tc>
          <w:tcPr>
            <w:tcW w:w="510" w:type="pct"/>
            <w:tcBorders>
              <w:top w:val="nil"/>
              <w:left w:val="nil"/>
              <w:bottom w:val="nil"/>
              <w:right w:val="nil"/>
            </w:tcBorders>
            <w:tcMar>
              <w:top w:w="-1" w:type="dxa"/>
              <w:left w:w="-1" w:type="dxa"/>
              <w:bottom w:w="-1" w:type="dxa"/>
              <w:right w:w="-1" w:type="dxa"/>
            </w:tcMar>
          </w:tcPr>
          <w:p w14:paraId="616B8F56" w14:textId="5BC917DF" w:rsidR="00B834B4" w:rsidRPr="00EF12D2" w:rsidRDefault="00000000" w:rsidP="00C4480C">
            <w:pPr>
              <w:jc w:val="center"/>
              <w:rPr>
                <w:rFonts w:cs="Times New Roman"/>
              </w:rPr>
            </w:pPr>
            <w:r w:rsidRPr="00EF12D2">
              <w:rPr>
                <w:rFonts w:cs="Times New Roman"/>
                <w:shd w:val="clear" w:color="auto" w:fill="FFFFFF"/>
              </w:rPr>
              <w:t>0.77</w:t>
            </w:r>
          </w:p>
        </w:tc>
        <w:tc>
          <w:tcPr>
            <w:tcW w:w="1263" w:type="pct"/>
            <w:tcBorders>
              <w:top w:val="nil"/>
              <w:left w:val="nil"/>
              <w:bottom w:val="nil"/>
              <w:right w:val="nil"/>
            </w:tcBorders>
            <w:tcMar>
              <w:top w:w="-1" w:type="dxa"/>
              <w:left w:w="-1" w:type="dxa"/>
              <w:bottom w:w="-1" w:type="dxa"/>
              <w:right w:w="-1" w:type="dxa"/>
            </w:tcMar>
          </w:tcPr>
          <w:p w14:paraId="7666CE93" w14:textId="77777777" w:rsidR="00B834B4" w:rsidRPr="00EF12D2" w:rsidRDefault="00B834B4" w:rsidP="00C4480C">
            <w:pPr>
              <w:jc w:val="center"/>
              <w:rPr>
                <w:rFonts w:cs="Times New Roman"/>
              </w:rPr>
            </w:pPr>
          </w:p>
        </w:tc>
        <w:tc>
          <w:tcPr>
            <w:tcW w:w="510" w:type="pct"/>
            <w:tcBorders>
              <w:top w:val="nil"/>
              <w:left w:val="nil"/>
              <w:bottom w:val="nil"/>
              <w:right w:val="nil"/>
            </w:tcBorders>
            <w:tcMar>
              <w:top w:w="-1" w:type="dxa"/>
              <w:left w:w="-1" w:type="dxa"/>
              <w:bottom w:w="-1" w:type="dxa"/>
              <w:right w:w="-1" w:type="dxa"/>
            </w:tcMar>
          </w:tcPr>
          <w:p w14:paraId="610FD2AA" w14:textId="77777777" w:rsidR="00B834B4" w:rsidRPr="00EF12D2" w:rsidRDefault="00B834B4" w:rsidP="00C4480C">
            <w:pPr>
              <w:jc w:val="center"/>
              <w:rPr>
                <w:rFonts w:cs="Times New Roman"/>
              </w:rPr>
            </w:pPr>
          </w:p>
        </w:tc>
      </w:tr>
      <w:tr w:rsidR="00B834B4" w:rsidRPr="00EF12D2" w14:paraId="02445182" w14:textId="77777777" w:rsidTr="00E93C2C">
        <w:trPr>
          <w:jc w:val="center"/>
        </w:trPr>
        <w:tc>
          <w:tcPr>
            <w:tcW w:w="1539" w:type="pct"/>
            <w:tcBorders>
              <w:top w:val="nil"/>
              <w:left w:val="nil"/>
              <w:bottom w:val="nil"/>
              <w:right w:val="nil"/>
            </w:tcBorders>
            <w:tcMar>
              <w:top w:w="-1" w:type="dxa"/>
              <w:left w:w="-1" w:type="dxa"/>
              <w:bottom w:w="-1" w:type="dxa"/>
              <w:right w:w="-1" w:type="dxa"/>
            </w:tcMar>
          </w:tcPr>
          <w:p w14:paraId="3B647668" w14:textId="4CA5BE7F" w:rsidR="00B834B4" w:rsidRPr="00EF12D2" w:rsidRDefault="00000000" w:rsidP="00E93C2C">
            <w:pPr>
              <w:jc w:val="left"/>
              <w:rPr>
                <w:rFonts w:cs="Times New Roman"/>
              </w:rPr>
            </w:pPr>
            <w:r w:rsidRPr="00EF12D2">
              <w:rPr>
                <w:rFonts w:cs="Times New Roman"/>
                <w:shd w:val="clear" w:color="auto" w:fill="FFFFFF"/>
              </w:rPr>
              <w:t>B cell count</w:t>
            </w:r>
          </w:p>
        </w:tc>
        <w:tc>
          <w:tcPr>
            <w:tcW w:w="1179" w:type="pct"/>
            <w:tcBorders>
              <w:top w:val="nil"/>
              <w:left w:val="nil"/>
              <w:bottom w:val="nil"/>
              <w:right w:val="nil"/>
            </w:tcBorders>
            <w:tcMar>
              <w:top w:w="-1" w:type="dxa"/>
              <w:left w:w="-1" w:type="dxa"/>
              <w:bottom w:w="-1" w:type="dxa"/>
              <w:right w:w="-1" w:type="dxa"/>
            </w:tcMar>
          </w:tcPr>
          <w:p w14:paraId="181F53EB" w14:textId="0D89EAFA" w:rsidR="00B834B4" w:rsidRPr="00EF12D2" w:rsidRDefault="00000000" w:rsidP="00C4480C">
            <w:pPr>
              <w:jc w:val="center"/>
              <w:rPr>
                <w:rFonts w:cs="Times New Roman"/>
              </w:rPr>
            </w:pPr>
            <w:r w:rsidRPr="00EF12D2">
              <w:rPr>
                <w:rFonts w:cs="Times New Roman"/>
                <w:shd w:val="clear" w:color="auto" w:fill="FFFFFF"/>
              </w:rPr>
              <w:t>1.82 (0.22-14.75)</w:t>
            </w:r>
          </w:p>
        </w:tc>
        <w:tc>
          <w:tcPr>
            <w:tcW w:w="510" w:type="pct"/>
            <w:tcBorders>
              <w:top w:val="nil"/>
              <w:left w:val="nil"/>
              <w:bottom w:val="nil"/>
              <w:right w:val="nil"/>
            </w:tcBorders>
            <w:tcMar>
              <w:top w:w="-1" w:type="dxa"/>
              <w:left w:w="-1" w:type="dxa"/>
              <w:bottom w:w="-1" w:type="dxa"/>
              <w:right w:w="-1" w:type="dxa"/>
            </w:tcMar>
          </w:tcPr>
          <w:p w14:paraId="04E31393" w14:textId="7F082E51" w:rsidR="00B834B4" w:rsidRPr="00EF12D2" w:rsidRDefault="00000000" w:rsidP="00C4480C">
            <w:pPr>
              <w:jc w:val="center"/>
              <w:rPr>
                <w:rFonts w:cs="Times New Roman"/>
              </w:rPr>
            </w:pPr>
            <w:r w:rsidRPr="00EF12D2">
              <w:rPr>
                <w:rFonts w:cs="Times New Roman"/>
                <w:shd w:val="clear" w:color="auto" w:fill="FFFFFF"/>
              </w:rPr>
              <w:t>0.58</w:t>
            </w:r>
          </w:p>
        </w:tc>
        <w:tc>
          <w:tcPr>
            <w:tcW w:w="1263" w:type="pct"/>
            <w:tcBorders>
              <w:top w:val="nil"/>
              <w:left w:val="nil"/>
              <w:bottom w:val="nil"/>
              <w:right w:val="nil"/>
            </w:tcBorders>
            <w:tcMar>
              <w:top w:w="-1" w:type="dxa"/>
              <w:left w:w="-1" w:type="dxa"/>
              <w:bottom w:w="-1" w:type="dxa"/>
              <w:right w:w="-1" w:type="dxa"/>
            </w:tcMar>
          </w:tcPr>
          <w:p w14:paraId="1672A088" w14:textId="77777777" w:rsidR="00B834B4" w:rsidRPr="00EF12D2" w:rsidRDefault="00B834B4" w:rsidP="00C4480C">
            <w:pPr>
              <w:jc w:val="center"/>
              <w:rPr>
                <w:rFonts w:cs="Times New Roman"/>
              </w:rPr>
            </w:pPr>
          </w:p>
        </w:tc>
        <w:tc>
          <w:tcPr>
            <w:tcW w:w="510" w:type="pct"/>
            <w:tcBorders>
              <w:top w:val="nil"/>
              <w:left w:val="nil"/>
              <w:bottom w:val="nil"/>
              <w:right w:val="nil"/>
            </w:tcBorders>
            <w:tcMar>
              <w:top w:w="-1" w:type="dxa"/>
              <w:left w:w="-1" w:type="dxa"/>
              <w:bottom w:w="-1" w:type="dxa"/>
              <w:right w:w="-1" w:type="dxa"/>
            </w:tcMar>
          </w:tcPr>
          <w:p w14:paraId="468548BD" w14:textId="77777777" w:rsidR="00B834B4" w:rsidRPr="00EF12D2" w:rsidRDefault="00B834B4" w:rsidP="00C4480C">
            <w:pPr>
              <w:jc w:val="center"/>
              <w:rPr>
                <w:rFonts w:cs="Times New Roman"/>
              </w:rPr>
            </w:pPr>
          </w:p>
        </w:tc>
      </w:tr>
      <w:tr w:rsidR="00B834B4" w:rsidRPr="00EF12D2" w14:paraId="08ED70D2" w14:textId="77777777" w:rsidTr="00E93C2C">
        <w:trPr>
          <w:jc w:val="center"/>
        </w:trPr>
        <w:tc>
          <w:tcPr>
            <w:tcW w:w="1539" w:type="pct"/>
            <w:tcBorders>
              <w:top w:val="nil"/>
              <w:left w:val="nil"/>
              <w:bottom w:val="nil"/>
              <w:right w:val="nil"/>
            </w:tcBorders>
            <w:tcMar>
              <w:top w:w="-1" w:type="dxa"/>
              <w:left w:w="-1" w:type="dxa"/>
              <w:bottom w:w="-1" w:type="dxa"/>
              <w:right w:w="-1" w:type="dxa"/>
            </w:tcMar>
          </w:tcPr>
          <w:p w14:paraId="11F78959" w14:textId="77E5CDC9" w:rsidR="00B834B4" w:rsidRPr="00EF12D2" w:rsidRDefault="00000000" w:rsidP="00E93C2C">
            <w:pPr>
              <w:jc w:val="left"/>
              <w:rPr>
                <w:rFonts w:cs="Times New Roman"/>
              </w:rPr>
            </w:pPr>
            <w:r w:rsidRPr="00EF12D2">
              <w:rPr>
                <w:rFonts w:cs="Times New Roman"/>
                <w:shd w:val="clear" w:color="auto" w:fill="FFFFFF"/>
              </w:rPr>
              <w:lastRenderedPageBreak/>
              <w:t>CD4+ T cell count</w:t>
            </w:r>
          </w:p>
        </w:tc>
        <w:tc>
          <w:tcPr>
            <w:tcW w:w="1179" w:type="pct"/>
            <w:tcBorders>
              <w:top w:val="nil"/>
              <w:left w:val="nil"/>
              <w:bottom w:val="nil"/>
              <w:right w:val="nil"/>
            </w:tcBorders>
            <w:tcMar>
              <w:top w:w="-1" w:type="dxa"/>
              <w:left w:w="-1" w:type="dxa"/>
              <w:bottom w:w="-1" w:type="dxa"/>
              <w:right w:w="-1" w:type="dxa"/>
            </w:tcMar>
          </w:tcPr>
          <w:p w14:paraId="605CD9BF" w14:textId="46149BAB" w:rsidR="00B834B4" w:rsidRPr="00EF12D2" w:rsidRDefault="00000000" w:rsidP="00C4480C">
            <w:pPr>
              <w:jc w:val="center"/>
              <w:rPr>
                <w:rFonts w:cs="Times New Roman"/>
              </w:rPr>
            </w:pPr>
            <w:r w:rsidRPr="00EF12D2">
              <w:rPr>
                <w:rFonts w:cs="Times New Roman"/>
                <w:shd w:val="clear" w:color="auto" w:fill="FFFFFF"/>
              </w:rPr>
              <w:t>3.64 (0.34-39.01)</w:t>
            </w:r>
          </w:p>
        </w:tc>
        <w:tc>
          <w:tcPr>
            <w:tcW w:w="510" w:type="pct"/>
            <w:tcBorders>
              <w:top w:val="nil"/>
              <w:left w:val="nil"/>
              <w:bottom w:val="nil"/>
              <w:right w:val="nil"/>
            </w:tcBorders>
            <w:tcMar>
              <w:top w:w="-1" w:type="dxa"/>
              <w:left w:w="-1" w:type="dxa"/>
              <w:bottom w:w="-1" w:type="dxa"/>
              <w:right w:w="-1" w:type="dxa"/>
            </w:tcMar>
          </w:tcPr>
          <w:p w14:paraId="651A70FE" w14:textId="1FA4CE82" w:rsidR="00B834B4" w:rsidRPr="00EF12D2" w:rsidRDefault="00000000" w:rsidP="00C4480C">
            <w:pPr>
              <w:jc w:val="center"/>
              <w:rPr>
                <w:rFonts w:cs="Times New Roman"/>
              </w:rPr>
            </w:pPr>
            <w:r w:rsidRPr="00EF12D2">
              <w:rPr>
                <w:rFonts w:cs="Times New Roman"/>
                <w:shd w:val="clear" w:color="auto" w:fill="FFFFFF"/>
              </w:rPr>
              <w:t>0.29</w:t>
            </w:r>
          </w:p>
        </w:tc>
        <w:tc>
          <w:tcPr>
            <w:tcW w:w="1263" w:type="pct"/>
            <w:tcBorders>
              <w:top w:val="nil"/>
              <w:left w:val="nil"/>
              <w:bottom w:val="nil"/>
              <w:right w:val="nil"/>
            </w:tcBorders>
            <w:tcMar>
              <w:top w:w="-1" w:type="dxa"/>
              <w:left w:w="-1" w:type="dxa"/>
              <w:bottom w:w="-1" w:type="dxa"/>
              <w:right w:w="-1" w:type="dxa"/>
            </w:tcMar>
          </w:tcPr>
          <w:p w14:paraId="426D9CBC" w14:textId="77777777" w:rsidR="00B834B4" w:rsidRPr="00EF12D2" w:rsidRDefault="00B834B4" w:rsidP="00C4480C">
            <w:pPr>
              <w:jc w:val="center"/>
              <w:rPr>
                <w:rFonts w:cs="Times New Roman"/>
              </w:rPr>
            </w:pPr>
          </w:p>
        </w:tc>
        <w:tc>
          <w:tcPr>
            <w:tcW w:w="510" w:type="pct"/>
            <w:tcBorders>
              <w:top w:val="nil"/>
              <w:left w:val="nil"/>
              <w:bottom w:val="nil"/>
              <w:right w:val="nil"/>
            </w:tcBorders>
            <w:tcMar>
              <w:top w:w="-1" w:type="dxa"/>
              <w:left w:w="-1" w:type="dxa"/>
              <w:bottom w:w="-1" w:type="dxa"/>
              <w:right w:w="-1" w:type="dxa"/>
            </w:tcMar>
          </w:tcPr>
          <w:p w14:paraId="0222B7AF" w14:textId="77777777" w:rsidR="00B834B4" w:rsidRPr="00EF12D2" w:rsidRDefault="00B834B4" w:rsidP="00C4480C">
            <w:pPr>
              <w:jc w:val="center"/>
              <w:rPr>
                <w:rFonts w:cs="Times New Roman"/>
              </w:rPr>
            </w:pPr>
          </w:p>
        </w:tc>
      </w:tr>
      <w:tr w:rsidR="00B834B4" w:rsidRPr="00EF12D2" w14:paraId="34647DEB" w14:textId="77777777" w:rsidTr="00E93C2C">
        <w:trPr>
          <w:jc w:val="center"/>
        </w:trPr>
        <w:tc>
          <w:tcPr>
            <w:tcW w:w="1539" w:type="pct"/>
            <w:tcBorders>
              <w:top w:val="nil"/>
              <w:left w:val="nil"/>
              <w:bottom w:val="nil"/>
              <w:right w:val="nil"/>
            </w:tcBorders>
            <w:tcMar>
              <w:top w:w="-1" w:type="dxa"/>
              <w:left w:w="-1" w:type="dxa"/>
              <w:bottom w:w="-1" w:type="dxa"/>
              <w:right w:w="-1" w:type="dxa"/>
            </w:tcMar>
          </w:tcPr>
          <w:p w14:paraId="180DDD45" w14:textId="10930D79" w:rsidR="00B834B4" w:rsidRPr="00EF12D2" w:rsidRDefault="00000000" w:rsidP="00E93C2C">
            <w:pPr>
              <w:jc w:val="left"/>
              <w:rPr>
                <w:rFonts w:cs="Times New Roman"/>
              </w:rPr>
            </w:pPr>
            <w:r w:rsidRPr="00EF12D2">
              <w:rPr>
                <w:rFonts w:cs="Times New Roman"/>
                <w:shd w:val="clear" w:color="auto" w:fill="FFFFFF"/>
              </w:rPr>
              <w:t>CD8+ T cell count</w:t>
            </w:r>
          </w:p>
        </w:tc>
        <w:tc>
          <w:tcPr>
            <w:tcW w:w="1179" w:type="pct"/>
            <w:tcBorders>
              <w:top w:val="nil"/>
              <w:left w:val="nil"/>
              <w:bottom w:val="nil"/>
              <w:right w:val="nil"/>
            </w:tcBorders>
            <w:tcMar>
              <w:top w:w="-1" w:type="dxa"/>
              <w:left w:w="-1" w:type="dxa"/>
              <w:bottom w:w="-1" w:type="dxa"/>
              <w:right w:w="-1" w:type="dxa"/>
            </w:tcMar>
          </w:tcPr>
          <w:p w14:paraId="66EE5448" w14:textId="74788FEE" w:rsidR="00B834B4" w:rsidRPr="00EF12D2" w:rsidRDefault="00000000" w:rsidP="00C4480C">
            <w:pPr>
              <w:jc w:val="center"/>
              <w:rPr>
                <w:rFonts w:cs="Times New Roman"/>
              </w:rPr>
            </w:pPr>
            <w:r w:rsidRPr="00EF12D2">
              <w:rPr>
                <w:rFonts w:cs="Times New Roman"/>
                <w:shd w:val="clear" w:color="auto" w:fill="FFFFFF"/>
              </w:rPr>
              <w:t>0.31 (0.03-3.34)</w:t>
            </w:r>
          </w:p>
        </w:tc>
        <w:tc>
          <w:tcPr>
            <w:tcW w:w="510" w:type="pct"/>
            <w:tcBorders>
              <w:top w:val="nil"/>
              <w:left w:val="nil"/>
              <w:bottom w:val="nil"/>
              <w:right w:val="nil"/>
            </w:tcBorders>
            <w:tcMar>
              <w:top w:w="-1" w:type="dxa"/>
              <w:left w:w="-1" w:type="dxa"/>
              <w:bottom w:w="-1" w:type="dxa"/>
              <w:right w:w="-1" w:type="dxa"/>
            </w:tcMar>
          </w:tcPr>
          <w:p w14:paraId="60242FE6" w14:textId="50368769" w:rsidR="00B834B4" w:rsidRPr="00EF12D2" w:rsidRDefault="00000000" w:rsidP="00C4480C">
            <w:pPr>
              <w:jc w:val="center"/>
              <w:rPr>
                <w:rFonts w:cs="Times New Roman"/>
              </w:rPr>
            </w:pPr>
            <w:r w:rsidRPr="00EF12D2">
              <w:rPr>
                <w:rFonts w:cs="Times New Roman"/>
                <w:shd w:val="clear" w:color="auto" w:fill="FFFFFF"/>
              </w:rPr>
              <w:t>0.34</w:t>
            </w:r>
          </w:p>
        </w:tc>
        <w:tc>
          <w:tcPr>
            <w:tcW w:w="1263" w:type="pct"/>
            <w:tcBorders>
              <w:top w:val="nil"/>
              <w:left w:val="nil"/>
              <w:bottom w:val="nil"/>
              <w:right w:val="nil"/>
            </w:tcBorders>
            <w:tcMar>
              <w:top w:w="-1" w:type="dxa"/>
              <w:left w:w="-1" w:type="dxa"/>
              <w:bottom w:w="-1" w:type="dxa"/>
              <w:right w:w="-1" w:type="dxa"/>
            </w:tcMar>
          </w:tcPr>
          <w:p w14:paraId="674E75B3" w14:textId="56F59AFD" w:rsidR="00B834B4" w:rsidRPr="00EF12D2" w:rsidRDefault="00000000" w:rsidP="00C4480C">
            <w:pPr>
              <w:jc w:val="center"/>
              <w:rPr>
                <w:rFonts w:cs="Times New Roman"/>
              </w:rPr>
            </w:pPr>
            <w:r w:rsidRPr="00EF12D2">
              <w:rPr>
                <w:rFonts w:cs="Times New Roman"/>
                <w:shd w:val="clear" w:color="auto" w:fill="FFFFFF"/>
              </w:rPr>
              <w:t>0.12 (0.01-3.94)</w:t>
            </w:r>
          </w:p>
        </w:tc>
        <w:tc>
          <w:tcPr>
            <w:tcW w:w="510" w:type="pct"/>
            <w:tcBorders>
              <w:top w:val="nil"/>
              <w:left w:val="nil"/>
              <w:bottom w:val="nil"/>
              <w:right w:val="nil"/>
            </w:tcBorders>
            <w:tcMar>
              <w:top w:w="-1" w:type="dxa"/>
              <w:left w:w="-1" w:type="dxa"/>
              <w:bottom w:w="-1" w:type="dxa"/>
              <w:right w:w="-1" w:type="dxa"/>
            </w:tcMar>
          </w:tcPr>
          <w:p w14:paraId="48064A7D" w14:textId="77777777" w:rsidR="00B834B4" w:rsidRPr="00EF12D2" w:rsidRDefault="00000000" w:rsidP="00C4480C">
            <w:pPr>
              <w:jc w:val="center"/>
              <w:rPr>
                <w:rFonts w:cs="Times New Roman"/>
              </w:rPr>
            </w:pPr>
            <w:r w:rsidRPr="00EF12D2">
              <w:rPr>
                <w:rFonts w:cs="Times New Roman"/>
                <w:shd w:val="clear" w:color="auto" w:fill="FFFFFF"/>
              </w:rPr>
              <w:t>0.24</w:t>
            </w:r>
          </w:p>
        </w:tc>
      </w:tr>
      <w:tr w:rsidR="00B834B4" w:rsidRPr="00EF12D2" w14:paraId="28FD7B3E" w14:textId="77777777" w:rsidTr="00E93C2C">
        <w:trPr>
          <w:jc w:val="center"/>
        </w:trPr>
        <w:tc>
          <w:tcPr>
            <w:tcW w:w="1539" w:type="pct"/>
            <w:tcBorders>
              <w:top w:val="nil"/>
              <w:left w:val="nil"/>
              <w:bottom w:val="nil"/>
              <w:right w:val="nil"/>
            </w:tcBorders>
            <w:tcMar>
              <w:top w:w="-1" w:type="dxa"/>
              <w:left w:w="-1" w:type="dxa"/>
              <w:bottom w:w="-1" w:type="dxa"/>
              <w:right w:w="-1" w:type="dxa"/>
            </w:tcMar>
          </w:tcPr>
          <w:p w14:paraId="0E3F786A" w14:textId="2747BF91" w:rsidR="00B834B4" w:rsidRPr="00EF12D2" w:rsidRDefault="00000000" w:rsidP="00E93C2C">
            <w:pPr>
              <w:jc w:val="left"/>
              <w:rPr>
                <w:rFonts w:cs="Times New Roman"/>
              </w:rPr>
            </w:pPr>
            <w:r w:rsidRPr="00EF12D2">
              <w:rPr>
                <w:rFonts w:cs="Times New Roman"/>
                <w:shd w:val="clear" w:color="auto" w:fill="FFFFFF"/>
              </w:rPr>
              <w:t>NK cell count</w:t>
            </w:r>
          </w:p>
        </w:tc>
        <w:tc>
          <w:tcPr>
            <w:tcW w:w="1179" w:type="pct"/>
            <w:tcBorders>
              <w:top w:val="nil"/>
              <w:left w:val="nil"/>
              <w:bottom w:val="nil"/>
              <w:right w:val="nil"/>
            </w:tcBorders>
            <w:tcMar>
              <w:top w:w="-1" w:type="dxa"/>
              <w:left w:w="-1" w:type="dxa"/>
              <w:bottom w:w="-1" w:type="dxa"/>
              <w:right w:w="-1" w:type="dxa"/>
            </w:tcMar>
          </w:tcPr>
          <w:p w14:paraId="33FB3E65" w14:textId="068CE77C" w:rsidR="00B834B4" w:rsidRPr="00EF12D2" w:rsidRDefault="00000000" w:rsidP="00C4480C">
            <w:pPr>
              <w:jc w:val="center"/>
              <w:rPr>
                <w:rFonts w:cs="Times New Roman"/>
              </w:rPr>
            </w:pPr>
            <w:r w:rsidRPr="00EF12D2">
              <w:rPr>
                <w:rFonts w:cs="Times New Roman"/>
                <w:shd w:val="clear" w:color="auto" w:fill="FFFFFF"/>
              </w:rPr>
              <w:t>0.36 (0.03-3.80)</w:t>
            </w:r>
          </w:p>
        </w:tc>
        <w:tc>
          <w:tcPr>
            <w:tcW w:w="510" w:type="pct"/>
            <w:tcBorders>
              <w:top w:val="nil"/>
              <w:left w:val="nil"/>
              <w:bottom w:val="nil"/>
              <w:right w:val="nil"/>
            </w:tcBorders>
            <w:tcMar>
              <w:top w:w="-1" w:type="dxa"/>
              <w:left w:w="-1" w:type="dxa"/>
              <w:bottom w:w="-1" w:type="dxa"/>
              <w:right w:w="-1" w:type="dxa"/>
            </w:tcMar>
          </w:tcPr>
          <w:p w14:paraId="489571E5" w14:textId="6699304C" w:rsidR="00B834B4" w:rsidRPr="00EF12D2" w:rsidRDefault="00000000" w:rsidP="00C4480C">
            <w:pPr>
              <w:jc w:val="center"/>
              <w:rPr>
                <w:rFonts w:cs="Times New Roman"/>
              </w:rPr>
            </w:pPr>
            <w:r w:rsidRPr="00EF12D2">
              <w:rPr>
                <w:rFonts w:cs="Times New Roman"/>
                <w:shd w:val="clear" w:color="auto" w:fill="FFFFFF"/>
              </w:rPr>
              <w:t>0.39</w:t>
            </w:r>
          </w:p>
        </w:tc>
        <w:tc>
          <w:tcPr>
            <w:tcW w:w="1263" w:type="pct"/>
            <w:tcBorders>
              <w:top w:val="nil"/>
              <w:left w:val="nil"/>
              <w:bottom w:val="nil"/>
              <w:right w:val="nil"/>
            </w:tcBorders>
            <w:tcMar>
              <w:top w:w="-1" w:type="dxa"/>
              <w:left w:w="-1" w:type="dxa"/>
              <w:bottom w:w="-1" w:type="dxa"/>
              <w:right w:w="-1" w:type="dxa"/>
            </w:tcMar>
          </w:tcPr>
          <w:p w14:paraId="283F49CA" w14:textId="77777777" w:rsidR="00B834B4" w:rsidRPr="00EF12D2" w:rsidRDefault="00B834B4" w:rsidP="00C4480C">
            <w:pPr>
              <w:jc w:val="center"/>
              <w:rPr>
                <w:rFonts w:cs="Times New Roman"/>
              </w:rPr>
            </w:pPr>
          </w:p>
        </w:tc>
        <w:tc>
          <w:tcPr>
            <w:tcW w:w="510" w:type="pct"/>
            <w:tcBorders>
              <w:top w:val="nil"/>
              <w:left w:val="nil"/>
              <w:bottom w:val="nil"/>
              <w:right w:val="nil"/>
            </w:tcBorders>
            <w:tcMar>
              <w:top w:w="-1" w:type="dxa"/>
              <w:left w:w="-1" w:type="dxa"/>
              <w:bottom w:w="-1" w:type="dxa"/>
              <w:right w:w="-1" w:type="dxa"/>
            </w:tcMar>
          </w:tcPr>
          <w:p w14:paraId="1EFE9DEE" w14:textId="77777777" w:rsidR="00B834B4" w:rsidRPr="00EF12D2" w:rsidRDefault="00B834B4" w:rsidP="00C4480C">
            <w:pPr>
              <w:jc w:val="center"/>
              <w:rPr>
                <w:rFonts w:cs="Times New Roman"/>
              </w:rPr>
            </w:pPr>
          </w:p>
        </w:tc>
      </w:tr>
      <w:tr w:rsidR="00B834B4" w:rsidRPr="00EF12D2" w14:paraId="15DC7F8B" w14:textId="77777777" w:rsidTr="00E93C2C">
        <w:trPr>
          <w:jc w:val="center"/>
        </w:trPr>
        <w:tc>
          <w:tcPr>
            <w:tcW w:w="1539" w:type="pct"/>
            <w:tcBorders>
              <w:top w:val="nil"/>
              <w:left w:val="nil"/>
              <w:bottom w:val="single" w:sz="12" w:space="0" w:color="auto"/>
              <w:right w:val="nil"/>
            </w:tcBorders>
            <w:tcMar>
              <w:top w:w="-1" w:type="dxa"/>
              <w:left w:w="-1" w:type="dxa"/>
              <w:bottom w:w="-1" w:type="dxa"/>
              <w:right w:w="-1" w:type="dxa"/>
            </w:tcMar>
          </w:tcPr>
          <w:p w14:paraId="1F6DD3D0" w14:textId="1DDED2EA" w:rsidR="00B834B4" w:rsidRPr="00EF12D2" w:rsidRDefault="00000000" w:rsidP="00E93C2C">
            <w:pPr>
              <w:jc w:val="left"/>
              <w:rPr>
                <w:rFonts w:cs="Times New Roman"/>
              </w:rPr>
            </w:pPr>
            <w:r w:rsidRPr="00EF12D2">
              <w:rPr>
                <w:rFonts w:cs="Times New Roman"/>
                <w:shd w:val="clear" w:color="auto" w:fill="FFFFFF"/>
              </w:rPr>
              <w:t>Total T cell count</w:t>
            </w:r>
          </w:p>
        </w:tc>
        <w:tc>
          <w:tcPr>
            <w:tcW w:w="1179" w:type="pct"/>
            <w:tcBorders>
              <w:top w:val="nil"/>
              <w:left w:val="nil"/>
              <w:bottom w:val="single" w:sz="12" w:space="0" w:color="auto"/>
              <w:right w:val="nil"/>
            </w:tcBorders>
            <w:tcMar>
              <w:top w:w="-1" w:type="dxa"/>
              <w:left w:w="-1" w:type="dxa"/>
              <w:bottom w:w="-1" w:type="dxa"/>
              <w:right w:w="-1" w:type="dxa"/>
            </w:tcMar>
          </w:tcPr>
          <w:p w14:paraId="5363A7AE" w14:textId="084E25CA" w:rsidR="00B834B4" w:rsidRPr="00EF12D2" w:rsidRDefault="00000000" w:rsidP="00C4480C">
            <w:pPr>
              <w:jc w:val="center"/>
              <w:rPr>
                <w:rFonts w:cs="Times New Roman"/>
              </w:rPr>
            </w:pPr>
            <w:r w:rsidRPr="00EF12D2">
              <w:rPr>
                <w:rFonts w:cs="Times New Roman"/>
                <w:shd w:val="clear" w:color="auto" w:fill="FFFFFF"/>
              </w:rPr>
              <w:t>1.07 (0.13-8.56)</w:t>
            </w:r>
          </w:p>
        </w:tc>
        <w:tc>
          <w:tcPr>
            <w:tcW w:w="510" w:type="pct"/>
            <w:tcBorders>
              <w:top w:val="nil"/>
              <w:left w:val="nil"/>
              <w:bottom w:val="single" w:sz="12" w:space="0" w:color="auto"/>
              <w:right w:val="nil"/>
            </w:tcBorders>
            <w:tcMar>
              <w:top w:w="-1" w:type="dxa"/>
              <w:left w:w="-1" w:type="dxa"/>
              <w:bottom w:w="-1" w:type="dxa"/>
              <w:right w:w="-1" w:type="dxa"/>
            </w:tcMar>
          </w:tcPr>
          <w:p w14:paraId="3124A53D" w14:textId="390C7480" w:rsidR="00B834B4" w:rsidRPr="00EF12D2" w:rsidRDefault="00000000" w:rsidP="00C4480C">
            <w:pPr>
              <w:jc w:val="center"/>
              <w:rPr>
                <w:rFonts w:cs="Times New Roman"/>
              </w:rPr>
            </w:pPr>
            <w:r w:rsidRPr="00EF12D2">
              <w:rPr>
                <w:rFonts w:cs="Times New Roman"/>
                <w:shd w:val="clear" w:color="auto" w:fill="FFFFFF"/>
              </w:rPr>
              <w:t>0.95</w:t>
            </w:r>
          </w:p>
        </w:tc>
        <w:tc>
          <w:tcPr>
            <w:tcW w:w="1263" w:type="pct"/>
            <w:tcBorders>
              <w:top w:val="nil"/>
              <w:left w:val="nil"/>
              <w:bottom w:val="single" w:sz="12" w:space="0" w:color="auto"/>
              <w:right w:val="nil"/>
            </w:tcBorders>
            <w:tcMar>
              <w:top w:w="-1" w:type="dxa"/>
              <w:left w:w="-1" w:type="dxa"/>
              <w:bottom w:w="-1" w:type="dxa"/>
              <w:right w:w="-1" w:type="dxa"/>
            </w:tcMar>
          </w:tcPr>
          <w:p w14:paraId="65E3E5A2" w14:textId="77777777" w:rsidR="00B834B4" w:rsidRPr="00EF12D2" w:rsidRDefault="00B834B4" w:rsidP="00C4480C">
            <w:pPr>
              <w:jc w:val="center"/>
              <w:rPr>
                <w:rFonts w:cs="Times New Roman"/>
              </w:rPr>
            </w:pPr>
          </w:p>
        </w:tc>
        <w:tc>
          <w:tcPr>
            <w:tcW w:w="510" w:type="pct"/>
            <w:tcBorders>
              <w:top w:val="nil"/>
              <w:left w:val="nil"/>
              <w:bottom w:val="single" w:sz="12" w:space="0" w:color="auto"/>
              <w:right w:val="nil"/>
            </w:tcBorders>
            <w:tcMar>
              <w:top w:w="-1" w:type="dxa"/>
              <w:left w:w="-1" w:type="dxa"/>
              <w:bottom w:w="-1" w:type="dxa"/>
              <w:right w:w="-1" w:type="dxa"/>
            </w:tcMar>
          </w:tcPr>
          <w:p w14:paraId="72ED54D6" w14:textId="77777777" w:rsidR="00B834B4" w:rsidRPr="00EF12D2" w:rsidRDefault="00B834B4" w:rsidP="00C4480C">
            <w:pPr>
              <w:jc w:val="center"/>
              <w:rPr>
                <w:rFonts w:cs="Times New Roman"/>
              </w:rPr>
            </w:pPr>
          </w:p>
        </w:tc>
      </w:tr>
    </w:tbl>
    <w:p w14:paraId="4715BD41" w14:textId="77777777" w:rsidR="00B834B4" w:rsidRPr="00EF12D2" w:rsidRDefault="00B834B4" w:rsidP="00E93C2C">
      <w:pPr>
        <w:rPr>
          <w:rFonts w:cs="Times New Roman"/>
          <w:shd w:val="clear" w:color="auto" w:fill="FFFFFF"/>
        </w:rPr>
      </w:pPr>
    </w:p>
    <w:p w14:paraId="280A4493" w14:textId="77777777" w:rsidR="00B834B4" w:rsidRPr="00E93C2C" w:rsidRDefault="00000000" w:rsidP="00E93C2C">
      <w:pPr>
        <w:rPr>
          <w:rFonts w:cs="Times New Roman"/>
          <w:b/>
          <w:bCs/>
        </w:rPr>
      </w:pPr>
      <w:r w:rsidRPr="00E93C2C">
        <w:rPr>
          <w:rFonts w:cs="Times New Roman"/>
          <w:b/>
          <w:bCs/>
          <w:shd w:val="clear" w:color="auto" w:fill="FFFFFF"/>
        </w:rPr>
        <w:t>4. Discussion</w:t>
      </w:r>
    </w:p>
    <w:p w14:paraId="2CF58CB3" w14:textId="77777777" w:rsidR="00B834B4" w:rsidRPr="00EF12D2" w:rsidRDefault="00000000" w:rsidP="00E93C2C">
      <w:pPr>
        <w:rPr>
          <w:rFonts w:cs="Times New Roman"/>
        </w:rPr>
      </w:pPr>
      <w:r w:rsidRPr="00EF12D2">
        <w:rPr>
          <w:rFonts w:cs="Times New Roman"/>
          <w:shd w:val="clear" w:color="auto" w:fill="FFFFFF"/>
        </w:rPr>
        <w:t>This study aimed to investigate the clinical value of peripheral blood lymphocyte subsets, particularly CD4+ T cell counts, in predicting infection risk and aiding disease diagnosis in patients with hematological malignancies. Although limited by sample size, multivariate logistic regression analysis failed to identify statistically significant independent risk factors (</w:t>
      </w:r>
      <w:r w:rsidRPr="00EF12D2">
        <w:rPr>
          <w:rFonts w:cs="Times New Roman"/>
          <w:i/>
          <w:iCs/>
          <w:shd w:val="clear" w:color="auto" w:fill="FFFFFF"/>
        </w:rPr>
        <w:t>p</w:t>
      </w:r>
      <w:r w:rsidRPr="00EF12D2">
        <w:rPr>
          <w:rFonts w:cs="Times New Roman"/>
          <w:shd w:val="clear" w:color="auto" w:fill="FFFFFF"/>
        </w:rPr>
        <w:t xml:space="preserve"> &gt; 0.05), descriptive analysis and trend observation nonetheless revealed important associations between the distribution of lymphocyte subsets and the occurrence of infection as well as tumor type, providing valuable reference evidence for clinical immune monitoring.</w:t>
      </w:r>
    </w:p>
    <w:p w14:paraId="63238BF0" w14:textId="6FD1FF50" w:rsidR="00B834B4" w:rsidRPr="00EF12D2" w:rsidRDefault="00000000" w:rsidP="00E93C2C">
      <w:pPr>
        <w:ind w:firstLine="420"/>
        <w:rPr>
          <w:rFonts w:cs="Times New Roman"/>
        </w:rPr>
      </w:pPr>
      <w:r w:rsidRPr="00EF12D2">
        <w:rPr>
          <w:rFonts w:cs="Times New Roman"/>
          <w:shd w:val="clear" w:color="auto" w:fill="FFFFFF"/>
        </w:rPr>
        <w:t>This study found that when CD4+ T cell counts fell below 278/</w:t>
      </w:r>
      <w:proofErr w:type="spellStart"/>
      <w:r w:rsidRPr="00EF12D2">
        <w:rPr>
          <w:rFonts w:cs="Times New Roman"/>
          <w:shd w:val="clear" w:color="auto" w:fill="FFFFFF"/>
        </w:rPr>
        <w:t>μL</w:t>
      </w:r>
      <w:proofErr w:type="spellEnd"/>
      <w:r w:rsidRPr="00EF12D2">
        <w:rPr>
          <w:rFonts w:cs="Times New Roman"/>
          <w:shd w:val="clear" w:color="auto" w:fill="FFFFFF"/>
        </w:rPr>
        <w:t>, patients exhibited a markedly increased risk of opportunistic infection. This cutoff value is close to the clinical threshold of &lt;</w:t>
      </w:r>
      <w:r w:rsidR="00C4480C">
        <w:rPr>
          <w:rFonts w:cs="Times New Roman"/>
          <w:shd w:val="clear" w:color="auto" w:fill="FFFFFF"/>
        </w:rPr>
        <w:t xml:space="preserve"> </w:t>
      </w:r>
      <w:r w:rsidRPr="00EF12D2">
        <w:rPr>
          <w:rFonts w:cs="Times New Roman"/>
          <w:shd w:val="clear" w:color="auto" w:fill="FFFFFF"/>
        </w:rPr>
        <w:t>200/</w:t>
      </w:r>
      <w:proofErr w:type="spellStart"/>
      <w:r w:rsidRPr="00EF12D2">
        <w:rPr>
          <w:rFonts w:cs="Times New Roman"/>
          <w:shd w:val="clear" w:color="auto" w:fill="FFFFFF"/>
        </w:rPr>
        <w:t>μL</w:t>
      </w:r>
      <w:proofErr w:type="spellEnd"/>
      <w:r w:rsidRPr="00EF12D2">
        <w:rPr>
          <w:rFonts w:cs="Times New Roman"/>
          <w:shd w:val="clear" w:color="auto" w:fill="FFFFFF"/>
        </w:rPr>
        <w:t xml:space="preserve"> adopted in most guidelines and classic studies </w:t>
      </w:r>
      <w:r w:rsidRPr="00EF12D2">
        <w:rPr>
          <w:rFonts w:cs="Times New Roman"/>
          <w:shd w:val="clear" w:color="auto" w:fill="FFFFFF"/>
          <w:vertAlign w:val="superscript"/>
        </w:rPr>
        <w:t>[1-3]</w:t>
      </w:r>
      <w:r w:rsidRPr="00EF12D2">
        <w:rPr>
          <w:rFonts w:cs="Times New Roman"/>
          <w:shd w:val="clear" w:color="auto" w:fill="FFFFFF"/>
        </w:rPr>
        <w:t xml:space="preserve">, though slightly higher than the threshold associated with increased opportunistic infection incidence in previous HIV-infected patients. This suggests that in the non-HIV hematological malignancy population, the immune system may be in a more fragile or complex state of dysregulation, requiring a higher cell threshold to maintain effective defense </w:t>
      </w:r>
      <w:r w:rsidRPr="00EF12D2">
        <w:rPr>
          <w:rFonts w:cs="Times New Roman"/>
          <w:shd w:val="clear" w:color="auto" w:fill="FFFFFF"/>
          <w:vertAlign w:val="superscript"/>
        </w:rPr>
        <w:t>[4, 5]</w:t>
      </w:r>
      <w:r w:rsidRPr="00EF12D2">
        <w:rPr>
          <w:rFonts w:cs="Times New Roman"/>
          <w:shd w:val="clear" w:color="auto" w:fill="FFFFFF"/>
        </w:rPr>
        <w:t xml:space="preserve">. Bone marrow suppression caused by hematological malignancies themselves and their chemotherapy regimens not only induces neutropenia but also leads to severe T cell immune deficiency </w:t>
      </w:r>
      <w:r w:rsidRPr="00EF12D2">
        <w:rPr>
          <w:rFonts w:cs="Times New Roman"/>
          <w:shd w:val="clear" w:color="auto" w:fill="FFFFFF"/>
          <w:vertAlign w:val="superscript"/>
        </w:rPr>
        <w:t>[5-7]</w:t>
      </w:r>
      <w:r w:rsidRPr="00EF12D2">
        <w:rPr>
          <w:rFonts w:cs="Times New Roman"/>
          <w:shd w:val="clear" w:color="auto" w:fill="FFFFFF"/>
        </w:rPr>
        <w:t>. Therefore, using 278/</w:t>
      </w:r>
      <w:proofErr w:type="spellStart"/>
      <w:r w:rsidRPr="00EF12D2">
        <w:rPr>
          <w:rFonts w:cs="Times New Roman"/>
          <w:shd w:val="clear" w:color="auto" w:fill="FFFFFF"/>
        </w:rPr>
        <w:t>μL</w:t>
      </w:r>
      <w:proofErr w:type="spellEnd"/>
      <w:r w:rsidRPr="00EF12D2">
        <w:rPr>
          <w:rFonts w:cs="Times New Roman"/>
          <w:shd w:val="clear" w:color="auto" w:fill="FFFFFF"/>
        </w:rPr>
        <w:t xml:space="preserve"> as a potential early warning threshold may help clinicians identify high-risk patients before infectious symptoms manifest, thereby enabling early initiation of prophylactic anti-infective strategies or adjustment of anti-tumor treatment regimens.</w:t>
      </w:r>
    </w:p>
    <w:p w14:paraId="65BC5904" w14:textId="77777777" w:rsidR="00B834B4" w:rsidRPr="00EF12D2" w:rsidRDefault="00000000" w:rsidP="00E93C2C">
      <w:pPr>
        <w:ind w:firstLine="420"/>
        <w:rPr>
          <w:rFonts w:cs="Times New Roman"/>
        </w:rPr>
      </w:pPr>
      <w:r w:rsidRPr="00EF12D2">
        <w:rPr>
          <w:rFonts w:cs="Times New Roman"/>
          <w:shd w:val="clear" w:color="auto" w:fill="FFFFFF"/>
        </w:rPr>
        <w:t xml:space="preserve">B cells mediate humoral immunity, and a reduction in their number indicates impaired capacity for specific antibody production. Previous studies have shown that circulating CD19+ B cells are significantly reduced in patients with multiple myeloma, which is closely associated with an increased risk of bacterial infection </w:t>
      </w:r>
      <w:r w:rsidRPr="00EF12D2">
        <w:rPr>
          <w:rFonts w:cs="Times New Roman"/>
          <w:shd w:val="clear" w:color="auto" w:fill="FFFFFF"/>
          <w:vertAlign w:val="superscript"/>
        </w:rPr>
        <w:t>[8-13]</w:t>
      </w:r>
      <w:r w:rsidRPr="00EF12D2">
        <w:rPr>
          <w:rFonts w:cs="Times New Roman"/>
          <w:shd w:val="clear" w:color="auto" w:fill="FFFFFF"/>
        </w:rPr>
        <w:t xml:space="preserve">. In addition, B cell deficiency may hinder the proliferation and memory formation of CD4+ T cells during the early stage of infection, further exacerbating susceptibility to infection </w:t>
      </w:r>
      <w:r w:rsidRPr="00EF12D2">
        <w:rPr>
          <w:rFonts w:cs="Times New Roman"/>
          <w:shd w:val="clear" w:color="auto" w:fill="FFFFFF"/>
          <w:vertAlign w:val="superscript"/>
        </w:rPr>
        <w:t>[14, 15]</w:t>
      </w:r>
      <w:r w:rsidRPr="00EF12D2">
        <w:rPr>
          <w:rFonts w:cs="Times New Roman"/>
          <w:shd w:val="clear" w:color="auto" w:fill="FFFFFF"/>
        </w:rPr>
        <w:t xml:space="preserve">. CD8+ T cells, as cytotoxic T lymphocytes, are key effector cells for clearing intracellular </w:t>
      </w:r>
      <w:proofErr w:type="spellStart"/>
      <w:r w:rsidRPr="00EF12D2">
        <w:rPr>
          <w:rFonts w:cs="Times New Roman"/>
          <w:shd w:val="clear" w:color="auto" w:fill="FFFFFF"/>
        </w:rPr>
        <w:t>bacteria</w:t>
      </w:r>
      <w:proofErr w:type="spellEnd"/>
      <w:r w:rsidRPr="00EF12D2">
        <w:rPr>
          <w:rFonts w:cs="Times New Roman"/>
          <w:shd w:val="clear" w:color="auto" w:fill="FFFFFF"/>
        </w:rPr>
        <w:t xml:space="preserve"> and viral infections. Existing literature indicates that abnormal CD8+ T cell function is associated with increased host susceptibility to infection </w:t>
      </w:r>
      <w:r w:rsidRPr="00EF12D2">
        <w:rPr>
          <w:rFonts w:cs="Times New Roman"/>
          <w:shd w:val="clear" w:color="auto" w:fill="FFFFFF"/>
          <w:vertAlign w:val="superscript"/>
        </w:rPr>
        <w:t>[16-18]</w:t>
      </w:r>
      <w:r w:rsidRPr="00EF12D2">
        <w:rPr>
          <w:rFonts w:cs="Times New Roman"/>
          <w:shd w:val="clear" w:color="auto" w:fill="FFFFFF"/>
        </w:rPr>
        <w:t>, and the results of this study are consistent with this, further validating the critical role of B cell and CD8+ T cell defects in the decline of immune surveillance function in patients with hematological malignancies. This suggests that in clinical assessment, attention should not be focused on a single subset alone; rather, a comprehensive immune scoring system incorporating multiple subsets should be constructed to more fully quantify patients’ susceptibility to infection.</w:t>
      </w:r>
    </w:p>
    <w:p w14:paraId="05AFDEB3" w14:textId="77777777" w:rsidR="00B834B4" w:rsidRPr="00EF12D2" w:rsidRDefault="00000000" w:rsidP="00E93C2C">
      <w:pPr>
        <w:ind w:firstLine="420"/>
        <w:rPr>
          <w:rFonts w:cs="Times New Roman"/>
        </w:rPr>
      </w:pPr>
      <w:r w:rsidRPr="00EF12D2">
        <w:rPr>
          <w:rFonts w:cs="Times New Roman"/>
          <w:shd w:val="clear" w:color="auto" w:fill="FFFFFF"/>
        </w:rPr>
        <w:t xml:space="preserve">This study further analyzed the distribution characteristics of lymphocyte subsets among different types of hematological malignancies. The results showed that the CD4/CD8 ratio, NK cells, total T cells, and various T cell subsets did not differ significantly among the leukemia/MDS, lymphoma, and myeloma groups, which may reflect the presence of extensive T cell immune dysfunction across various hematological malignancies. However, the absolute B cell count differed significantly among the three groups, a finding with important diagnostic implications. B cells originate in the bone marrow and mature in lymphoid tissues, and abnormal fluctuations in their numbers often directly reflect the burden of B cell lineage tumors (such as chronic lymphocytic leukemia, certain types of non-Hodgkin lymphoma, or multiple myeloma) </w:t>
      </w:r>
      <w:r w:rsidRPr="00EF12D2">
        <w:rPr>
          <w:rFonts w:cs="Times New Roman"/>
          <w:shd w:val="clear" w:color="auto" w:fill="FFFFFF"/>
          <w:vertAlign w:val="superscript"/>
        </w:rPr>
        <w:t>[19-21]</w:t>
      </w:r>
      <w:r w:rsidRPr="00EF12D2">
        <w:rPr>
          <w:rFonts w:cs="Times New Roman"/>
          <w:shd w:val="clear" w:color="auto" w:fill="FFFFFF"/>
        </w:rPr>
        <w:t xml:space="preserve">. In contrast, changes in T cells and NK cells are more often secondary to tumor microenvironment suppression </w:t>
      </w:r>
      <w:r w:rsidRPr="00EF12D2">
        <w:rPr>
          <w:rFonts w:cs="Times New Roman"/>
          <w:shd w:val="clear" w:color="auto" w:fill="FFFFFF"/>
        </w:rPr>
        <w:lastRenderedPageBreak/>
        <w:t xml:space="preserve">or treatment-related nonspecific reactions </w:t>
      </w:r>
      <w:r w:rsidRPr="00EF12D2">
        <w:rPr>
          <w:rFonts w:cs="Times New Roman"/>
          <w:shd w:val="clear" w:color="auto" w:fill="FFFFFF"/>
          <w:vertAlign w:val="superscript"/>
        </w:rPr>
        <w:t>[22-25]</w:t>
      </w:r>
      <w:r w:rsidRPr="00EF12D2">
        <w:rPr>
          <w:rFonts w:cs="Times New Roman"/>
          <w:shd w:val="clear" w:color="auto" w:fill="FFFFFF"/>
        </w:rPr>
        <w:t>. Therefore, B cell counts can serve not only as an indicator of infection risk but also as an auxiliary screening tool for differentiating the types of hematological malignancies and assessing tumor burden, especially providing additional laboratory evidence when clinical manifestations are atypical.</w:t>
      </w:r>
    </w:p>
    <w:p w14:paraId="46FF3040" w14:textId="77777777" w:rsidR="00B834B4" w:rsidRPr="00EF12D2" w:rsidRDefault="00000000" w:rsidP="00E93C2C">
      <w:pPr>
        <w:ind w:firstLine="420"/>
        <w:rPr>
          <w:rFonts w:cs="Times New Roman"/>
        </w:rPr>
      </w:pPr>
      <w:r w:rsidRPr="00EF12D2">
        <w:rPr>
          <w:rFonts w:cs="Times New Roman"/>
          <w:shd w:val="clear" w:color="auto" w:fill="FFFFFF"/>
        </w:rPr>
        <w:t>This study found no obvious association between lymphocyte subsets and pathogen type. Existing evidence indicates that peripheral blood routine lymphocyte subsets often overlap among different pathogens, making precise discrimination difficult; therefore, they are not suitable for predicting pathogen species alone. In infectious states such as sepsis, decreased lymphocyte counts and imbalanced T cell subset proportions more often reflect an overall state of immunosuppression rather than specific etiological clues. Consequently, lymphocyte subset testing is more appropriate for assessing immune function status, identifying populations at high risk for opportunistic infection, and conducting dynamic monitoring, but it cannot serve as the primary basis for pathogen identification.</w:t>
      </w:r>
    </w:p>
    <w:p w14:paraId="46EADC12" w14:textId="77777777" w:rsidR="00B834B4" w:rsidRPr="00EF12D2" w:rsidRDefault="00000000" w:rsidP="00E93C2C">
      <w:pPr>
        <w:ind w:firstLine="420"/>
        <w:rPr>
          <w:rFonts w:cs="Times New Roman"/>
          <w:shd w:val="clear" w:color="auto" w:fill="FFFFFF"/>
        </w:rPr>
      </w:pPr>
      <w:r w:rsidRPr="00EF12D2">
        <w:rPr>
          <w:rFonts w:cs="Times New Roman"/>
          <w:shd w:val="clear" w:color="auto" w:fill="FFFFFF"/>
        </w:rPr>
        <w:t>The main limitation of this study is the small number of included cases, which resulted in insufficient statistical power, failure to establish independent predictive factors through multivariate analysis, and inability to perform more detailed subgroup analyses (such as different chemotherapy stages or different pathological subtypes). In addition, this study was a single-center retrospective analysis and may have selection bias. Future studies need to expand the sample size and conduct multicenter prospective cohort studies to verify the sensitivity and specificity of the 278/</w:t>
      </w:r>
      <w:proofErr w:type="spellStart"/>
      <w:r w:rsidRPr="00EF12D2">
        <w:rPr>
          <w:rFonts w:cs="Times New Roman"/>
          <w:shd w:val="clear" w:color="auto" w:fill="FFFFFF"/>
        </w:rPr>
        <w:t>μL</w:t>
      </w:r>
      <w:proofErr w:type="spellEnd"/>
      <w:r w:rsidRPr="00EF12D2">
        <w:rPr>
          <w:rFonts w:cs="Times New Roman"/>
          <w:shd w:val="clear" w:color="auto" w:fill="FFFFFF"/>
        </w:rPr>
        <w:t xml:space="preserve"> cutoff value and to explore the feasibility of constructing a dynamic prediction model by combining multiple lymphocyte subsets.</w:t>
      </w:r>
    </w:p>
    <w:p w14:paraId="3B0969B1" w14:textId="77777777" w:rsidR="00B834B4" w:rsidRPr="00EF12D2" w:rsidRDefault="00B834B4" w:rsidP="00E93C2C">
      <w:pPr>
        <w:rPr>
          <w:rFonts w:cs="Times New Roman"/>
          <w:shd w:val="clear" w:color="auto" w:fill="FFFFFF"/>
        </w:rPr>
      </w:pPr>
    </w:p>
    <w:p w14:paraId="73288C41" w14:textId="77777777" w:rsidR="00B834B4" w:rsidRPr="00E93C2C" w:rsidRDefault="00000000" w:rsidP="00E93C2C">
      <w:pPr>
        <w:rPr>
          <w:rFonts w:cs="Times New Roman"/>
          <w:b/>
          <w:bCs/>
          <w:shd w:val="clear" w:color="auto" w:fill="FFFFFF"/>
        </w:rPr>
      </w:pPr>
      <w:r w:rsidRPr="00E93C2C">
        <w:rPr>
          <w:rFonts w:cs="Times New Roman"/>
          <w:b/>
          <w:bCs/>
          <w:shd w:val="clear" w:color="auto" w:fill="FFFFFF"/>
        </w:rPr>
        <w:t>5. Conclusion</w:t>
      </w:r>
    </w:p>
    <w:p w14:paraId="75999B76" w14:textId="05B370AC" w:rsidR="00B834B4" w:rsidRPr="00EF12D2" w:rsidRDefault="00000000" w:rsidP="00E93C2C">
      <w:pPr>
        <w:rPr>
          <w:rFonts w:cs="Times New Roman"/>
        </w:rPr>
      </w:pPr>
      <w:r w:rsidRPr="00EF12D2">
        <w:rPr>
          <w:rFonts w:cs="Times New Roman"/>
          <w:shd w:val="clear" w:color="auto" w:fill="FFFFFF"/>
        </w:rPr>
        <w:t>In summary, peripheral blood lymphocyte subset testing is simple and rapid and represents an important means of assessing the immune status of patients with hematological malignancies. A CD4+ T cell count &lt;</w:t>
      </w:r>
      <w:r w:rsidR="00C64060">
        <w:rPr>
          <w:rFonts w:cs="Times New Roman"/>
          <w:shd w:val="clear" w:color="auto" w:fill="FFFFFF"/>
        </w:rPr>
        <w:t xml:space="preserve"> </w:t>
      </w:r>
      <w:r w:rsidRPr="00EF12D2">
        <w:rPr>
          <w:rFonts w:cs="Times New Roman"/>
          <w:shd w:val="clear" w:color="auto" w:fill="FFFFFF"/>
        </w:rPr>
        <w:t>278/</w:t>
      </w:r>
      <w:proofErr w:type="spellStart"/>
      <w:r w:rsidRPr="00EF12D2">
        <w:rPr>
          <w:rFonts w:cs="Times New Roman"/>
          <w:shd w:val="clear" w:color="auto" w:fill="FFFFFF"/>
        </w:rPr>
        <w:t>μL</w:t>
      </w:r>
      <w:proofErr w:type="spellEnd"/>
      <w:r w:rsidRPr="00EF12D2">
        <w:rPr>
          <w:rFonts w:cs="Times New Roman"/>
          <w:shd w:val="clear" w:color="auto" w:fill="FFFFFF"/>
        </w:rPr>
        <w:t xml:space="preserve"> can serve as a potential early warning signal for opportunistic infection, while significant differences in B cell counts may aid in the preliminary differentiation of different hematological malignancies. Although large-sample statistical evidence remains to be supplemented, the existing trend results support the routine incorporation of lymphocyte subset monitoring into the risk stratification and follow-up management system for patients with hematological malignancies.</w:t>
      </w:r>
    </w:p>
    <w:p w14:paraId="20EDF5D4" w14:textId="77777777" w:rsidR="00B834B4" w:rsidRPr="00EF12D2" w:rsidRDefault="00B834B4" w:rsidP="00E93C2C">
      <w:pPr>
        <w:rPr>
          <w:rFonts w:cs="Times New Roman"/>
          <w:shd w:val="clear" w:color="auto" w:fill="FFFFFF"/>
        </w:rPr>
      </w:pPr>
    </w:p>
    <w:p w14:paraId="63FC9883" w14:textId="77777777" w:rsidR="00B834B4" w:rsidRPr="00E93C2C" w:rsidRDefault="00000000" w:rsidP="00E93C2C">
      <w:pPr>
        <w:rPr>
          <w:rFonts w:eastAsia="Microsoft YaHei" w:cs="Times New Roman"/>
          <w:b/>
          <w:bCs/>
          <w:snapToGrid w:val="0"/>
          <w:color w:val="222222"/>
          <w:shd w:val="clear" w:color="auto" w:fill="FFFFFF"/>
        </w:rPr>
      </w:pPr>
      <w:r w:rsidRPr="00E93C2C">
        <w:rPr>
          <w:rFonts w:eastAsia="Microsoft YaHei" w:cs="Times New Roman"/>
          <w:b/>
          <w:bCs/>
          <w:snapToGrid w:val="0"/>
          <w:color w:val="222222"/>
          <w:shd w:val="clear" w:color="auto" w:fill="FFFFFF"/>
        </w:rPr>
        <w:t>Funding</w:t>
      </w:r>
    </w:p>
    <w:p w14:paraId="2DA3358A" w14:textId="535805FA" w:rsidR="00B834B4" w:rsidRPr="00EF12D2" w:rsidRDefault="00000000" w:rsidP="00E93C2C">
      <w:pPr>
        <w:rPr>
          <w:rFonts w:cs="Times New Roman"/>
          <w:shd w:val="clear" w:color="auto" w:fill="FFFFFF"/>
        </w:rPr>
      </w:pPr>
      <w:r w:rsidRPr="00EF12D2">
        <w:rPr>
          <w:rFonts w:cs="Times New Roman"/>
          <w:shd w:val="clear" w:color="auto" w:fill="FFFFFF"/>
        </w:rPr>
        <w:t xml:space="preserve">Clinical Significance of Lymphocyte Subset Analysis in Patients with Hematologic Malignancies </w:t>
      </w:r>
      <w:r w:rsidR="00EF12D2" w:rsidRPr="00EF12D2">
        <w:rPr>
          <w:rFonts w:cs="Times New Roman"/>
          <w:shd w:val="clear" w:color="auto" w:fill="FFFFFF"/>
        </w:rPr>
        <w:t>(</w:t>
      </w:r>
      <w:r w:rsidRPr="00EF12D2">
        <w:rPr>
          <w:rFonts w:cs="Times New Roman"/>
          <w:shd w:val="clear" w:color="auto" w:fill="FFFFFF"/>
        </w:rPr>
        <w:t xml:space="preserve">Project No.: </w:t>
      </w:r>
      <w:proofErr w:type="spellStart"/>
      <w:r w:rsidRPr="00EF12D2">
        <w:rPr>
          <w:rFonts w:cs="Times New Roman"/>
          <w:shd w:val="clear" w:color="auto" w:fill="FFFFFF"/>
        </w:rPr>
        <w:t>Zhoukehe</w:t>
      </w:r>
      <w:proofErr w:type="spellEnd"/>
      <w:r w:rsidRPr="00EF12D2">
        <w:rPr>
          <w:rFonts w:cs="Times New Roman"/>
          <w:shd w:val="clear" w:color="auto" w:fill="FFFFFF"/>
        </w:rPr>
        <w:t xml:space="preserve"> Medical 2024-23</w:t>
      </w:r>
      <w:r w:rsidR="00EF12D2" w:rsidRPr="00EF12D2">
        <w:rPr>
          <w:rFonts w:cs="Times New Roman"/>
          <w:shd w:val="clear" w:color="auto" w:fill="FFFFFF"/>
        </w:rPr>
        <w:t>)</w:t>
      </w:r>
    </w:p>
    <w:p w14:paraId="6949BF14" w14:textId="77777777" w:rsidR="00B834B4" w:rsidRPr="00EF12D2" w:rsidRDefault="00B834B4" w:rsidP="00E93C2C">
      <w:pPr>
        <w:rPr>
          <w:rFonts w:cs="Times New Roman"/>
          <w:shd w:val="clear" w:color="auto" w:fill="FFFFFF"/>
        </w:rPr>
      </w:pPr>
    </w:p>
    <w:p w14:paraId="4D345B33" w14:textId="77777777" w:rsidR="00B834B4" w:rsidRPr="00E93C2C" w:rsidRDefault="00000000" w:rsidP="00E93C2C">
      <w:pPr>
        <w:rPr>
          <w:rFonts w:cs="Times New Roman"/>
          <w:b/>
          <w:bCs/>
        </w:rPr>
      </w:pPr>
      <w:bookmarkStart w:id="1" w:name="_Hlk181689731"/>
      <w:r w:rsidRPr="00E93C2C">
        <w:rPr>
          <w:rFonts w:cs="Times New Roman"/>
          <w:b/>
          <w:bCs/>
        </w:rPr>
        <w:t>Disclosure statement</w:t>
      </w:r>
    </w:p>
    <w:p w14:paraId="6C9B93CF" w14:textId="77777777" w:rsidR="00B834B4" w:rsidRPr="00EF12D2" w:rsidRDefault="00000000" w:rsidP="00E93C2C">
      <w:pPr>
        <w:rPr>
          <w:rFonts w:cs="Times New Roman"/>
        </w:rPr>
      </w:pPr>
      <w:r w:rsidRPr="00EF12D2">
        <w:rPr>
          <w:rFonts w:cs="Times New Roman"/>
        </w:rPr>
        <w:t xml:space="preserve">The authors declare no conflict of interest. </w:t>
      </w:r>
    </w:p>
    <w:bookmarkEnd w:id="1"/>
    <w:p w14:paraId="278255B3" w14:textId="77777777" w:rsidR="00B834B4" w:rsidRPr="00EF12D2" w:rsidRDefault="00B834B4" w:rsidP="00E93C2C">
      <w:pPr>
        <w:rPr>
          <w:rFonts w:cs="Times New Roman"/>
          <w:shd w:val="clear" w:color="auto" w:fill="FFFFFF"/>
        </w:rPr>
      </w:pPr>
    </w:p>
    <w:p w14:paraId="4E1E8446" w14:textId="77777777" w:rsidR="00B834B4" w:rsidRPr="00EF12D2" w:rsidRDefault="00000000" w:rsidP="00EF12D2">
      <w:pPr>
        <w:rPr>
          <w:rFonts w:cs="Times New Roman"/>
          <w:b/>
          <w:bCs/>
          <w:shd w:val="clear" w:color="auto" w:fill="FFFFFF"/>
        </w:rPr>
      </w:pPr>
      <w:r w:rsidRPr="00E93C2C">
        <w:rPr>
          <w:rFonts w:cs="Times New Roman"/>
          <w:b/>
          <w:bCs/>
          <w:shd w:val="clear" w:color="auto" w:fill="FFFFFF"/>
        </w:rPr>
        <w:t>References</w:t>
      </w:r>
    </w:p>
    <w:p w14:paraId="73BB7432" w14:textId="6F8E72F0" w:rsidR="00EF12D2" w:rsidRPr="00EF12D2" w:rsidRDefault="00EF12D2" w:rsidP="00EF12D2">
      <w:pPr>
        <w:ind w:left="454" w:hanging="454"/>
      </w:pPr>
      <w:bookmarkStart w:id="2" w:name="_Hlk185327419"/>
      <w:r w:rsidRPr="00EF12D2">
        <w:t>[1]</w:t>
      </w:r>
      <w:r w:rsidRPr="00EF12D2">
        <w:tab/>
        <w:t xml:space="preserve">Kovacs JA, Masur H, 2000, Prophylaxis Against Opportunistic Infections in Patients </w:t>
      </w:r>
      <w:proofErr w:type="gramStart"/>
      <w:r w:rsidRPr="00EF12D2">
        <w:t>With</w:t>
      </w:r>
      <w:proofErr w:type="gramEnd"/>
      <w:r w:rsidRPr="00EF12D2">
        <w:t xml:space="preserve"> Human Immunodeficiency Virus Infection. The New England Journal of Medicine, 342(19): 1416–1429.</w:t>
      </w:r>
    </w:p>
    <w:p w14:paraId="48A5DDD4" w14:textId="1D64587A" w:rsidR="00EF12D2" w:rsidRPr="00EF12D2" w:rsidRDefault="00EF12D2" w:rsidP="00EF12D2">
      <w:pPr>
        <w:ind w:left="454" w:hanging="454"/>
      </w:pPr>
      <w:r w:rsidRPr="00EF12D2">
        <w:t>[2]</w:t>
      </w:r>
      <w:r w:rsidRPr="00EF12D2">
        <w:tab/>
        <w:t xml:space="preserve">Bertaina A, Abraham A, Bonfim C, et al., 2022, An ISCT Stem Cell Engineering Committee Position Statement on Immune Reconstitution: The Importance of Predictable and Modifiable Milestones of Immune Reconstitution to Transplant Outcomes. </w:t>
      </w:r>
      <w:proofErr w:type="spellStart"/>
      <w:r w:rsidRPr="00EF12D2">
        <w:t>Cytotherapy</w:t>
      </w:r>
      <w:proofErr w:type="spellEnd"/>
      <w:r w:rsidRPr="00EF12D2">
        <w:t>, 24(4): 385–392.</w:t>
      </w:r>
    </w:p>
    <w:p w14:paraId="7D627565" w14:textId="1C4DE04F" w:rsidR="00EF12D2" w:rsidRPr="00EF12D2" w:rsidRDefault="00EF12D2" w:rsidP="00EF12D2">
      <w:pPr>
        <w:ind w:left="454" w:hanging="454"/>
      </w:pPr>
      <w:r w:rsidRPr="00EF12D2">
        <w:t>[3]</w:t>
      </w:r>
      <w:r w:rsidRPr="00EF12D2">
        <w:tab/>
        <w:t xml:space="preserve">Hammoudi T, Nucera S, </w:t>
      </w:r>
      <w:proofErr w:type="spellStart"/>
      <w:r w:rsidRPr="00EF12D2">
        <w:t>Troullioud</w:t>
      </w:r>
      <w:proofErr w:type="spellEnd"/>
      <w:r w:rsidRPr="00EF12D2">
        <w:t xml:space="preserve"> Lucas AG, et al., 2025, Harmonized Immune Recovery Monitoring After HCT: Evidence and Practical Guidance </w:t>
      </w:r>
      <w:proofErr w:type="gramStart"/>
      <w:r w:rsidRPr="00EF12D2">
        <w:t>From</w:t>
      </w:r>
      <w:proofErr w:type="gramEnd"/>
      <w:r w:rsidRPr="00EF12D2">
        <w:t xml:space="preserve"> the </w:t>
      </w:r>
      <w:proofErr w:type="spellStart"/>
      <w:r w:rsidRPr="00EF12D2">
        <w:t>Westhafen</w:t>
      </w:r>
      <w:proofErr w:type="spellEnd"/>
      <w:r w:rsidRPr="00EF12D2">
        <w:t xml:space="preserve"> Intercontinental Group. Blood Advances, 9(23): 6141–6157.</w:t>
      </w:r>
    </w:p>
    <w:p w14:paraId="113901E3" w14:textId="26E8A2F3" w:rsidR="00EF12D2" w:rsidRPr="00EF12D2" w:rsidRDefault="00EF12D2" w:rsidP="00EF12D2">
      <w:pPr>
        <w:ind w:left="454" w:hanging="454"/>
      </w:pPr>
      <w:r w:rsidRPr="00EF12D2">
        <w:t>[4]</w:t>
      </w:r>
      <w:r w:rsidRPr="00EF12D2">
        <w:tab/>
        <w:t xml:space="preserve">Masur H, Ognibene FP, Yarchoan R, et al., 1989, CD4 Counts as Predictors of Opportunistic Pneumonias in Human Immunodeficiency Virus (HIV) Infection. Annals of Internal Medicine, </w:t>
      </w:r>
      <w:r w:rsidRPr="00EF12D2">
        <w:lastRenderedPageBreak/>
        <w:t>111(3): 223–231.</w:t>
      </w:r>
    </w:p>
    <w:p w14:paraId="45E906AE" w14:textId="0C554A6F" w:rsidR="00EF12D2" w:rsidRPr="00EF12D2" w:rsidRDefault="00EF12D2" w:rsidP="00EF12D2">
      <w:pPr>
        <w:ind w:left="454" w:hanging="454"/>
      </w:pPr>
      <w:r w:rsidRPr="00EF12D2">
        <w:t>[5]</w:t>
      </w:r>
      <w:r w:rsidRPr="00EF12D2">
        <w:tab/>
        <w:t>Coghill AE, Bender Ignacio R, 2026, Further Unraveling the Association Between HIV, Immune Suppression, and Cancer Survival. Clinical Infectious Diseases: An Official Publication of the Infectious Diseases Society of America, ciag334.</w:t>
      </w:r>
    </w:p>
    <w:p w14:paraId="24494FFA" w14:textId="10353F22" w:rsidR="00EF12D2" w:rsidRPr="00EF12D2" w:rsidRDefault="00EF12D2" w:rsidP="00EF12D2">
      <w:pPr>
        <w:ind w:left="454" w:hanging="454"/>
      </w:pPr>
      <w:r w:rsidRPr="00EF12D2">
        <w:t>[6]</w:t>
      </w:r>
      <w:r w:rsidRPr="00EF12D2">
        <w:tab/>
      </w:r>
      <w:proofErr w:type="spellStart"/>
      <w:r w:rsidRPr="00EF12D2">
        <w:t>Duduveche</w:t>
      </w:r>
      <w:proofErr w:type="spellEnd"/>
      <w:r w:rsidRPr="00EF12D2">
        <w:t xml:space="preserve"> A, </w:t>
      </w:r>
      <w:proofErr w:type="spellStart"/>
      <w:r w:rsidRPr="00EF12D2">
        <w:t>Mohorea</w:t>
      </w:r>
      <w:proofErr w:type="spellEnd"/>
      <w:r w:rsidRPr="00EF12D2">
        <w:t xml:space="preserve">-Neata A, </w:t>
      </w:r>
      <w:proofErr w:type="spellStart"/>
      <w:r w:rsidRPr="00EF12D2">
        <w:t>Badelita</w:t>
      </w:r>
      <w:proofErr w:type="spellEnd"/>
      <w:r w:rsidRPr="00EF12D2">
        <w:t xml:space="preserve"> S, 2026, Review of Infections in Immunocompromised </w:t>
      </w:r>
      <w:proofErr w:type="spellStart"/>
      <w:r w:rsidRPr="00EF12D2">
        <w:t>Travellers</w:t>
      </w:r>
      <w:proofErr w:type="spellEnd"/>
      <w:r w:rsidRPr="00EF12D2">
        <w:t>: Epidemiology, Infection Prevention and Management. Microorganisms, 14(3): 721.</w:t>
      </w:r>
    </w:p>
    <w:p w14:paraId="009FAE0C" w14:textId="0A349A9C" w:rsidR="00EF12D2" w:rsidRPr="00EF12D2" w:rsidRDefault="00EF12D2" w:rsidP="00EF12D2">
      <w:pPr>
        <w:ind w:left="454" w:hanging="454"/>
      </w:pPr>
      <w:r w:rsidRPr="00EF12D2">
        <w:t>[7]</w:t>
      </w:r>
      <w:r w:rsidRPr="00EF12D2">
        <w:tab/>
      </w:r>
      <w:proofErr w:type="spellStart"/>
      <w:r w:rsidRPr="00EF12D2">
        <w:t>Timiryasova</w:t>
      </w:r>
      <w:proofErr w:type="spellEnd"/>
      <w:r w:rsidRPr="00EF12D2">
        <w:t xml:space="preserve"> A, Greenberg L, Domingo P, et al., 2026, CD4+ Cell Count Trends After Common Cancers in People With HIV: A Multicohort Collaboration. AIDS (London, England), 10: 1097.</w:t>
      </w:r>
    </w:p>
    <w:p w14:paraId="48AAC9B8" w14:textId="1D4CE04E" w:rsidR="00EF12D2" w:rsidRPr="00EF12D2" w:rsidRDefault="00EF12D2" w:rsidP="00EF12D2">
      <w:pPr>
        <w:ind w:left="454" w:hanging="454"/>
      </w:pPr>
      <w:r w:rsidRPr="00EF12D2">
        <w:t>[8]</w:t>
      </w:r>
      <w:r w:rsidRPr="00EF12D2">
        <w:tab/>
        <w:t xml:space="preserve">Schütt P, Brandhorst D, </w:t>
      </w:r>
      <w:proofErr w:type="spellStart"/>
      <w:r w:rsidRPr="00EF12D2">
        <w:t>Stellberg</w:t>
      </w:r>
      <w:proofErr w:type="spellEnd"/>
      <w:r w:rsidRPr="00EF12D2">
        <w:t xml:space="preserve"> W, et al., 2006, Immune Parameters in Multiple Myeloma Patients: Influence of Treatment and Correlation </w:t>
      </w:r>
      <w:proofErr w:type="gramStart"/>
      <w:r w:rsidRPr="00EF12D2">
        <w:t>With</w:t>
      </w:r>
      <w:proofErr w:type="gramEnd"/>
      <w:r w:rsidRPr="00EF12D2">
        <w:t xml:space="preserve"> Opportunistic Infections. Leukemia &amp; Lymphoma, 47(8): 1570–1582.</w:t>
      </w:r>
    </w:p>
    <w:p w14:paraId="12965C95" w14:textId="4F079C97" w:rsidR="00EF12D2" w:rsidRPr="00EF12D2" w:rsidRDefault="00EF12D2" w:rsidP="00EF12D2">
      <w:pPr>
        <w:ind w:left="454" w:hanging="454"/>
      </w:pPr>
      <w:r w:rsidRPr="00EF12D2">
        <w:t>[9]</w:t>
      </w:r>
      <w:r w:rsidRPr="00EF12D2">
        <w:tab/>
        <w:t xml:space="preserve">Teh BW, Harrison SJ, Pellegrini M, et al., 2014, Changing Treatment Paradigms for Patients </w:t>
      </w:r>
      <w:proofErr w:type="gramStart"/>
      <w:r w:rsidRPr="00EF12D2">
        <w:t>With</w:t>
      </w:r>
      <w:proofErr w:type="gramEnd"/>
      <w:r w:rsidRPr="00EF12D2">
        <w:t xml:space="preserve"> Plasma Cell Myeloma: Impact Upon Immune Determinants of Infection. Blood Reviews, 28(2): 75–86.</w:t>
      </w:r>
    </w:p>
    <w:p w14:paraId="66D39F23" w14:textId="30A0DC00" w:rsidR="00EF12D2" w:rsidRPr="00EF12D2" w:rsidRDefault="00EF12D2" w:rsidP="00EF12D2">
      <w:pPr>
        <w:ind w:left="454" w:hanging="454"/>
      </w:pPr>
      <w:r w:rsidRPr="00EF12D2">
        <w:t>[10]</w:t>
      </w:r>
      <w:r w:rsidRPr="00EF12D2">
        <w:tab/>
        <w:t>Caro J, Braunstein M, Williams L, et al., 2022, Inflammation and Infection in Plasma Cell Disorders: How Pathogens Shape the Fate of Patients. Leukemia, 36(3): 613–624.</w:t>
      </w:r>
    </w:p>
    <w:p w14:paraId="3A4E2291" w14:textId="762EDC3F" w:rsidR="00EF12D2" w:rsidRPr="00EF12D2" w:rsidRDefault="00EF12D2" w:rsidP="00EF12D2">
      <w:pPr>
        <w:ind w:left="454" w:hanging="454"/>
      </w:pPr>
      <w:r w:rsidRPr="00EF12D2">
        <w:t>[11]</w:t>
      </w:r>
      <w:r w:rsidRPr="00EF12D2">
        <w:tab/>
        <w:t>Kannan A, Jeffrey K, Misbah S, et al., 2025, Practical Guidance on the Prevention and Management of Infection in Multiple Myeloma Patients: A Case-Based Approach. Blood Reviews, 72: 101287.</w:t>
      </w:r>
    </w:p>
    <w:p w14:paraId="6E9C3E4B" w14:textId="0AF62C14" w:rsidR="00EF12D2" w:rsidRPr="00EF12D2" w:rsidRDefault="00EF12D2" w:rsidP="00EF12D2">
      <w:pPr>
        <w:ind w:left="454" w:hanging="454"/>
      </w:pPr>
      <w:r w:rsidRPr="00EF12D2">
        <w:t>[12]</w:t>
      </w:r>
      <w:r w:rsidRPr="00EF12D2">
        <w:tab/>
        <w:t>Tranter E, Busch D, Heck C, et al., 2025, Advanced Disease and CD8(+) TEMRA Cells Predict Severe Infections in Multiple Myeloma. Frontiers in Immunology, 16: 1532645.</w:t>
      </w:r>
    </w:p>
    <w:p w14:paraId="7E16FF6C" w14:textId="0311E6B8" w:rsidR="00EF12D2" w:rsidRPr="00EF12D2" w:rsidRDefault="00EF12D2" w:rsidP="00EF12D2">
      <w:pPr>
        <w:ind w:left="454" w:hanging="454"/>
      </w:pPr>
      <w:r w:rsidRPr="00EF12D2">
        <w:t>[13]</w:t>
      </w:r>
      <w:r w:rsidRPr="00EF12D2">
        <w:tab/>
        <w:t xml:space="preserve">Allegra A, </w:t>
      </w:r>
      <w:proofErr w:type="spellStart"/>
      <w:r w:rsidRPr="00EF12D2">
        <w:t>Tonacci</w:t>
      </w:r>
      <w:proofErr w:type="spellEnd"/>
      <w:r w:rsidRPr="00EF12D2">
        <w:t xml:space="preserve"> A, Musolino C, et al., 2021, Secondary Immunodeficiency in Hematological Malignancies: Focus on Multiple Myeloma and Chronic Lymphocytic Leukemia. Frontiers in Immunology, 12: 738915.</w:t>
      </w:r>
    </w:p>
    <w:p w14:paraId="023A0483" w14:textId="7998016C" w:rsidR="00EF12D2" w:rsidRPr="00EF12D2" w:rsidRDefault="00EF12D2" w:rsidP="00EF12D2">
      <w:pPr>
        <w:ind w:left="454" w:hanging="454"/>
      </w:pPr>
      <w:r w:rsidRPr="00EF12D2">
        <w:t>[14]</w:t>
      </w:r>
      <w:r w:rsidRPr="00EF12D2">
        <w:tab/>
      </w:r>
      <w:proofErr w:type="spellStart"/>
      <w:r w:rsidRPr="00EF12D2">
        <w:t>Opata</w:t>
      </w:r>
      <w:proofErr w:type="spellEnd"/>
      <w:r w:rsidRPr="00EF12D2">
        <w:t xml:space="preserve"> MM, Hollifield ML, Lund FE, et al., 2015, B Lymphocytes Are Required During the Early Priming of CD4+ T Cells for Clearance of Pneumocystis Infection in Mice. Journal of Immunology (Baltimore, Md.: 1950), 195(2): 611–620.</w:t>
      </w:r>
    </w:p>
    <w:p w14:paraId="51D68F65" w14:textId="1A9CDC3C" w:rsidR="00EF12D2" w:rsidRPr="00EF12D2" w:rsidRDefault="00EF12D2" w:rsidP="00EF12D2">
      <w:pPr>
        <w:ind w:left="454" w:hanging="454"/>
      </w:pPr>
      <w:r w:rsidRPr="00EF12D2">
        <w:t>[15]</w:t>
      </w:r>
      <w:r w:rsidRPr="00EF12D2">
        <w:tab/>
        <w:t>de la Rua NM, Samuelson DR, Charles TP, et al., 2016, CD4(+) T-Cell-Independent Secondary Immune Responses to Pneumocystis Pneumonia. Frontiers in Immunology, 7: 178.</w:t>
      </w:r>
    </w:p>
    <w:p w14:paraId="75C8298C" w14:textId="581B9982" w:rsidR="00EF12D2" w:rsidRPr="00EF12D2" w:rsidRDefault="00EF12D2" w:rsidP="00EF12D2">
      <w:pPr>
        <w:ind w:left="454" w:hanging="454"/>
      </w:pPr>
      <w:r w:rsidRPr="00EF12D2">
        <w:t>[16]</w:t>
      </w:r>
      <w:r w:rsidRPr="00EF12D2">
        <w:tab/>
      </w:r>
      <w:proofErr w:type="spellStart"/>
      <w:r w:rsidRPr="00EF12D2">
        <w:t>Cabug</w:t>
      </w:r>
      <w:proofErr w:type="spellEnd"/>
      <w:r w:rsidRPr="00EF12D2">
        <w:t xml:space="preserve"> AF, Scott NE, Zhang H, et al., 2026, CTL Lymph Node Entrapment Drives Lymphopenia in Severe Influenza Infection. Mucosal Immunology, 100346.</w:t>
      </w:r>
    </w:p>
    <w:p w14:paraId="563C7868" w14:textId="409E8334" w:rsidR="00EF12D2" w:rsidRPr="00EF12D2" w:rsidRDefault="00EF12D2" w:rsidP="00EF12D2">
      <w:pPr>
        <w:ind w:left="454" w:hanging="454"/>
      </w:pPr>
      <w:r w:rsidRPr="00EF12D2">
        <w:t>[17]</w:t>
      </w:r>
      <w:r w:rsidRPr="00EF12D2">
        <w:tab/>
      </w:r>
      <w:proofErr w:type="spellStart"/>
      <w:r w:rsidRPr="00EF12D2">
        <w:t>Mortezaee</w:t>
      </w:r>
      <w:proofErr w:type="spellEnd"/>
      <w:r w:rsidRPr="00EF12D2">
        <w:t xml:space="preserve"> K, </w:t>
      </w:r>
      <w:proofErr w:type="spellStart"/>
      <w:r w:rsidRPr="00EF12D2">
        <w:t>Majidpoor</w:t>
      </w:r>
      <w:proofErr w:type="spellEnd"/>
      <w:r w:rsidRPr="00EF12D2">
        <w:t xml:space="preserve"> J, 2022, CD8(+) T Cells in SARS-CoV-2 Induced Disease and Cancer-Clinical Perspectives. Frontiers in Immunology, 13: 864298.</w:t>
      </w:r>
    </w:p>
    <w:p w14:paraId="11A2F24E" w14:textId="1D32BE51" w:rsidR="00EF12D2" w:rsidRPr="00EF12D2" w:rsidRDefault="00EF12D2" w:rsidP="00EF12D2">
      <w:pPr>
        <w:ind w:left="454" w:hanging="454"/>
      </w:pPr>
      <w:r w:rsidRPr="00EF12D2">
        <w:t>[18]</w:t>
      </w:r>
      <w:r w:rsidRPr="00EF12D2">
        <w:tab/>
        <w:t>Symmonds J, Gaufin T, Xu C, et al., 2024, Making a Monkey Out of Human Immunodeficiency Virus/Simian Immunodeficiency Virus Pathogenesis: Immune Cell Depletion Experiments as a Tool to Understand the Immune Correlates of Protection and Pathogenicity in HIV Infection. Viruses, 16(6): 972.</w:t>
      </w:r>
    </w:p>
    <w:p w14:paraId="451798F3" w14:textId="52592621" w:rsidR="00EF12D2" w:rsidRPr="00EF12D2" w:rsidRDefault="00EF12D2" w:rsidP="00EF12D2">
      <w:pPr>
        <w:ind w:left="454" w:hanging="454"/>
      </w:pPr>
      <w:r w:rsidRPr="00EF12D2">
        <w:t>[19]</w:t>
      </w:r>
      <w:r w:rsidRPr="00EF12D2">
        <w:tab/>
        <w:t xml:space="preserve">Chowdhury SM, Bhatta S, Voorhees TJ, et al., 2025, Impact of Circulating Lymphoma Cells at Diagnosis on Outcomes in Patients </w:t>
      </w:r>
      <w:proofErr w:type="gramStart"/>
      <w:r w:rsidRPr="00EF12D2">
        <w:t>With</w:t>
      </w:r>
      <w:proofErr w:type="gramEnd"/>
      <w:r w:rsidRPr="00EF12D2">
        <w:t xml:space="preserve"> Newly Diagnosed De Novo Diffuse Large B-Cell Lymphoma. Journal of Hematology &amp; Oncology, 18(1): 4.</w:t>
      </w:r>
    </w:p>
    <w:p w14:paraId="6034AC67" w14:textId="4FD705B3" w:rsidR="00EF12D2" w:rsidRPr="00EF12D2" w:rsidRDefault="00EF12D2" w:rsidP="00EF12D2">
      <w:pPr>
        <w:ind w:left="454" w:hanging="454"/>
      </w:pPr>
      <w:r w:rsidRPr="00EF12D2">
        <w:t>[20]</w:t>
      </w:r>
      <w:r w:rsidRPr="00EF12D2">
        <w:tab/>
      </w:r>
      <w:proofErr w:type="spellStart"/>
      <w:r w:rsidRPr="00EF12D2">
        <w:t>Semenzato</w:t>
      </w:r>
      <w:proofErr w:type="spellEnd"/>
      <w:r w:rsidRPr="00EF12D2">
        <w:t xml:space="preserve"> G, Ghobrial IM, Ghia P, 2023, Monoclonal B-Cell Lymphocytosis, Monoclonal Gammopathy of Undetermined Significance, and T-Cell Clones of Uncertain Significance: Are These Premalignant Conditions Sharing a Common Identity? The Lancet </w:t>
      </w:r>
      <w:proofErr w:type="spellStart"/>
      <w:r w:rsidRPr="00EF12D2">
        <w:t>Haematology</w:t>
      </w:r>
      <w:proofErr w:type="spellEnd"/>
      <w:r w:rsidRPr="00EF12D2">
        <w:t>, 10(7): e549–e556.</w:t>
      </w:r>
    </w:p>
    <w:p w14:paraId="6AC34188" w14:textId="3573A59D" w:rsidR="00EF12D2" w:rsidRPr="00EF12D2" w:rsidRDefault="00EF12D2" w:rsidP="00EF12D2">
      <w:pPr>
        <w:ind w:left="454" w:hanging="454"/>
      </w:pPr>
      <w:r w:rsidRPr="00EF12D2">
        <w:t>[21]</w:t>
      </w:r>
      <w:r w:rsidRPr="00EF12D2">
        <w:tab/>
        <w:t xml:space="preserve">Jain N, Wierda WG, O'Brien S, 2024, Chronic Lymphocytic </w:t>
      </w:r>
      <w:proofErr w:type="spellStart"/>
      <w:r w:rsidRPr="00EF12D2">
        <w:t>Leukaemia</w:t>
      </w:r>
      <w:proofErr w:type="spellEnd"/>
      <w:r w:rsidRPr="00EF12D2">
        <w:t>. Lancet (London, England), 404(10453): 694–706.</w:t>
      </w:r>
    </w:p>
    <w:p w14:paraId="5F1E9015" w14:textId="4413D637" w:rsidR="00EF12D2" w:rsidRPr="00EF12D2" w:rsidRDefault="00EF12D2" w:rsidP="00EF12D2">
      <w:pPr>
        <w:ind w:left="454" w:hanging="454"/>
      </w:pPr>
      <w:r w:rsidRPr="00EF12D2">
        <w:t>[22]</w:t>
      </w:r>
      <w:r w:rsidRPr="00EF12D2">
        <w:tab/>
        <w:t>Maletin N, 2026, From Immune Exclusion to Exhaustion: Tumor Microenvironment Drives Therapy Response. Frontiers in Immunology, 17: 1785587.</w:t>
      </w:r>
    </w:p>
    <w:p w14:paraId="00BE0D42" w14:textId="0B20AE2F" w:rsidR="00EF12D2" w:rsidRPr="00EF12D2" w:rsidRDefault="00EF12D2" w:rsidP="00EF12D2">
      <w:pPr>
        <w:ind w:left="454" w:hanging="454"/>
      </w:pPr>
      <w:r w:rsidRPr="00EF12D2">
        <w:t>[23]</w:t>
      </w:r>
      <w:r w:rsidRPr="00EF12D2">
        <w:tab/>
        <w:t xml:space="preserve">Retamal MA, Salazar-Onfray F, González FE, et al., 2025, Tumor Hypoxia Shapes Natural </w:t>
      </w:r>
      <w:r w:rsidRPr="00EF12D2">
        <w:lastRenderedPageBreak/>
        <w:t>Killer Cell Anticancer Activities. Journal of Molecular Medicine (Berlin, Germany), 103(7): 755–777.</w:t>
      </w:r>
    </w:p>
    <w:p w14:paraId="65B096C0" w14:textId="5C4E1FB2" w:rsidR="00EF12D2" w:rsidRPr="00EF12D2" w:rsidRDefault="00EF12D2" w:rsidP="00EF12D2">
      <w:pPr>
        <w:ind w:left="454" w:hanging="454"/>
      </w:pPr>
      <w:r w:rsidRPr="00EF12D2">
        <w:t>[24]</w:t>
      </w:r>
      <w:r w:rsidRPr="00EF12D2">
        <w:tab/>
        <w:t xml:space="preserve">Hou H, Luo Y, Tang G, et al., 2021, Dynamic Changes in Peripheral Blood Lymphocyte Subset Counts and Functions in Patients </w:t>
      </w:r>
      <w:proofErr w:type="gramStart"/>
      <w:r w:rsidRPr="00EF12D2">
        <w:t>With</w:t>
      </w:r>
      <w:proofErr w:type="gramEnd"/>
      <w:r w:rsidRPr="00EF12D2">
        <w:t xml:space="preserve"> Diffuse Large B Cell Lymphoma During Chemotherapy. Cancer Cell International, 21(1): 282.</w:t>
      </w:r>
    </w:p>
    <w:p w14:paraId="05CF5A82" w14:textId="39D0E533" w:rsidR="00EF12D2" w:rsidRPr="00EF12D2" w:rsidRDefault="00EF12D2" w:rsidP="00EF12D2">
      <w:pPr>
        <w:ind w:left="454" w:hanging="454"/>
      </w:pPr>
      <w:r w:rsidRPr="00EF12D2">
        <w:t>[25]</w:t>
      </w:r>
      <w:r w:rsidRPr="00EF12D2">
        <w:tab/>
        <w:t>Qiu L, Xing L, Zhao M, et al., 2025, Prognostic Value of Lymphocyte Subsets in Diffuse Large B Cell Lymphoma. Frontiers in Oncology, 15: 1671062.</w:t>
      </w:r>
    </w:p>
    <w:p w14:paraId="15E3927E" w14:textId="77777777" w:rsidR="00EF12D2" w:rsidRPr="00EF12D2" w:rsidRDefault="00EF12D2" w:rsidP="00EF12D2"/>
    <w:p w14:paraId="56779E33" w14:textId="77777777" w:rsidR="00EF12D2" w:rsidRPr="00EF12D2" w:rsidRDefault="00EF12D2" w:rsidP="00EF12D2">
      <w:pPr>
        <w:widowControl/>
        <w:autoSpaceDE w:val="0"/>
        <w:autoSpaceDN w:val="0"/>
        <w:snapToGrid/>
        <w:jc w:val="left"/>
        <w:rPr>
          <w:b/>
          <w:bCs/>
          <w:kern w:val="0"/>
          <w:sz w:val="20"/>
          <w:szCs w:val="22"/>
          <w:lang w:eastAsia="en-US"/>
        </w:rPr>
      </w:pPr>
      <w:r w:rsidRPr="00EF12D2">
        <w:rPr>
          <w:b/>
          <w:bCs/>
          <w:kern w:val="0"/>
          <w:sz w:val="20"/>
          <w:szCs w:val="22"/>
          <w:lang w:eastAsia="en-US"/>
        </w:rPr>
        <w:t>Publisher’s note</w:t>
      </w:r>
    </w:p>
    <w:p w14:paraId="45FCEDBB" w14:textId="77777777" w:rsidR="00EF12D2" w:rsidRPr="00EF12D2" w:rsidRDefault="00EF12D2" w:rsidP="00EF12D2">
      <w:pPr>
        <w:adjustRightInd/>
        <w:snapToGrid/>
      </w:pPr>
      <w:r w:rsidRPr="00EF12D2">
        <w:rPr>
          <w:kern w:val="0"/>
          <w:sz w:val="20"/>
          <w:szCs w:val="22"/>
          <w:lang w:eastAsia="en-US"/>
        </w:rPr>
        <w:t>Bio-Byword Scientific Publishing remains neutral with regard to jurisdictional claims in published maps and institutional affiliations.</w:t>
      </w:r>
      <w:r w:rsidRPr="00EF12D2">
        <w:t xml:space="preserve"> </w:t>
      </w:r>
      <w:bookmarkEnd w:id="2"/>
    </w:p>
    <w:p w14:paraId="6292E4D4" w14:textId="77777777" w:rsidR="00B834B4" w:rsidRPr="00EF12D2" w:rsidRDefault="00B834B4">
      <w:pPr>
        <w:rPr>
          <w:rFonts w:cs="Times New Roman"/>
          <w:shd w:val="clear" w:color="auto" w:fill="FFFFFF"/>
        </w:rPr>
      </w:pPr>
    </w:p>
    <w:sectPr w:rsidR="00B834B4" w:rsidRPr="00EF12D2" w:rsidSect="00E93C2C">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B4"/>
    <w:rsid w:val="000D65B5"/>
    <w:rsid w:val="00865636"/>
    <w:rsid w:val="00B834B4"/>
    <w:rsid w:val="00C4480C"/>
    <w:rsid w:val="00C64060"/>
    <w:rsid w:val="00E93C2C"/>
    <w:rsid w:val="00EF12D2"/>
    <w:rsid w:val="5AAB63F4"/>
    <w:rsid w:val="60397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E7D38"/>
  <w15:docId w15:val="{0B703D91-C2D6-4AAB-A900-41060E95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2D2"/>
    <w:pPr>
      <w:widowControl w:val="0"/>
      <w:suppressAutoHyphens/>
      <w:adjustRightInd w:val="0"/>
      <w:snapToGrid w:val="0"/>
      <w:jc w:val="both"/>
    </w:pPr>
    <w:rPr>
      <w:rFonts w:cs="SimSun"/>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Autospacing="1" w:afterAutospacing="1"/>
      <w:jc w:val="left"/>
    </w:pPr>
    <w:rPr>
      <w:kern w:val="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paragraph" w:styleId="Revision">
    <w:name w:val="Revision"/>
    <w:hidden/>
    <w:uiPriority w:val="99"/>
    <w:unhideWhenUsed/>
    <w:rsid w:val="00EF12D2"/>
    <w:rPr>
      <w:rFonts w:ascii="Calibri" w:hAnsi="Calibri" w:cs="SimSun"/>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2953</Words>
  <Characters>16837</Characters>
  <Application>Microsoft Office Word</Application>
  <DocSecurity>0</DocSecurity>
  <Lines>140</Lines>
  <Paragraphs>39</Paragraphs>
  <ScaleCrop>false</ScaleCrop>
  <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2026-09-24T01:49:00Z</dcterms:created>
  <dcterms:modified xsi:type="dcterms:W3CDTF">2026-09-24T01:49:00Z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9E733F36C4A340829CC48D8589720B49_13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a91500d5-16f3-496a-9362-f77240f30f03</vt:lpwstr>
  </property>
</Properties>
</file>