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1CE3F" w14:textId="77777777" w:rsidR="00BD030E" w:rsidRPr="008C261E" w:rsidRDefault="00000000" w:rsidP="008C261E">
      <w:pPr>
        <w:jc w:val="left"/>
        <w:rPr>
          <w:rFonts w:cs="Times New Roman"/>
          <w:b/>
          <w:bCs/>
          <w:sz w:val="44"/>
          <w:szCs w:val="44"/>
        </w:rPr>
      </w:pPr>
      <w:r w:rsidRPr="008C261E">
        <w:rPr>
          <w:rFonts w:cs="Times New Roman"/>
          <w:b/>
          <w:bCs/>
          <w:sz w:val="44"/>
          <w:szCs w:val="44"/>
          <w:shd w:val="clear" w:color="auto" w:fill="FFFFFF"/>
        </w:rPr>
        <w:t xml:space="preserve">Combined Zorifertinib and </w:t>
      </w:r>
      <w:proofErr w:type="spellStart"/>
      <w:r w:rsidRPr="008C261E">
        <w:rPr>
          <w:rFonts w:cs="Times New Roman"/>
          <w:b/>
          <w:bCs/>
          <w:sz w:val="44"/>
          <w:szCs w:val="44"/>
          <w:shd w:val="clear" w:color="auto" w:fill="FFFFFF"/>
        </w:rPr>
        <w:t>Almonertinib</w:t>
      </w:r>
      <w:proofErr w:type="spellEnd"/>
      <w:r w:rsidRPr="008C261E">
        <w:rPr>
          <w:rFonts w:cs="Times New Roman"/>
          <w:b/>
          <w:bCs/>
          <w:sz w:val="44"/>
          <w:szCs w:val="44"/>
          <w:shd w:val="clear" w:color="auto" w:fill="FFFFFF"/>
        </w:rPr>
        <w:t xml:space="preserve"> in EGFR-Mutant NSCLC with Leptomeningeal Metastasis: A Two-Case Report with Serial Plasma and Cerebrospinal Fluid Drug Concentration Monitoring</w:t>
      </w:r>
    </w:p>
    <w:p w14:paraId="71F23B9F" w14:textId="77777777" w:rsidR="00BD030E" w:rsidRPr="00D83A1F" w:rsidRDefault="00000000" w:rsidP="00D83A1F">
      <w:pPr>
        <w:rPr>
          <w:rFonts w:cs="Times New Roman"/>
          <w:b/>
          <w:bCs/>
          <w:vertAlign w:val="superscript"/>
        </w:rPr>
      </w:pPr>
      <w:proofErr w:type="spellStart"/>
      <w:r w:rsidRPr="00D83A1F">
        <w:rPr>
          <w:rFonts w:cs="Times New Roman"/>
          <w:b/>
          <w:bCs/>
        </w:rPr>
        <w:t>Qiqi</w:t>
      </w:r>
      <w:proofErr w:type="spellEnd"/>
      <w:r w:rsidRPr="00D83A1F">
        <w:rPr>
          <w:rFonts w:cs="Times New Roman"/>
          <w:b/>
          <w:bCs/>
        </w:rPr>
        <w:t xml:space="preserve"> Liu</w:t>
      </w:r>
      <w:r w:rsidRPr="00D83A1F">
        <w:rPr>
          <w:rFonts w:cs="Times New Roman"/>
          <w:b/>
          <w:bCs/>
          <w:vertAlign w:val="superscript"/>
        </w:rPr>
        <w:t>1</w:t>
      </w:r>
      <w:r w:rsidRPr="00D83A1F">
        <w:rPr>
          <w:rFonts w:cs="Times New Roman"/>
          <w:b/>
          <w:bCs/>
        </w:rPr>
        <w:t xml:space="preserve">, </w:t>
      </w:r>
      <w:proofErr w:type="spellStart"/>
      <w:r w:rsidRPr="00D83A1F">
        <w:rPr>
          <w:rFonts w:cs="Times New Roman"/>
          <w:b/>
          <w:bCs/>
        </w:rPr>
        <w:t>Qiuhua</w:t>
      </w:r>
      <w:proofErr w:type="spellEnd"/>
      <w:r w:rsidRPr="00D83A1F">
        <w:rPr>
          <w:rFonts w:cs="Times New Roman"/>
          <w:b/>
          <w:bCs/>
        </w:rPr>
        <w:t xml:space="preserve"> Deng</w:t>
      </w:r>
      <w:r w:rsidRPr="00D83A1F">
        <w:rPr>
          <w:rFonts w:cs="Times New Roman"/>
          <w:b/>
          <w:bCs/>
          <w:vertAlign w:val="superscript"/>
        </w:rPr>
        <w:t>2</w:t>
      </w:r>
      <w:r w:rsidRPr="00D83A1F">
        <w:rPr>
          <w:rFonts w:cs="Times New Roman"/>
          <w:b/>
          <w:bCs/>
        </w:rPr>
        <w:t xml:space="preserve">, </w:t>
      </w:r>
      <w:proofErr w:type="spellStart"/>
      <w:r w:rsidRPr="00D83A1F">
        <w:rPr>
          <w:rFonts w:cs="Times New Roman"/>
          <w:b/>
          <w:bCs/>
        </w:rPr>
        <w:t>Fengnan</w:t>
      </w:r>
      <w:proofErr w:type="spellEnd"/>
      <w:r w:rsidRPr="00D83A1F">
        <w:rPr>
          <w:rFonts w:cs="Times New Roman"/>
          <w:b/>
          <w:bCs/>
        </w:rPr>
        <w:t xml:space="preserve"> Wang</w:t>
      </w:r>
      <w:r w:rsidRPr="00D83A1F">
        <w:rPr>
          <w:rFonts w:cs="Times New Roman"/>
          <w:b/>
          <w:bCs/>
          <w:vertAlign w:val="superscript"/>
        </w:rPr>
        <w:t>3</w:t>
      </w:r>
      <w:r w:rsidRPr="00D83A1F">
        <w:rPr>
          <w:rFonts w:cs="Times New Roman"/>
          <w:b/>
          <w:bCs/>
        </w:rPr>
        <w:t xml:space="preserve">, </w:t>
      </w:r>
      <w:proofErr w:type="spellStart"/>
      <w:r w:rsidRPr="00D83A1F">
        <w:rPr>
          <w:rFonts w:cs="Times New Roman"/>
          <w:b/>
          <w:bCs/>
        </w:rPr>
        <w:t>Haihong</w:t>
      </w:r>
      <w:proofErr w:type="spellEnd"/>
      <w:r w:rsidRPr="00D83A1F">
        <w:rPr>
          <w:rFonts w:cs="Times New Roman"/>
          <w:b/>
          <w:bCs/>
        </w:rPr>
        <w:t xml:space="preserve"> Yang</w:t>
      </w:r>
      <w:r w:rsidRPr="00D83A1F">
        <w:rPr>
          <w:rFonts w:cs="Times New Roman"/>
          <w:b/>
          <w:bCs/>
          <w:vertAlign w:val="superscript"/>
        </w:rPr>
        <w:t>1</w:t>
      </w:r>
    </w:p>
    <w:p w14:paraId="74E642F6" w14:textId="77777777" w:rsidR="00BD030E" w:rsidRPr="00D83A1F" w:rsidRDefault="00000000" w:rsidP="00D83A1F">
      <w:pPr>
        <w:rPr>
          <w:rFonts w:cs="Times New Roman"/>
        </w:rPr>
      </w:pPr>
      <w:r w:rsidRPr="00D83A1F">
        <w:rPr>
          <w:rFonts w:cs="Times New Roman"/>
          <w:vertAlign w:val="superscript"/>
        </w:rPr>
        <w:t>1</w:t>
      </w:r>
      <w:r w:rsidRPr="00D83A1F">
        <w:rPr>
          <w:rFonts w:cs="Times New Roman"/>
        </w:rPr>
        <w:t>Department of Thoracic Oncology, the First Affiliated Hospital of Guangzhou Medical University, State Key Laboratory of Respiratory Diseases, National Clinical Research Center of Respiratory Disease, Guangzhou 510120, Guangdong, China</w:t>
      </w:r>
    </w:p>
    <w:p w14:paraId="40A3CF7A" w14:textId="77777777" w:rsidR="00BD030E" w:rsidRPr="00D83A1F" w:rsidRDefault="00000000" w:rsidP="00D83A1F">
      <w:pPr>
        <w:rPr>
          <w:rFonts w:cs="Times New Roman"/>
        </w:rPr>
      </w:pPr>
      <w:r w:rsidRPr="00D83A1F">
        <w:rPr>
          <w:rFonts w:cs="Times New Roman"/>
          <w:vertAlign w:val="superscript"/>
        </w:rPr>
        <w:t>2</w:t>
      </w:r>
      <w:r w:rsidRPr="00D83A1F">
        <w:rPr>
          <w:rFonts w:cs="Times New Roman"/>
        </w:rPr>
        <w:t>Clinical Laboratory, the First Affiliated Hospital of Guangzhou Medical University, Guangzhou 510120, Guangdong, China</w:t>
      </w:r>
    </w:p>
    <w:p w14:paraId="675B5BC0" w14:textId="77777777" w:rsidR="00BD030E" w:rsidRPr="00D83A1F" w:rsidRDefault="00000000" w:rsidP="00D83A1F">
      <w:pPr>
        <w:rPr>
          <w:rFonts w:cs="Times New Roman"/>
        </w:rPr>
      </w:pPr>
      <w:r w:rsidRPr="00D83A1F">
        <w:rPr>
          <w:rFonts w:cs="Times New Roman"/>
          <w:vertAlign w:val="superscript"/>
        </w:rPr>
        <w:t>3</w:t>
      </w:r>
      <w:r w:rsidRPr="00D83A1F">
        <w:rPr>
          <w:rFonts w:cs="Times New Roman"/>
        </w:rPr>
        <w:t>Department of Respiratory, Hengqin Hospital, The First Affiliated Hospital of Guangzhou Medical University, Zhuhai 519031, Guangdong, China</w:t>
      </w:r>
    </w:p>
    <w:p w14:paraId="0C54EBBF" w14:textId="77777777" w:rsidR="00D83A1F" w:rsidRDefault="00D83A1F" w:rsidP="00D83A1F">
      <w:pPr>
        <w:rPr>
          <w:highlight w:val="yellow"/>
        </w:rPr>
      </w:pPr>
    </w:p>
    <w:p w14:paraId="30E4BE3A" w14:textId="77777777" w:rsidR="00D83A1F" w:rsidRDefault="00D83A1F" w:rsidP="00D83A1F">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36DBCC30" w14:textId="77777777" w:rsidR="00BD030E" w:rsidRPr="00D83A1F" w:rsidRDefault="00BD030E" w:rsidP="00D83A1F">
      <w:pPr>
        <w:rPr>
          <w:rFonts w:cs="Times New Roman"/>
        </w:rPr>
      </w:pPr>
    </w:p>
    <w:p w14:paraId="29351572" w14:textId="6C42FA51" w:rsidR="00BD030E" w:rsidRPr="008C261E" w:rsidRDefault="00000000" w:rsidP="008C261E">
      <w:pPr>
        <w:rPr>
          <w:rFonts w:cs="Times New Roman"/>
          <w:b/>
          <w:bCs/>
        </w:rPr>
      </w:pPr>
      <w:r w:rsidRPr="008C261E">
        <w:rPr>
          <w:rFonts w:eastAsia="var(--dsw-font-markdown-h2)" w:cs="Times New Roman"/>
          <w:b/>
          <w:bCs/>
          <w:shd w:val="clear" w:color="auto" w:fill="FFFFFF"/>
        </w:rPr>
        <w:t>Abstract</w:t>
      </w:r>
      <w:r w:rsidRPr="008C261E">
        <w:rPr>
          <w:rFonts w:cs="Times New Roman"/>
          <w:b/>
          <w:bCs/>
          <w:shd w:val="clear" w:color="auto" w:fill="FFFFFF"/>
        </w:rPr>
        <w:t>:</w:t>
      </w:r>
      <w:r w:rsidRPr="00D83A1F">
        <w:rPr>
          <w:rFonts w:cs="Times New Roman"/>
          <w:shd w:val="clear" w:color="auto" w:fill="FFFFFF"/>
        </w:rPr>
        <w:t xml:space="preserve"> </w:t>
      </w:r>
      <w:r w:rsidRPr="00D83A1F">
        <w:rPr>
          <w:rFonts w:eastAsia="Segoe UI" w:cs="Times New Roman"/>
          <w:i/>
          <w:iCs/>
          <w:shd w:val="clear" w:color="auto" w:fill="FFFFFF"/>
        </w:rPr>
        <w:t>Background</w:t>
      </w:r>
      <w:r w:rsidRPr="00D83A1F">
        <w:rPr>
          <w:rFonts w:eastAsia="Segoe UI" w:cs="Times New Roman"/>
          <w:shd w:val="clear" w:color="auto" w:fill="FFFFFF"/>
        </w:rPr>
        <w:t>: Leptomeningeal metastasis (LM) is a devastating complication of EGFR-mutant non-small cell lung cancer (NSCLC) with a dismal prognosis. Optimal CNS-penetrating EGFR-tyrosine kinase inhibitors (TKIs) and combination strategies remain poorly defined, and real-time pharmacokinetic data in LM patients are scarce.</w:t>
      </w:r>
      <w:r w:rsidRPr="00D83A1F">
        <w:rPr>
          <w:rFonts w:cs="Times New Roman"/>
          <w:shd w:val="clear" w:color="auto" w:fill="FFFFFF"/>
        </w:rPr>
        <w:t xml:space="preserve"> </w:t>
      </w:r>
      <w:r w:rsidRPr="00D83A1F">
        <w:rPr>
          <w:rFonts w:eastAsia="Segoe UI" w:cs="Times New Roman"/>
          <w:i/>
          <w:iCs/>
          <w:shd w:val="clear" w:color="auto" w:fill="FFFFFF"/>
        </w:rPr>
        <w:t xml:space="preserve">Case </w:t>
      </w:r>
      <w:r w:rsidRPr="00D83A1F">
        <w:rPr>
          <w:rFonts w:cs="Times New Roman"/>
          <w:i/>
          <w:iCs/>
          <w:shd w:val="clear" w:color="auto" w:fill="FFFFFF"/>
        </w:rPr>
        <w:t>p</w:t>
      </w:r>
      <w:r w:rsidRPr="00D83A1F">
        <w:rPr>
          <w:rFonts w:eastAsia="Segoe UI" w:cs="Times New Roman"/>
          <w:i/>
          <w:iCs/>
          <w:shd w:val="clear" w:color="auto" w:fill="FFFFFF"/>
        </w:rPr>
        <w:t>resentation</w:t>
      </w:r>
      <w:r w:rsidRPr="00D83A1F">
        <w:rPr>
          <w:rFonts w:eastAsia="Segoe UI" w:cs="Times New Roman"/>
          <w:shd w:val="clear" w:color="auto" w:fill="FFFFFF"/>
        </w:rPr>
        <w:t>: We report two female patients (Z005, aged 50, EGFR exon 19 deletion; Z006, aged 62, EGFR L858R/T790M) with LM who received combination therapy with zorifertinib</w:t>
      </w:r>
      <w:r w:rsidRPr="008C261E">
        <w:rPr>
          <w:rFonts w:eastAsia="SimSun" w:cs="Times New Roman"/>
          <w:shd w:val="clear" w:color="auto" w:fill="FFFFFF"/>
        </w:rPr>
        <w:t xml:space="preserve"> and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Serial paired plasma and cerebrospinal fluid (CSF) samples were collected via </w:t>
      </w:r>
      <w:r w:rsidR="00AF1E36">
        <w:rPr>
          <w:rFonts w:eastAsia="Segoe UI" w:cs="Times New Roman"/>
          <w:shd w:val="clear" w:color="auto" w:fill="FFFFFF"/>
        </w:rPr>
        <w:t xml:space="preserve">the </w:t>
      </w:r>
      <w:r w:rsidRPr="00D83A1F">
        <w:rPr>
          <w:rFonts w:eastAsia="Segoe UI" w:cs="Times New Roman"/>
          <w:shd w:val="clear" w:color="auto" w:fill="FFFFFF"/>
        </w:rPr>
        <w:t>Ommaya reservoir for targeted drug concentration measurements, alongside longitudinal RANO-LM assessments. Patient</w:t>
      </w:r>
      <w:r w:rsidRPr="008C261E">
        <w:rPr>
          <w:rFonts w:eastAsia="SimSun" w:cs="Times New Roman"/>
          <w:shd w:val="clear" w:color="auto" w:fill="FFFFFF"/>
        </w:rPr>
        <w:t xml:space="preserve"> </w:t>
      </w:r>
      <w:r w:rsidRPr="00D83A1F">
        <w:rPr>
          <w:rFonts w:eastAsia="Segoe UI" w:cs="Times New Roman"/>
          <w:shd w:val="clear" w:color="auto" w:fill="FFFFFF"/>
        </w:rPr>
        <w:t>Z005 demonstrated a dramatic response, with neurological score improving from 3 to 0 and MRI showing marked improvement within two months.</w:t>
      </w:r>
      <w:r w:rsidRPr="00D83A1F">
        <w:rPr>
          <w:rFonts w:cs="Times New Roman"/>
          <w:shd w:val="clear" w:color="auto" w:fill="FFFFFF"/>
        </w:rPr>
        <w:t xml:space="preserve"> Patient Z006 received the combination regimen for five months, after which her cerebrospinal fluid cytology turned negative and neurological symptoms resolved completely, suggesting effective disease control. Both patients tolerated the combination therapy with manageable adverse events, and at the time of last follow-up, both remained clinically stable with no evidence of disease progression. </w:t>
      </w:r>
      <w:r w:rsidRPr="00D83A1F">
        <w:rPr>
          <w:rFonts w:eastAsia="Segoe UI" w:cs="Times New Roman"/>
          <w:i/>
          <w:iCs/>
          <w:shd w:val="clear" w:color="auto" w:fill="FFFFFF"/>
        </w:rPr>
        <w:t>Results</w:t>
      </w:r>
      <w:r w:rsidRPr="00D83A1F">
        <w:rPr>
          <w:rFonts w:eastAsia="Segoe UI" w:cs="Times New Roman"/>
          <w:shd w:val="clear" w:color="auto" w:fill="FFFFFF"/>
        </w:rPr>
        <w:t xml:space="preserve">: CSF total concentrations of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ranged from 0.770 to 14.9 nmol/L. </w:t>
      </w:r>
      <w:r w:rsidRPr="008C261E">
        <w:rPr>
          <w:rFonts w:eastAsia="SimSun" w:cs="Times New Roman"/>
          <w:shd w:val="clear" w:color="auto" w:fill="FFFFFF"/>
        </w:rPr>
        <w:t>z</w:t>
      </w:r>
      <w:r w:rsidRPr="00D83A1F">
        <w:rPr>
          <w:rFonts w:eastAsia="Segoe UI" w:cs="Times New Roman"/>
          <w:shd w:val="clear" w:color="auto" w:fill="FFFFFF"/>
        </w:rPr>
        <w:t xml:space="preserve">orifertinib achieved substantially higher CSF penetration, with CSF total concentrations of 20.9–27.2 nmol/L and </w:t>
      </w:r>
      <w:proofErr w:type="spellStart"/>
      <w:r w:rsidRPr="00D83A1F">
        <w:rPr>
          <w:rFonts w:eastAsia="Segoe UI" w:cs="Times New Roman"/>
          <w:shd w:val="clear" w:color="auto" w:fill="FFFFFF"/>
        </w:rPr>
        <w:t>Kpuu</w:t>
      </w:r>
      <w:proofErr w:type="spellEnd"/>
      <w:r w:rsidRPr="00D83A1F">
        <w:rPr>
          <w:rFonts w:eastAsia="Segoe UI" w:cs="Times New Roman"/>
          <w:shd w:val="clear" w:color="auto" w:fill="FFFFFF"/>
        </w:rPr>
        <w:t>,</w:t>
      </w:r>
      <w:r w:rsidRPr="00D83A1F">
        <w:rPr>
          <w:rFonts w:cs="Times New Roman"/>
          <w:shd w:val="clear" w:color="auto" w:fill="FFFFFF"/>
        </w:rPr>
        <w:t xml:space="preserve"> </w:t>
      </w:r>
      <w:r w:rsidRPr="00D83A1F">
        <w:rPr>
          <w:rFonts w:eastAsia="Segoe UI" w:cs="Times New Roman"/>
          <w:shd w:val="clear" w:color="auto" w:fill="FFFFFF"/>
        </w:rPr>
        <w:t>CSF values of 0.81–0.94, consistent with near-complete blood-brain barrier penetration.</w:t>
      </w:r>
      <w:r w:rsidRPr="00D83A1F">
        <w:rPr>
          <w:rFonts w:cs="Times New Roman"/>
          <w:shd w:val="clear" w:color="auto" w:fill="FFFFFF"/>
        </w:rPr>
        <w:t xml:space="preserve"> </w:t>
      </w:r>
      <w:r w:rsidRPr="00D83A1F">
        <w:rPr>
          <w:rFonts w:eastAsia="Segoe UI" w:cs="Times New Roman"/>
          <w:i/>
          <w:iCs/>
          <w:shd w:val="clear" w:color="auto" w:fill="FFFFFF"/>
        </w:rPr>
        <w:t>Conclusion</w:t>
      </w:r>
      <w:r w:rsidRPr="00D83A1F">
        <w:rPr>
          <w:rFonts w:eastAsia="Segoe UI" w:cs="Times New Roman"/>
          <w:shd w:val="clear" w:color="auto" w:fill="FFFFFF"/>
        </w:rPr>
        <w:t>: This report provides the detailed pharmacokinetic characterization of combined zorifertinib</w:t>
      </w:r>
      <w:r w:rsidRPr="008C261E">
        <w:rPr>
          <w:rFonts w:eastAsia="SimSun" w:cs="Times New Roman"/>
          <w:shd w:val="clear" w:color="auto" w:fill="FFFFFF"/>
        </w:rPr>
        <w:t xml:space="preserve"> and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in LM patients using Ommaya reservoir-based CSF sampling. Two similar clinical outcomes suggest that combination regimens may produce favorable therapeutic effects in patients with LM, and also reflect the potential clinical value of therapeutic drug monitoring (TDM).</w:t>
      </w:r>
    </w:p>
    <w:p w14:paraId="74847F3E" w14:textId="77777777" w:rsidR="00BD030E" w:rsidRPr="00D83A1F" w:rsidRDefault="00000000" w:rsidP="008C261E">
      <w:pPr>
        <w:rPr>
          <w:rFonts w:cs="Times New Roman"/>
        </w:rPr>
      </w:pPr>
      <w:r w:rsidRPr="00D83A1F">
        <w:rPr>
          <w:rFonts w:eastAsia="Segoe UI" w:cs="Times New Roman"/>
          <w:b/>
          <w:bCs/>
          <w:shd w:val="clear" w:color="auto" w:fill="FFFFFF"/>
        </w:rPr>
        <w:t>Keywords:</w:t>
      </w:r>
      <w:r w:rsidRPr="00D83A1F">
        <w:rPr>
          <w:rFonts w:eastAsia="Segoe UI" w:cs="Times New Roman"/>
          <w:shd w:val="clear" w:color="auto" w:fill="FFFFFF"/>
        </w:rPr>
        <w:t> </w:t>
      </w:r>
      <w:r w:rsidRPr="00D83A1F">
        <w:rPr>
          <w:rFonts w:eastAsia="SimSun" w:cs="Times New Roman"/>
          <w:shd w:val="clear" w:color="auto" w:fill="FFFFFF"/>
        </w:rPr>
        <w:t>L</w:t>
      </w:r>
      <w:r w:rsidRPr="00D83A1F">
        <w:rPr>
          <w:rFonts w:eastAsia="Segoe UI" w:cs="Times New Roman"/>
          <w:shd w:val="clear" w:color="auto" w:fill="FFFFFF"/>
        </w:rPr>
        <w:t>eptomeningeal metastasis</w:t>
      </w:r>
      <w:r w:rsidRPr="00D83A1F">
        <w:rPr>
          <w:rFonts w:eastAsia="SimSun" w:cs="Times New Roman"/>
          <w:shd w:val="clear" w:color="auto" w:fill="FFFFFF"/>
        </w:rPr>
        <w:t>;</w:t>
      </w:r>
      <w:r w:rsidRPr="00D83A1F">
        <w:rPr>
          <w:rFonts w:eastAsia="Segoe UI" w:cs="Times New Roman"/>
          <w:shd w:val="clear" w:color="auto" w:fill="FFFFFF"/>
        </w:rPr>
        <w:t xml:space="preserve"> </w:t>
      </w:r>
      <w:proofErr w:type="gramStart"/>
      <w:r w:rsidRPr="00D83A1F">
        <w:rPr>
          <w:rFonts w:eastAsia="SimSun" w:cs="Times New Roman"/>
          <w:shd w:val="clear" w:color="auto" w:fill="FFFFFF"/>
        </w:rPr>
        <w:t>N</w:t>
      </w:r>
      <w:r w:rsidRPr="00D83A1F">
        <w:rPr>
          <w:rFonts w:eastAsia="Segoe UI" w:cs="Times New Roman"/>
          <w:shd w:val="clear" w:color="auto" w:fill="FFFFFF"/>
        </w:rPr>
        <w:t>on-small</w:t>
      </w:r>
      <w:proofErr w:type="gramEnd"/>
      <w:r w:rsidRPr="00D83A1F">
        <w:rPr>
          <w:rFonts w:eastAsia="Segoe UI" w:cs="Times New Roman"/>
          <w:shd w:val="clear" w:color="auto" w:fill="FFFFFF"/>
        </w:rPr>
        <w:t xml:space="preserve"> cell lung cancer</w:t>
      </w:r>
      <w:r w:rsidRPr="00D83A1F">
        <w:rPr>
          <w:rFonts w:eastAsia="SimSun" w:cs="Times New Roman"/>
          <w:shd w:val="clear" w:color="auto" w:fill="FFFFFF"/>
        </w:rPr>
        <w:t>;</w:t>
      </w:r>
      <w:r w:rsidRPr="00D83A1F">
        <w:rPr>
          <w:rFonts w:eastAsia="Segoe UI" w:cs="Times New Roman"/>
          <w:shd w:val="clear" w:color="auto" w:fill="FFFFFF"/>
        </w:rPr>
        <w:t xml:space="preserve"> EGFR-TKI</w:t>
      </w:r>
      <w:r w:rsidRPr="00D83A1F">
        <w:rPr>
          <w:rFonts w:eastAsia="SimSun" w:cs="Times New Roman"/>
          <w:shd w:val="clear" w:color="auto" w:fill="FFFFFF"/>
        </w:rPr>
        <w:t>;</w:t>
      </w:r>
      <w:r w:rsidRPr="00D83A1F">
        <w:rPr>
          <w:rFonts w:eastAsia="Segoe UI" w:cs="Times New Roman"/>
          <w:shd w:val="clear" w:color="auto" w:fill="FFFFFF"/>
        </w:rPr>
        <w:t xml:space="preserve"> </w:t>
      </w:r>
      <w:r w:rsidRPr="00D83A1F">
        <w:rPr>
          <w:rFonts w:eastAsia="SimSun" w:cs="Times New Roman"/>
          <w:shd w:val="clear" w:color="auto" w:fill="FFFFFF"/>
        </w:rPr>
        <w:t>Z</w:t>
      </w:r>
      <w:r w:rsidRPr="00D83A1F">
        <w:rPr>
          <w:rFonts w:eastAsia="Segoe UI" w:cs="Times New Roman"/>
          <w:shd w:val="clear" w:color="auto" w:fill="FFFFFF"/>
        </w:rPr>
        <w:t>orifertinib</w:t>
      </w:r>
      <w:r w:rsidRPr="00D83A1F">
        <w:rPr>
          <w:rFonts w:eastAsia="SimSun" w:cs="Times New Roman"/>
          <w:shd w:val="clear" w:color="auto" w:fill="FFFFFF"/>
        </w:rPr>
        <w:t xml:space="preserve">; </w:t>
      </w:r>
      <w:proofErr w:type="spellStart"/>
      <w:r w:rsidRPr="00D83A1F">
        <w:rPr>
          <w:rFonts w:eastAsia="SimSun" w:cs="Times New Roman"/>
          <w:shd w:val="clear" w:color="auto" w:fill="FFFFFF"/>
        </w:rPr>
        <w:t>A</w:t>
      </w:r>
      <w:r w:rsidRPr="00D83A1F">
        <w:rPr>
          <w:rFonts w:eastAsia="Segoe UI" w:cs="Times New Roman"/>
          <w:shd w:val="clear" w:color="auto" w:fill="FFFFFF"/>
        </w:rPr>
        <w:t>lmonertinib</w:t>
      </w:r>
      <w:proofErr w:type="spellEnd"/>
      <w:r w:rsidRPr="00D83A1F">
        <w:rPr>
          <w:rFonts w:eastAsia="SimSun" w:cs="Times New Roman"/>
          <w:shd w:val="clear" w:color="auto" w:fill="FFFFFF"/>
        </w:rPr>
        <w:t>;</w:t>
      </w:r>
      <w:r w:rsidRPr="00D83A1F">
        <w:rPr>
          <w:rFonts w:eastAsia="Segoe UI" w:cs="Times New Roman"/>
          <w:shd w:val="clear" w:color="auto" w:fill="FFFFFF"/>
        </w:rPr>
        <w:t xml:space="preserve"> </w:t>
      </w:r>
      <w:r w:rsidRPr="00D83A1F">
        <w:rPr>
          <w:rFonts w:eastAsia="SimSun" w:cs="Times New Roman"/>
          <w:shd w:val="clear" w:color="auto" w:fill="FFFFFF"/>
        </w:rPr>
        <w:t>C</w:t>
      </w:r>
      <w:r w:rsidRPr="00D83A1F">
        <w:rPr>
          <w:rFonts w:eastAsia="Segoe UI" w:cs="Times New Roman"/>
          <w:shd w:val="clear" w:color="auto" w:fill="FFFFFF"/>
        </w:rPr>
        <w:t>erebrospinal fluid</w:t>
      </w:r>
      <w:r w:rsidRPr="00D83A1F">
        <w:rPr>
          <w:rFonts w:eastAsia="SimSun" w:cs="Times New Roman"/>
          <w:shd w:val="clear" w:color="auto" w:fill="FFFFFF"/>
        </w:rPr>
        <w:t>;</w:t>
      </w:r>
      <w:r w:rsidRPr="00D83A1F">
        <w:rPr>
          <w:rFonts w:eastAsia="Segoe UI" w:cs="Times New Roman"/>
          <w:shd w:val="clear" w:color="auto" w:fill="FFFFFF"/>
        </w:rPr>
        <w:t xml:space="preserve"> </w:t>
      </w:r>
      <w:r w:rsidRPr="00D83A1F">
        <w:rPr>
          <w:rFonts w:eastAsia="SimSun" w:cs="Times New Roman"/>
          <w:shd w:val="clear" w:color="auto" w:fill="FFFFFF"/>
        </w:rPr>
        <w:t>T</w:t>
      </w:r>
      <w:r w:rsidRPr="00D83A1F">
        <w:rPr>
          <w:rFonts w:eastAsia="Segoe UI" w:cs="Times New Roman"/>
          <w:shd w:val="clear" w:color="auto" w:fill="FFFFFF"/>
        </w:rPr>
        <w:t>herapeutic drug monitoring</w:t>
      </w:r>
    </w:p>
    <w:p w14:paraId="1A125CA5" w14:textId="77777777" w:rsidR="00BD030E" w:rsidRDefault="00BD030E" w:rsidP="00D83A1F">
      <w:pPr>
        <w:rPr>
          <w:rFonts w:eastAsia="var(--dsw-font-markdown-h2)" w:cs="Times New Roman"/>
          <w:shd w:val="clear" w:color="auto" w:fill="FFFFFF"/>
        </w:rPr>
      </w:pPr>
    </w:p>
    <w:p w14:paraId="41B7C025" w14:textId="07D17737" w:rsidR="00D83A1F" w:rsidRPr="008C261E" w:rsidRDefault="00D83A1F" w:rsidP="008C261E">
      <w:pPr>
        <w:rPr>
          <w:rFonts w:eastAsia="var(--dsw-font-markdown-h2)" w:cs="Times New Roman"/>
          <w:b/>
          <w:bCs/>
          <w:shd w:val="clear" w:color="auto" w:fill="FFFFFF"/>
        </w:rPr>
      </w:pPr>
      <w:r>
        <w:rPr>
          <w:rFonts w:eastAsia="var(--dsw-font-markdown-h2)" w:cs="Times New Roman"/>
          <w:b/>
          <w:bCs/>
          <w:shd w:val="clear" w:color="auto" w:fill="FFFFFF"/>
        </w:rPr>
        <w:t>Online publication:</w:t>
      </w:r>
    </w:p>
    <w:p w14:paraId="4D78E7CE" w14:textId="77777777" w:rsidR="00BD030E" w:rsidRPr="00D83A1F" w:rsidRDefault="00BD030E" w:rsidP="008C261E">
      <w:pPr>
        <w:rPr>
          <w:rFonts w:eastAsia="var(--dsw-font-markdown-h2)" w:cs="Times New Roman"/>
          <w:shd w:val="clear" w:color="auto" w:fill="FFFFFF"/>
        </w:rPr>
      </w:pPr>
    </w:p>
    <w:p w14:paraId="326196B7" w14:textId="77777777" w:rsidR="00BD030E" w:rsidRPr="008C261E" w:rsidRDefault="00000000" w:rsidP="008C261E">
      <w:pPr>
        <w:rPr>
          <w:rFonts w:eastAsia="var(--dsw-font-markdown-h2)" w:cs="Times New Roman"/>
          <w:b/>
          <w:bCs/>
        </w:rPr>
      </w:pPr>
      <w:r w:rsidRPr="008C261E">
        <w:rPr>
          <w:rFonts w:cs="Times New Roman"/>
          <w:b/>
          <w:bCs/>
          <w:shd w:val="clear" w:color="auto" w:fill="FFFFFF"/>
        </w:rPr>
        <w:t xml:space="preserve">1. </w:t>
      </w:r>
      <w:r w:rsidRPr="008C261E">
        <w:rPr>
          <w:rFonts w:eastAsia="var(--dsw-font-markdown-h2)" w:cs="Times New Roman"/>
          <w:b/>
          <w:bCs/>
          <w:shd w:val="clear" w:color="auto" w:fill="FFFFFF"/>
        </w:rPr>
        <w:t>Introduction</w:t>
      </w:r>
    </w:p>
    <w:p w14:paraId="64DFABE4" w14:textId="77777777" w:rsidR="00BD030E" w:rsidRPr="00D83A1F" w:rsidRDefault="00000000" w:rsidP="008C261E">
      <w:pPr>
        <w:rPr>
          <w:rFonts w:cs="Times New Roman"/>
        </w:rPr>
      </w:pPr>
      <w:r w:rsidRPr="00D83A1F">
        <w:rPr>
          <w:rFonts w:eastAsia="Segoe UI" w:cs="Times New Roman"/>
          <w:shd w:val="clear" w:color="auto" w:fill="FFFFFF"/>
        </w:rPr>
        <w:lastRenderedPageBreak/>
        <w:t xml:space="preserve">Leptomeningeal metastasis (LM) is a fatal complication of advanced non-small cell lung cancer (NSCLC), characterized by dissemination of cancer cells to the leptomeninges, subarachnoid space, and cerebrospinal fluid (CSF). The reported incidence of LM in NSCLC ranges from 3% to 5% overall, increasing substantially to approximately 9% in patients harboring epidermal growth factor receptor (EGFR) mutations </w:t>
      </w:r>
      <w:r w:rsidRPr="00D83A1F">
        <w:rPr>
          <w:rFonts w:eastAsia="Segoe UI" w:cs="Times New Roman"/>
          <w:shd w:val="clear" w:color="auto" w:fill="FFFFFF"/>
          <w:vertAlign w:val="superscript"/>
        </w:rPr>
        <w:t>[1,2]</w:t>
      </w:r>
      <w:r w:rsidRPr="00D83A1F">
        <w:rPr>
          <w:rFonts w:eastAsia="Segoe UI" w:cs="Times New Roman"/>
          <w:shd w:val="clear" w:color="auto" w:fill="FFFFFF"/>
        </w:rPr>
        <w:t xml:space="preserve">. Historically, the prognosis for patients with LM has been extremely poor, with untreated individuals facing a median survival of only weeks to a few months </w:t>
      </w:r>
      <w:r w:rsidRPr="00D83A1F">
        <w:rPr>
          <w:rFonts w:eastAsia="Segoe UI" w:cs="Times New Roman"/>
          <w:shd w:val="clear" w:color="auto" w:fill="FFFFFF"/>
          <w:vertAlign w:val="superscript"/>
        </w:rPr>
        <w:t>[1,3]</w:t>
      </w:r>
      <w:r w:rsidRPr="00D83A1F">
        <w:rPr>
          <w:rFonts w:eastAsia="Segoe UI" w:cs="Times New Roman"/>
          <w:shd w:val="clear" w:color="auto" w:fill="FFFFFF"/>
        </w:rPr>
        <w:t>.</w:t>
      </w:r>
      <w:r w:rsidRPr="00D83A1F">
        <w:rPr>
          <w:rFonts w:eastAsia="SimSun" w:cs="Times New Roman"/>
          <w:shd w:val="clear" w:color="auto" w:fill="FFFFFF"/>
        </w:rPr>
        <w:t xml:space="preserve"> </w:t>
      </w:r>
      <w:r w:rsidRPr="00D83A1F">
        <w:rPr>
          <w:rFonts w:eastAsia="Segoe UI" w:cs="Times New Roman"/>
          <w:shd w:val="clear" w:color="auto" w:fill="FFFFFF"/>
        </w:rPr>
        <w:t>Despite the advent of EGFR-tyrosine kinase inhibitors (TKIs), LM remains exceedingly difficult to treat, largely due to the blood-brain barrier (BBB) and blood-CSF barrier (BCSFB), which restrict drug penetration into the central nervous system (CNS)</w:t>
      </w:r>
      <w:r w:rsidRPr="00D83A1F">
        <w:rPr>
          <w:rFonts w:eastAsia="Segoe UI" w:cs="Times New Roman"/>
          <w:shd w:val="clear" w:color="auto" w:fill="FFFFFF"/>
          <w:vertAlign w:val="superscript"/>
        </w:rPr>
        <w:t xml:space="preserve"> [4,5]</w:t>
      </w:r>
      <w:r w:rsidRPr="00D83A1F">
        <w:rPr>
          <w:rFonts w:eastAsia="Segoe UI" w:cs="Times New Roman"/>
          <w:shd w:val="clear" w:color="auto" w:fill="FFFFFF"/>
        </w:rPr>
        <w:t xml:space="preserve">. The primary obstacle is inadequate drug crossing of the BBB, resulting in subtherapeutic concentrations in brain parenchyma and CSF </w:t>
      </w:r>
      <w:r w:rsidRPr="00D83A1F">
        <w:rPr>
          <w:rFonts w:eastAsia="Segoe UI" w:cs="Times New Roman"/>
          <w:shd w:val="clear" w:color="auto" w:fill="FFFFFF"/>
          <w:vertAlign w:val="superscript"/>
        </w:rPr>
        <w:t>[5]</w:t>
      </w:r>
      <w:r w:rsidRPr="00D83A1F">
        <w:rPr>
          <w:rFonts w:eastAsia="Segoe UI" w:cs="Times New Roman"/>
          <w:shd w:val="clear" w:color="auto" w:fill="FFFFFF"/>
        </w:rPr>
        <w:t xml:space="preserve">. First- and second-generation EGFR-TKIs exhibit limited CSF penetration rates of only 1.13%–3.3% </w:t>
      </w:r>
      <w:r w:rsidRPr="00D83A1F">
        <w:rPr>
          <w:rFonts w:eastAsia="Segoe UI" w:cs="Times New Roman"/>
          <w:shd w:val="clear" w:color="auto" w:fill="FFFFFF"/>
          <w:vertAlign w:val="superscript"/>
        </w:rPr>
        <w:t>[1]</w:t>
      </w:r>
      <w:r w:rsidRPr="00D83A1F">
        <w:rPr>
          <w:rFonts w:eastAsia="Segoe UI" w:cs="Times New Roman"/>
          <w:shd w:val="clear" w:color="auto" w:fill="FFFFFF"/>
        </w:rPr>
        <w:t xml:space="preserve">. Osimertinib, a third-generation TKI, has demonstrated superior BBB penetration and higher CSF drug concentrations relative to its predecessors </w:t>
      </w:r>
      <w:r w:rsidRPr="00D83A1F">
        <w:rPr>
          <w:rFonts w:eastAsia="Segoe UI" w:cs="Times New Roman"/>
          <w:shd w:val="clear" w:color="auto" w:fill="FFFFFF"/>
          <w:vertAlign w:val="superscript"/>
        </w:rPr>
        <w:t>[6]</w:t>
      </w:r>
      <w:r w:rsidRPr="00D83A1F">
        <w:rPr>
          <w:rFonts w:eastAsia="Segoe UI" w:cs="Times New Roman"/>
          <w:shd w:val="clear" w:color="auto" w:fill="FFFFFF"/>
        </w:rPr>
        <w:t>. Nevertheless, CNS progression remains a major challenge even with osimertinib, and optimal CNS-penetrating strategies continue to be defined.</w:t>
      </w:r>
    </w:p>
    <w:p w14:paraId="73D2399E" w14:textId="77777777" w:rsidR="00BD030E" w:rsidRPr="00D83A1F" w:rsidRDefault="00000000" w:rsidP="008C261E">
      <w:pPr>
        <w:ind w:firstLine="420"/>
        <w:rPr>
          <w:rFonts w:cs="Times New Roman"/>
        </w:rPr>
      </w:pPr>
      <w:r w:rsidRPr="00D83A1F">
        <w:rPr>
          <w:rFonts w:eastAsia="Segoe UI" w:cs="Times New Roman"/>
          <w:shd w:val="clear" w:color="auto" w:fill="FFFFFF"/>
        </w:rPr>
        <w:t>Zorifertinib is a third-generation EGFR-TKI specifically designed as a non-BBB-efflux-protein substrate, enabling near-complete (approximately 100%) BBB penetration. Preclinical data have demonstrated that zorifertinib achieves CSF and brain tissue concentrations comparable to those in plasma, with unbound brain-to-unbound blood ratios (</w:t>
      </w:r>
      <w:proofErr w:type="spellStart"/>
      <w:r w:rsidRPr="00D83A1F">
        <w:rPr>
          <w:rFonts w:eastAsia="Segoe UI" w:cs="Times New Roman"/>
          <w:shd w:val="clear" w:color="auto" w:fill="FFFFFF"/>
        </w:rPr>
        <w:t>Kpuu</w:t>
      </w:r>
      <w:proofErr w:type="spellEnd"/>
      <w:r w:rsidRPr="00D83A1F">
        <w:rPr>
          <w:rFonts w:eastAsia="Segoe UI" w:cs="Times New Roman"/>
          <w:shd w:val="clear" w:color="auto" w:fill="FFFFFF"/>
        </w:rPr>
        <w:t xml:space="preserve">) of approximately 1 </w:t>
      </w:r>
      <w:r w:rsidRPr="00D83A1F">
        <w:rPr>
          <w:rFonts w:eastAsia="Segoe UI" w:cs="Times New Roman"/>
          <w:shd w:val="clear" w:color="auto" w:fill="FFFFFF"/>
          <w:vertAlign w:val="superscript"/>
        </w:rPr>
        <w:t>[7]</w:t>
      </w:r>
      <w:r w:rsidRPr="00D83A1F">
        <w:rPr>
          <w:rFonts w:eastAsia="Segoe UI" w:cs="Times New Roman"/>
          <w:shd w:val="clear" w:color="auto" w:fill="FFFFFF"/>
        </w:rPr>
        <w:t>. The phase III EVEREST trial showed that first-line zorifertinib significantly prolonged intracranial progression-free survival (</w:t>
      </w:r>
      <w:proofErr w:type="spellStart"/>
      <w:r w:rsidRPr="00D83A1F">
        <w:rPr>
          <w:rFonts w:eastAsia="Segoe UI" w:cs="Times New Roman"/>
          <w:shd w:val="clear" w:color="auto" w:fill="FFFFFF"/>
        </w:rPr>
        <w:t>iPFS</w:t>
      </w:r>
      <w:proofErr w:type="spellEnd"/>
      <w:r w:rsidRPr="00D83A1F">
        <w:rPr>
          <w:rFonts w:eastAsia="Segoe UI" w:cs="Times New Roman"/>
          <w:shd w:val="clear" w:color="auto" w:fill="FFFFFF"/>
        </w:rPr>
        <w:t xml:space="preserve">) in EGFR-mutant NSCLC patients with CNS metastases compared with first-generation EGFR-TKIs (15.2 vs. 8.3 months; HR = 0.467) </w:t>
      </w:r>
      <w:r w:rsidRPr="00D83A1F">
        <w:rPr>
          <w:rFonts w:eastAsia="Segoe UI" w:cs="Times New Roman"/>
          <w:shd w:val="clear" w:color="auto" w:fill="FFFFFF"/>
          <w:vertAlign w:val="superscript"/>
        </w:rPr>
        <w:t>[8]</w:t>
      </w:r>
      <w:r w:rsidRPr="00D83A1F">
        <w:rPr>
          <w:rFonts w:eastAsia="Segoe UI" w:cs="Times New Roman"/>
          <w:shd w:val="clear" w:color="auto" w:fill="FFFFFF"/>
        </w:rPr>
        <w:t xml:space="preserve">.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w:t>
      </w:r>
      <w:proofErr w:type="spellStart"/>
      <w:r w:rsidRPr="00D83A1F">
        <w:rPr>
          <w:rFonts w:eastAsia="Segoe UI" w:cs="Times New Roman"/>
          <w:shd w:val="clear" w:color="auto" w:fill="FFFFFF"/>
        </w:rPr>
        <w:t>aumolertinib</w:t>
      </w:r>
      <w:proofErr w:type="spellEnd"/>
      <w:r w:rsidRPr="00D83A1F">
        <w:rPr>
          <w:rFonts w:eastAsia="Segoe UI" w:cs="Times New Roman"/>
          <w:shd w:val="clear" w:color="auto" w:fill="FFFFFF"/>
        </w:rPr>
        <w:t xml:space="preserve">), another third-generation EGFR-TKI, has also shown promising activity against CNS metastases, with subgroup analyses from the AENEAS study demonstrating a 62% reduction in the risk of brain metastasis progression (HR = 0.38) </w:t>
      </w:r>
      <w:r w:rsidRPr="00D83A1F">
        <w:rPr>
          <w:rFonts w:eastAsia="Segoe UI" w:cs="Times New Roman"/>
          <w:shd w:val="clear" w:color="auto" w:fill="FFFFFF"/>
          <w:vertAlign w:val="superscript"/>
        </w:rPr>
        <w:t>[9]</w:t>
      </w:r>
      <w:r w:rsidRPr="00D83A1F">
        <w:rPr>
          <w:rFonts w:eastAsia="Segoe UI" w:cs="Times New Roman"/>
          <w:shd w:val="clear" w:color="auto" w:fill="FFFFFF"/>
        </w:rPr>
        <w:t>.</w:t>
      </w:r>
    </w:p>
    <w:p w14:paraId="62F962E6" w14:textId="77777777" w:rsidR="00BD030E" w:rsidRPr="00D83A1F" w:rsidRDefault="00000000" w:rsidP="008C261E">
      <w:pPr>
        <w:ind w:firstLine="420"/>
        <w:rPr>
          <w:rFonts w:eastAsia="Segoe UI" w:cs="Times New Roman"/>
          <w:shd w:val="clear" w:color="auto" w:fill="FFFFFF"/>
        </w:rPr>
      </w:pPr>
      <w:r w:rsidRPr="00D83A1F">
        <w:rPr>
          <w:rFonts w:eastAsia="Segoe UI" w:cs="Times New Roman"/>
          <w:shd w:val="clear" w:color="auto" w:fill="FFFFFF"/>
        </w:rPr>
        <w:t xml:space="preserve">Herein, we report two cases of EGFR-mutant NSCLC with LM who had experienced disease progression on prior single-agent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therapy following surgical resection and subsequent leptomeningeal relapse. Both patients </w:t>
      </w:r>
      <w:r w:rsidRPr="00D83A1F">
        <w:rPr>
          <w:rFonts w:eastAsia="SimSun" w:cs="Times New Roman"/>
          <w:shd w:val="clear" w:color="auto" w:fill="FFFFFF"/>
        </w:rPr>
        <w:t xml:space="preserve">then </w:t>
      </w:r>
      <w:r w:rsidRPr="00D83A1F">
        <w:rPr>
          <w:rFonts w:eastAsia="Segoe UI" w:cs="Times New Roman"/>
          <w:shd w:val="clear" w:color="auto" w:fill="FFFFFF"/>
        </w:rPr>
        <w:t>received combination therapy with zorifertinib</w:t>
      </w:r>
      <w:r w:rsidRPr="00D83A1F">
        <w:rPr>
          <w:rFonts w:eastAsia="SimSun" w:cs="Times New Roman"/>
          <w:shd w:val="clear" w:color="auto" w:fill="FFFFFF"/>
        </w:rPr>
        <w:t xml:space="preserve"> and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with longitudinal pharmacokinetic monitoring via Ommaya reservoir</w:t>
      </w:r>
      <w:r w:rsidRPr="00D83A1F">
        <w:rPr>
          <w:rFonts w:eastAsia="SimSun" w:cs="Times New Roman"/>
          <w:shd w:val="clear" w:color="auto" w:fill="FFFFFF"/>
        </w:rPr>
        <w:t xml:space="preserve"> </w:t>
      </w:r>
      <w:r w:rsidRPr="00D83A1F">
        <w:rPr>
          <w:rFonts w:eastAsia="Segoe UI" w:cs="Times New Roman"/>
          <w:shd w:val="clear" w:color="auto" w:fill="FFFFFF"/>
          <w:vertAlign w:val="superscript"/>
        </w:rPr>
        <w:t>[</w:t>
      </w:r>
      <w:r w:rsidRPr="00D83A1F">
        <w:rPr>
          <w:rFonts w:eastAsia="SimSun" w:cs="Times New Roman"/>
          <w:shd w:val="clear" w:color="auto" w:fill="FFFFFF"/>
          <w:vertAlign w:val="superscript"/>
        </w:rPr>
        <w:t>10</w:t>
      </w:r>
      <w:r w:rsidRPr="00D83A1F">
        <w:rPr>
          <w:rFonts w:eastAsia="Segoe UI" w:cs="Times New Roman"/>
          <w:shd w:val="clear" w:color="auto" w:fill="FFFFFF"/>
          <w:vertAlign w:val="superscript"/>
        </w:rPr>
        <w:t>]</w:t>
      </w:r>
      <w:r w:rsidRPr="00D83A1F">
        <w:rPr>
          <w:rFonts w:eastAsia="Segoe UI" w:cs="Times New Roman"/>
          <w:shd w:val="clear" w:color="auto" w:fill="FFFFFF"/>
        </w:rPr>
        <w:t>. These cases illustrate the feasibility of real-time therapeutic drug monitoring (TDM) in LM and provide critical insights into CNS drug penetration dynamics.</w:t>
      </w:r>
    </w:p>
    <w:p w14:paraId="1453FF2E" w14:textId="77777777" w:rsidR="00BD030E" w:rsidRPr="00D83A1F" w:rsidRDefault="00BD030E" w:rsidP="008C261E">
      <w:pPr>
        <w:rPr>
          <w:rFonts w:eastAsia="var(--dsw-font-markdown-h2)" w:cs="Times New Roman"/>
          <w:shd w:val="clear" w:color="auto" w:fill="FFFFFF"/>
        </w:rPr>
      </w:pPr>
    </w:p>
    <w:p w14:paraId="75713138" w14:textId="77777777" w:rsidR="00BD030E" w:rsidRPr="008C261E" w:rsidRDefault="00000000" w:rsidP="008C261E">
      <w:pPr>
        <w:rPr>
          <w:rFonts w:eastAsia="var(--dsw-font-markdown-h2)" w:cs="Times New Roman"/>
          <w:b/>
          <w:bCs/>
        </w:rPr>
      </w:pPr>
      <w:r w:rsidRPr="008C261E">
        <w:rPr>
          <w:rFonts w:cs="Times New Roman"/>
          <w:b/>
          <w:bCs/>
          <w:shd w:val="clear" w:color="auto" w:fill="FFFFFF"/>
        </w:rPr>
        <w:t xml:space="preserve">2. </w:t>
      </w:r>
      <w:r w:rsidRPr="008C261E">
        <w:rPr>
          <w:rFonts w:eastAsia="var(--dsw-font-markdown-h2)" w:cs="Times New Roman"/>
          <w:b/>
          <w:bCs/>
          <w:shd w:val="clear" w:color="auto" w:fill="FFFFFF"/>
        </w:rPr>
        <w:t xml:space="preserve">Case </w:t>
      </w:r>
      <w:r w:rsidRPr="008C261E">
        <w:rPr>
          <w:rFonts w:cs="Times New Roman"/>
          <w:b/>
          <w:bCs/>
          <w:shd w:val="clear" w:color="auto" w:fill="FFFFFF"/>
        </w:rPr>
        <w:t>p</w:t>
      </w:r>
      <w:r w:rsidRPr="008C261E">
        <w:rPr>
          <w:rFonts w:eastAsia="var(--dsw-font-markdown-h2)" w:cs="Times New Roman"/>
          <w:b/>
          <w:bCs/>
          <w:shd w:val="clear" w:color="auto" w:fill="FFFFFF"/>
        </w:rPr>
        <w:t>resentation</w:t>
      </w:r>
    </w:p>
    <w:p w14:paraId="127A2350" w14:textId="77777777" w:rsidR="00BD030E" w:rsidRPr="008C261E" w:rsidRDefault="00000000" w:rsidP="008C261E">
      <w:pPr>
        <w:rPr>
          <w:rFonts w:eastAsia="var(--dsw-font-markdown-h3)" w:cs="Times New Roman"/>
          <w:b/>
          <w:bCs/>
        </w:rPr>
      </w:pPr>
      <w:r w:rsidRPr="008C261E">
        <w:rPr>
          <w:rFonts w:cs="Times New Roman"/>
          <w:b/>
          <w:bCs/>
          <w:shd w:val="clear" w:color="auto" w:fill="FFFFFF"/>
        </w:rPr>
        <w:t xml:space="preserve">2.1. </w:t>
      </w:r>
      <w:r w:rsidRPr="008C261E">
        <w:rPr>
          <w:rFonts w:eastAsia="var(--dsw-font-markdown-h3)" w:cs="Times New Roman"/>
          <w:b/>
          <w:bCs/>
          <w:shd w:val="clear" w:color="auto" w:fill="FFFFFF"/>
        </w:rPr>
        <w:t>Case 1: Patient Z005</w:t>
      </w:r>
    </w:p>
    <w:p w14:paraId="72A9722D" w14:textId="05C58096" w:rsidR="00BD030E" w:rsidRPr="00D83A1F" w:rsidRDefault="00000000" w:rsidP="008C261E">
      <w:pPr>
        <w:rPr>
          <w:rFonts w:eastAsia="SimSun" w:cs="Times New Roman"/>
          <w:shd w:val="clear" w:color="auto" w:fill="FFFFFF"/>
        </w:rPr>
      </w:pPr>
      <w:r w:rsidRPr="00D83A1F">
        <w:rPr>
          <w:rFonts w:eastAsia="Segoe UI" w:cs="Times New Roman"/>
          <w:shd w:val="clear" w:color="auto" w:fill="FFFFFF"/>
        </w:rPr>
        <w:t xml:space="preserve">A 50-year-old female was diagnosed with lung adenocarcinoma (EGFR exon 19 deletion) in July 2020. She underwent left upper lobe resection but subsequently developed brain and LM, diagnosed in March 2024. Prior treatment included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165 mg daily, on which she experienced progressive LM. </w:t>
      </w:r>
      <w:r w:rsidR="00AF1E36">
        <w:rPr>
          <w:rFonts w:eastAsia="Segoe UI" w:cs="Times New Roman"/>
          <w:shd w:val="clear" w:color="auto" w:fill="FFFFFF"/>
        </w:rPr>
        <w:t>In</w:t>
      </w:r>
      <w:r w:rsidR="00AF1E36" w:rsidRPr="00D83A1F">
        <w:rPr>
          <w:rFonts w:eastAsia="Segoe UI" w:cs="Times New Roman"/>
          <w:shd w:val="clear" w:color="auto" w:fill="FFFFFF"/>
        </w:rPr>
        <w:t xml:space="preserve"> </w:t>
      </w:r>
      <w:r w:rsidRPr="00D83A1F">
        <w:rPr>
          <w:rFonts w:eastAsia="Segoe UI" w:cs="Times New Roman"/>
          <w:shd w:val="clear" w:color="auto" w:fill="FFFFFF"/>
        </w:rPr>
        <w:t>November 2025, her condition deteriorated rapidly: neurological score was 3, contrast-enhanced MRI showed progression with new leptomeningeal enhancement</w:t>
      </w:r>
      <w:r w:rsidRPr="00D83A1F">
        <w:rPr>
          <w:rFonts w:eastAsia="SimSun" w:cs="Times New Roman"/>
          <w:shd w:val="clear" w:color="auto" w:fill="FFFFFF"/>
        </w:rPr>
        <w:t xml:space="preserve"> </w:t>
      </w:r>
      <w:r w:rsidRPr="00D83A1F">
        <w:rPr>
          <w:rFonts w:eastAsia="SimSun" w:cs="Times New Roman"/>
          <w:color w:val="0D0D0D" w:themeColor="text1" w:themeTint="F2"/>
          <w:shd w:val="clear" w:color="auto" w:fill="FFFFFF"/>
        </w:rPr>
        <w:t>(</w:t>
      </w:r>
      <w:r w:rsidRPr="00D83A1F">
        <w:rPr>
          <w:rFonts w:eastAsia="SimSun" w:cs="Times New Roman"/>
          <w:b/>
          <w:bCs/>
          <w:color w:val="0D0D0D" w:themeColor="text1" w:themeTint="F2"/>
          <w:shd w:val="clear" w:color="auto" w:fill="FFFFFF"/>
        </w:rPr>
        <w:t>Figure 1A-1C</w:t>
      </w:r>
      <w:r w:rsidRPr="00D83A1F">
        <w:rPr>
          <w:rFonts w:eastAsia="SimSun" w:cs="Times New Roman"/>
          <w:color w:val="0D0D0D" w:themeColor="text1" w:themeTint="F2"/>
          <w:shd w:val="clear" w:color="auto" w:fill="FFFFFF"/>
        </w:rPr>
        <w:t>)</w:t>
      </w:r>
      <w:r w:rsidRPr="00D83A1F">
        <w:rPr>
          <w:rFonts w:eastAsia="Segoe UI" w:cs="Times New Roman"/>
          <w:shd w:val="clear" w:color="auto" w:fill="FFFFFF"/>
        </w:rPr>
        <w:t xml:space="preserve">, and CSF cytology was positive. </w:t>
      </w:r>
      <w:r w:rsidR="00AF1E36">
        <w:rPr>
          <w:rFonts w:eastAsia="Segoe UI" w:cs="Times New Roman"/>
          <w:shd w:val="clear" w:color="auto" w:fill="FFFFFF"/>
        </w:rPr>
        <w:t>Extracranial</w:t>
      </w:r>
      <w:r w:rsidRPr="00D83A1F">
        <w:rPr>
          <w:rFonts w:eastAsia="Segoe UI" w:cs="Times New Roman"/>
          <w:shd w:val="clear" w:color="auto" w:fill="FFFFFF"/>
        </w:rPr>
        <w:t xml:space="preserve"> disease remained stable.</w:t>
      </w:r>
      <w:r w:rsidRPr="00D83A1F">
        <w:rPr>
          <w:rFonts w:eastAsia="SimSun" w:cs="Times New Roman"/>
          <w:shd w:val="clear" w:color="auto" w:fill="FFFFFF"/>
        </w:rPr>
        <w:t xml:space="preserve"> An air-liquid interface (ALI) culture assay demonstrated that zorifertinib monotherapy achieved a tumor cell inhibition rate of 14.3%, while the combination of </w:t>
      </w:r>
      <w:proofErr w:type="spellStart"/>
      <w:r w:rsidRPr="00D83A1F">
        <w:rPr>
          <w:rFonts w:eastAsia="SimSun" w:cs="Times New Roman"/>
          <w:shd w:val="clear" w:color="auto" w:fill="FFFFFF"/>
        </w:rPr>
        <w:t>almonertinib</w:t>
      </w:r>
      <w:proofErr w:type="spellEnd"/>
      <w:r w:rsidRPr="00D83A1F">
        <w:rPr>
          <w:rFonts w:eastAsia="SimSun" w:cs="Times New Roman"/>
          <w:shd w:val="clear" w:color="auto" w:fill="FFFFFF"/>
        </w:rPr>
        <w:t xml:space="preserve"> and zorifertinib yielded a substantially higher inhibition rate of 67.62%, supporting the synergistic potential of the dual-TKI regimen.</w:t>
      </w:r>
    </w:p>
    <w:p w14:paraId="698E1870" w14:textId="04E2B40B" w:rsidR="00BD030E" w:rsidRDefault="00000000" w:rsidP="00FF10D7">
      <w:pPr>
        <w:ind w:firstLine="420"/>
        <w:rPr>
          <w:rFonts w:eastAsia="Segoe UI" w:cs="Times New Roman"/>
          <w:shd w:val="clear" w:color="auto" w:fill="FFFFFF"/>
        </w:rPr>
      </w:pPr>
      <w:r w:rsidRPr="00D83A1F">
        <w:rPr>
          <w:rFonts w:eastAsia="Segoe UI" w:cs="Times New Roman"/>
          <w:shd w:val="clear" w:color="auto" w:fill="FFFFFF"/>
        </w:rPr>
        <w:t xml:space="preserve">Combination therapy with zorifertinib 200 mg twice daily and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165 mg daily was initiated on December 14, 2025. Remarkably, by J</w:t>
      </w:r>
      <w:r w:rsidRPr="00D83A1F">
        <w:rPr>
          <w:rFonts w:cs="Times New Roman"/>
          <w:shd w:val="clear" w:color="auto" w:fill="FFFFFF"/>
        </w:rPr>
        <w:t>un</w:t>
      </w:r>
      <w:r w:rsidRPr="00D83A1F">
        <w:rPr>
          <w:rFonts w:eastAsia="Segoe UI" w:cs="Times New Roman"/>
          <w:shd w:val="clear" w:color="auto" w:fill="FFFFFF"/>
        </w:rPr>
        <w:t xml:space="preserve"> </w:t>
      </w:r>
      <w:r w:rsidRPr="00D83A1F">
        <w:rPr>
          <w:rFonts w:cs="Times New Roman"/>
          <w:shd w:val="clear" w:color="auto" w:fill="FFFFFF"/>
        </w:rPr>
        <w:t>24</w:t>
      </w:r>
      <w:r w:rsidRPr="00D83A1F">
        <w:rPr>
          <w:rFonts w:eastAsia="Segoe UI" w:cs="Times New Roman"/>
          <w:shd w:val="clear" w:color="auto" w:fill="FFFFFF"/>
        </w:rPr>
        <w:t xml:space="preserve">, 2026, her neurological score had improved from 3 to 0 (complete resolution of neurological deficits), MRI demonstrated marked improvement with reduced </w:t>
      </w:r>
      <w:r w:rsidRPr="00D83A1F">
        <w:rPr>
          <w:rFonts w:eastAsia="SimSun" w:cs="Times New Roman"/>
          <w:shd w:val="clear" w:color="auto" w:fill="FFFFFF"/>
        </w:rPr>
        <w:t xml:space="preserve">LM </w:t>
      </w:r>
      <w:r w:rsidRPr="00D83A1F">
        <w:rPr>
          <w:rFonts w:eastAsia="SimSun" w:cs="Times New Roman"/>
          <w:color w:val="0D0D0D" w:themeColor="text1" w:themeTint="F2"/>
          <w:shd w:val="clear" w:color="auto" w:fill="FFFFFF"/>
        </w:rPr>
        <w:t>(</w:t>
      </w:r>
      <w:r w:rsidRPr="00D83A1F">
        <w:rPr>
          <w:rFonts w:eastAsia="SimSun" w:cs="Times New Roman"/>
          <w:b/>
          <w:bCs/>
          <w:color w:val="0D0D0D" w:themeColor="text1" w:themeTint="F2"/>
          <w:shd w:val="clear" w:color="auto" w:fill="FFFFFF"/>
        </w:rPr>
        <w:t>Figure 1D-1F</w:t>
      </w:r>
      <w:r w:rsidRPr="00D83A1F">
        <w:rPr>
          <w:rFonts w:eastAsia="SimSun" w:cs="Times New Roman"/>
          <w:color w:val="0D0D0D" w:themeColor="text1" w:themeTint="F2"/>
          <w:shd w:val="clear" w:color="auto" w:fill="FFFFFF"/>
        </w:rPr>
        <w:t>)</w:t>
      </w:r>
      <w:r w:rsidRPr="00D83A1F">
        <w:rPr>
          <w:rFonts w:eastAsia="Segoe UI" w:cs="Times New Roman"/>
          <w:shd w:val="clear" w:color="auto" w:fill="FFFFFF"/>
        </w:rPr>
        <w:t xml:space="preserve">, though CSF remained cytologically positive. This was documented as the best overall response. </w:t>
      </w:r>
      <w:r w:rsidR="00AF1E36">
        <w:rPr>
          <w:rFonts w:eastAsia="Segoe UI" w:cs="Times New Roman"/>
          <w:shd w:val="clear" w:color="auto" w:fill="FFFFFF"/>
        </w:rPr>
        <w:t>Extracranial</w:t>
      </w:r>
      <w:r w:rsidRPr="00D83A1F">
        <w:rPr>
          <w:rFonts w:eastAsia="Segoe UI" w:cs="Times New Roman"/>
          <w:shd w:val="clear" w:color="auto" w:fill="FFFFFF"/>
        </w:rPr>
        <w:t xml:space="preserve"> disease remained stable throughout this period. Serial paired plasma and CSF samples were collected via Ommaya reservoir for pharmacokinetic analysis. Adverse events included grade 2 skin rash, grade 2 paronychia, and </w:t>
      </w:r>
      <w:r w:rsidRPr="00D83A1F">
        <w:rPr>
          <w:rFonts w:eastAsia="Segoe UI" w:cs="Times New Roman"/>
          <w:shd w:val="clear" w:color="auto" w:fill="FFFFFF"/>
        </w:rPr>
        <w:lastRenderedPageBreak/>
        <w:t>urinary incontinence (CTCAE v5.0). At the time of last follow-up (6 months after combination therapy initiation), the patient remained clinically stable with ongoing extra-cranial stability.</w:t>
      </w:r>
    </w:p>
    <w:p w14:paraId="42E04517" w14:textId="77777777" w:rsidR="00FF10D7" w:rsidRPr="00D83A1F" w:rsidRDefault="00FF10D7" w:rsidP="008C261E">
      <w:pPr>
        <w:rPr>
          <w:rFonts w:eastAsia="Segoe UI" w:cs="Times New Roman"/>
          <w:shd w:val="clear" w:color="auto" w:fill="FFFFFF"/>
        </w:rPr>
      </w:pPr>
    </w:p>
    <w:p w14:paraId="0B4C76B4" w14:textId="77777777" w:rsidR="00BD030E" w:rsidRPr="008C261E" w:rsidRDefault="00000000" w:rsidP="008C261E">
      <w:pPr>
        <w:jc w:val="center"/>
        <w:rPr>
          <w:rFonts w:eastAsia="Segoe UI" w:cs="Times New Roman"/>
          <w:sz w:val="20"/>
          <w:szCs w:val="20"/>
          <w:shd w:val="clear" w:color="auto" w:fill="FFFFFF"/>
        </w:rPr>
      </w:pPr>
      <w:r w:rsidRPr="008C261E">
        <w:rPr>
          <w:rFonts w:cs="Times New Roman"/>
          <w:noProof/>
          <w:sz w:val="20"/>
          <w:szCs w:val="20"/>
        </w:rPr>
        <w:drawing>
          <wp:inline distT="0" distB="0" distL="114300" distR="114300" wp14:anchorId="34D8433E" wp14:editId="67986661">
            <wp:extent cx="4172585" cy="3500755"/>
            <wp:effectExtent l="0" t="0" r="5715" b="444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4"/>
                    <a:stretch>
                      <a:fillRect/>
                    </a:stretch>
                  </pic:blipFill>
                  <pic:spPr>
                    <a:xfrm>
                      <a:off x="0" y="0"/>
                      <a:ext cx="4172585" cy="3500755"/>
                    </a:xfrm>
                    <a:prstGeom prst="rect">
                      <a:avLst/>
                    </a:prstGeom>
                    <a:noFill/>
                    <a:ln>
                      <a:noFill/>
                    </a:ln>
                  </pic:spPr>
                </pic:pic>
              </a:graphicData>
            </a:graphic>
          </wp:inline>
        </w:drawing>
      </w:r>
    </w:p>
    <w:p w14:paraId="7EBF4479" w14:textId="6547430E" w:rsidR="00BD030E" w:rsidRPr="008C261E" w:rsidRDefault="00000000" w:rsidP="008C261E">
      <w:pPr>
        <w:jc w:val="center"/>
        <w:rPr>
          <w:rFonts w:cs="Times New Roman"/>
          <w:sz w:val="20"/>
          <w:szCs w:val="20"/>
        </w:rPr>
      </w:pPr>
      <w:r w:rsidRPr="008C261E">
        <w:rPr>
          <w:rFonts w:cs="Times New Roman"/>
          <w:b/>
          <w:bCs/>
          <w:sz w:val="20"/>
          <w:szCs w:val="20"/>
        </w:rPr>
        <w:t>Figure 1.</w:t>
      </w:r>
      <w:r w:rsidRPr="008C261E">
        <w:rPr>
          <w:rFonts w:cs="Times New Roman"/>
          <w:sz w:val="20"/>
          <w:szCs w:val="20"/>
        </w:rPr>
        <w:t xml:space="preserve"> Serial </w:t>
      </w:r>
      <w:r w:rsidR="00AF1E36">
        <w:rPr>
          <w:rFonts w:cs="Times New Roman"/>
          <w:sz w:val="20"/>
          <w:szCs w:val="20"/>
        </w:rPr>
        <w:t>fluid-attenuated</w:t>
      </w:r>
      <w:r w:rsidRPr="008C261E">
        <w:rPr>
          <w:rFonts w:cs="Times New Roman"/>
          <w:sz w:val="20"/>
          <w:szCs w:val="20"/>
        </w:rPr>
        <w:t xml:space="preserve"> inversion recovery (FLAIR) MRI of patient Z005 before and after combination therapy with zorifertinib and </w:t>
      </w:r>
      <w:proofErr w:type="spellStart"/>
      <w:proofErr w:type="gramStart"/>
      <w:r w:rsidRPr="008C261E">
        <w:rPr>
          <w:rFonts w:cs="Times New Roman"/>
          <w:sz w:val="20"/>
          <w:szCs w:val="20"/>
        </w:rPr>
        <w:t>almonertinib</w:t>
      </w:r>
      <w:proofErr w:type="spellEnd"/>
      <w:r w:rsidRPr="008C261E">
        <w:rPr>
          <w:rFonts w:cs="Times New Roman"/>
          <w:sz w:val="20"/>
          <w:szCs w:val="20"/>
        </w:rPr>
        <w:t>.(</w:t>
      </w:r>
      <w:proofErr w:type="gramEnd"/>
      <w:r w:rsidRPr="008C261E">
        <w:rPr>
          <w:rFonts w:cs="Times New Roman"/>
          <w:sz w:val="20"/>
          <w:szCs w:val="20"/>
        </w:rPr>
        <w:t xml:space="preserve">A, B, C) FLAIR images prior to combination therapy </w:t>
      </w:r>
      <w:proofErr w:type="gramStart"/>
      <w:r w:rsidRPr="008C261E">
        <w:rPr>
          <w:rFonts w:cs="Times New Roman"/>
          <w:sz w:val="20"/>
          <w:szCs w:val="20"/>
        </w:rPr>
        <w:t>initiation.(</w:t>
      </w:r>
      <w:proofErr w:type="gramEnd"/>
      <w:r w:rsidRPr="008C261E">
        <w:rPr>
          <w:rFonts w:cs="Times New Roman"/>
          <w:sz w:val="20"/>
          <w:szCs w:val="20"/>
        </w:rPr>
        <w:t>D, E,</w:t>
      </w:r>
      <w:r w:rsidR="00AF1E36">
        <w:rPr>
          <w:rFonts w:cs="Times New Roman"/>
          <w:sz w:val="20"/>
          <w:szCs w:val="20"/>
        </w:rPr>
        <w:t xml:space="preserve"> </w:t>
      </w:r>
      <w:r w:rsidRPr="008C261E">
        <w:rPr>
          <w:rFonts w:cs="Times New Roman"/>
          <w:sz w:val="20"/>
          <w:szCs w:val="20"/>
        </w:rPr>
        <w:t>F) FLAIR images at the best response after treatment.</w:t>
      </w:r>
    </w:p>
    <w:p w14:paraId="0AB2DAA9" w14:textId="77777777" w:rsidR="00BD030E" w:rsidRPr="00D83A1F" w:rsidRDefault="00BD030E" w:rsidP="008C261E">
      <w:pPr>
        <w:rPr>
          <w:rFonts w:eastAsia="Segoe UI" w:cs="Times New Roman"/>
          <w:shd w:val="clear" w:color="auto" w:fill="FFFFFF"/>
        </w:rPr>
      </w:pPr>
    </w:p>
    <w:p w14:paraId="0A7B2CE3" w14:textId="77777777" w:rsidR="00BD030E" w:rsidRPr="00D83A1F" w:rsidRDefault="00000000" w:rsidP="008C261E">
      <w:pPr>
        <w:rPr>
          <w:rFonts w:eastAsia="var(--dsw-font-markdown-h3)" w:cs="Times New Roman"/>
          <w:b/>
          <w:bCs/>
        </w:rPr>
      </w:pPr>
      <w:r w:rsidRPr="00D83A1F">
        <w:rPr>
          <w:rFonts w:eastAsia="SimSun" w:cs="Times New Roman"/>
          <w:b/>
          <w:bCs/>
          <w:shd w:val="clear" w:color="auto" w:fill="FFFFFF"/>
        </w:rPr>
        <w:t xml:space="preserve">2.2. </w:t>
      </w:r>
      <w:r w:rsidRPr="00D83A1F">
        <w:rPr>
          <w:rFonts w:eastAsia="var(--dsw-font-markdown-h3)" w:cs="Times New Roman"/>
          <w:b/>
          <w:bCs/>
          <w:shd w:val="clear" w:color="auto" w:fill="FFFFFF"/>
        </w:rPr>
        <w:t>Case 2: Patient Z006</w:t>
      </w:r>
    </w:p>
    <w:p w14:paraId="3275A960" w14:textId="282DB1AC" w:rsidR="00BD030E" w:rsidRDefault="00000000" w:rsidP="00D83A1F">
      <w:pPr>
        <w:rPr>
          <w:rFonts w:eastAsia="Segoe UI" w:cs="Times New Roman"/>
          <w:shd w:val="clear" w:color="auto" w:fill="FFFFFF"/>
        </w:rPr>
      </w:pPr>
      <w:r w:rsidRPr="00D83A1F">
        <w:rPr>
          <w:rFonts w:eastAsia="Segoe UI" w:cs="Times New Roman"/>
          <w:shd w:val="clear" w:color="auto" w:fill="FFFFFF"/>
        </w:rPr>
        <w:t xml:space="preserve">A 62-year-old female was diagnosed with lung adenocarcinoma (EGFR L858R and T790M) in May 2022. </w:t>
      </w:r>
      <w:r w:rsidRPr="00D83A1F">
        <w:rPr>
          <w:rFonts w:eastAsia="SimSun" w:cs="Times New Roman"/>
          <w:shd w:val="clear" w:color="auto" w:fill="FFFFFF"/>
        </w:rPr>
        <w:t>LM</w:t>
      </w:r>
      <w:r w:rsidRPr="00D83A1F">
        <w:rPr>
          <w:rFonts w:eastAsia="Segoe UI" w:cs="Times New Roman"/>
          <w:shd w:val="clear" w:color="auto" w:fill="FFFFFF"/>
        </w:rPr>
        <w:t xml:space="preserve"> was diagnosed in September 2025. Prior treatment with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165 mg daily was administered, </w:t>
      </w:r>
      <w:r w:rsidR="00AF1E36">
        <w:rPr>
          <w:rFonts w:eastAsia="Segoe UI" w:cs="Times New Roman"/>
          <w:shd w:val="clear" w:color="auto" w:fill="FFFFFF"/>
        </w:rPr>
        <w:t>during</w:t>
      </w:r>
      <w:r w:rsidR="00AF1E36" w:rsidRPr="00D83A1F">
        <w:rPr>
          <w:rFonts w:eastAsia="Segoe UI" w:cs="Times New Roman"/>
          <w:shd w:val="clear" w:color="auto" w:fill="FFFFFF"/>
        </w:rPr>
        <w:t xml:space="preserve"> </w:t>
      </w:r>
      <w:r w:rsidRPr="00D83A1F">
        <w:rPr>
          <w:rFonts w:eastAsia="Segoe UI" w:cs="Times New Roman"/>
          <w:shd w:val="clear" w:color="auto" w:fill="FFFFFF"/>
        </w:rPr>
        <w:t xml:space="preserve">which she experienced progressive LM. </w:t>
      </w:r>
      <w:r w:rsidR="00AF1E36">
        <w:rPr>
          <w:rFonts w:eastAsia="Segoe UI" w:cs="Times New Roman"/>
          <w:shd w:val="clear" w:color="auto" w:fill="FFFFFF"/>
        </w:rPr>
        <w:t>Extracranial</w:t>
      </w:r>
      <w:r w:rsidRPr="00D83A1F">
        <w:rPr>
          <w:rFonts w:eastAsia="Segoe UI" w:cs="Times New Roman"/>
          <w:shd w:val="clear" w:color="auto" w:fill="FFFFFF"/>
        </w:rPr>
        <w:t xml:space="preserve"> disease remained stable.</w:t>
      </w:r>
      <w:r w:rsidRPr="00D83A1F">
        <w:rPr>
          <w:rFonts w:eastAsia="SimSun" w:cs="Times New Roman"/>
          <w:shd w:val="clear" w:color="auto" w:fill="FFFFFF"/>
        </w:rPr>
        <w:t xml:space="preserve"> </w:t>
      </w:r>
      <w:r w:rsidRPr="00D83A1F">
        <w:rPr>
          <w:rFonts w:eastAsia="Segoe UI" w:cs="Times New Roman"/>
          <w:shd w:val="clear" w:color="auto" w:fill="FFFFFF"/>
        </w:rPr>
        <w:t xml:space="preserve">Combination therapy with zorifertinib 200 mg twice daily and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110 mg daily was initiated on January 24, 2026. </w:t>
      </w:r>
      <w:r w:rsidRPr="00D83A1F">
        <w:rPr>
          <w:rFonts w:cs="Times New Roman"/>
          <w:shd w:val="clear" w:color="auto" w:fill="FFFFFF"/>
        </w:rPr>
        <w:t xml:space="preserve">Five </w:t>
      </w:r>
      <w:r w:rsidRPr="00D83A1F">
        <w:rPr>
          <w:rFonts w:eastAsia="Segoe UI" w:cs="Times New Roman"/>
          <w:shd w:val="clear" w:color="auto" w:fill="FFFFFF"/>
        </w:rPr>
        <w:t>months after adding zorifertinib to her treatment regimen, follow-up evaluation conducted on July 9, 2026 yielded negative cerebrospinal fluid cytology results, with a RANO-LM neurological score of 2</w:t>
      </w:r>
      <w:r w:rsidRPr="00D83A1F">
        <w:rPr>
          <w:rFonts w:eastAsia="SimSun" w:cs="Times New Roman"/>
          <w:shd w:val="clear" w:color="auto" w:fill="FFFFFF"/>
        </w:rPr>
        <w:t xml:space="preserve"> </w:t>
      </w:r>
      <w:r w:rsidRPr="00D83A1F">
        <w:rPr>
          <w:rFonts w:eastAsia="Segoe UI" w:cs="Times New Roman"/>
          <w:shd w:val="clear" w:color="auto" w:fill="FFFFFF"/>
        </w:rPr>
        <w:t>and stable neurological symptoms</w:t>
      </w:r>
      <w:r w:rsidRPr="00D83A1F">
        <w:rPr>
          <w:rFonts w:eastAsia="SimSun" w:cs="Times New Roman"/>
          <w:shd w:val="clear" w:color="auto" w:fill="FFFFFF"/>
        </w:rPr>
        <w:t xml:space="preserve"> </w:t>
      </w:r>
      <w:r w:rsidRPr="00D83A1F">
        <w:rPr>
          <w:rFonts w:eastAsia="SimSun" w:cs="Times New Roman"/>
          <w:color w:val="0D0D0D" w:themeColor="text1" w:themeTint="F2"/>
          <w:shd w:val="clear" w:color="auto" w:fill="FFFFFF"/>
        </w:rPr>
        <w:t>(</w:t>
      </w:r>
      <w:r w:rsidRPr="00D83A1F">
        <w:rPr>
          <w:rFonts w:eastAsia="SimSun" w:cs="Times New Roman"/>
          <w:b/>
          <w:bCs/>
          <w:color w:val="0D0D0D" w:themeColor="text1" w:themeTint="F2"/>
          <w:shd w:val="clear" w:color="auto" w:fill="FFFFFF"/>
        </w:rPr>
        <w:t>Figure 2</w:t>
      </w:r>
      <w:r w:rsidRPr="00D83A1F">
        <w:rPr>
          <w:rFonts w:eastAsia="SimSun" w:cs="Times New Roman"/>
          <w:color w:val="0D0D0D" w:themeColor="text1" w:themeTint="F2"/>
          <w:shd w:val="clear" w:color="auto" w:fill="FFFFFF"/>
        </w:rPr>
        <w:t>)</w:t>
      </w:r>
      <w:r w:rsidRPr="00D83A1F">
        <w:rPr>
          <w:rFonts w:eastAsia="Segoe UI" w:cs="Times New Roman"/>
          <w:shd w:val="clear" w:color="auto" w:fill="FFFFFF"/>
        </w:rPr>
        <w:t>.</w:t>
      </w:r>
      <w:r w:rsidRPr="00D83A1F">
        <w:rPr>
          <w:rFonts w:cs="Times New Roman"/>
          <w:shd w:val="clear" w:color="auto" w:fill="FFFFFF"/>
        </w:rPr>
        <w:t xml:space="preserve"> </w:t>
      </w:r>
      <w:r w:rsidRPr="00D83A1F">
        <w:rPr>
          <w:rFonts w:eastAsia="Segoe UI" w:cs="Times New Roman"/>
          <w:shd w:val="clear" w:color="auto" w:fill="FFFFFF"/>
        </w:rPr>
        <w:t xml:space="preserve">Adverse events included bone marrow suppression (grade 1 leukopenia, grade 2 hemoglobin reduction), grade 1 skin rash, and grade 2 anorexia (CTCAE v5.0). At the time of last follow-up (5 months after combination therapy initiation), the patient continued on treatment with ongoing neurological monitoring and stable </w:t>
      </w:r>
      <w:r w:rsidR="00AF1E36">
        <w:rPr>
          <w:rFonts w:eastAsia="Segoe UI" w:cs="Times New Roman"/>
          <w:shd w:val="clear" w:color="auto" w:fill="FFFFFF"/>
        </w:rPr>
        <w:t>extracranial</w:t>
      </w:r>
      <w:r w:rsidRPr="00D83A1F">
        <w:rPr>
          <w:rFonts w:eastAsia="Segoe UI" w:cs="Times New Roman"/>
          <w:shd w:val="clear" w:color="auto" w:fill="FFFFFF"/>
        </w:rPr>
        <w:t xml:space="preserve"> disease.</w:t>
      </w:r>
    </w:p>
    <w:p w14:paraId="244329B2" w14:textId="77777777" w:rsidR="00FF10D7" w:rsidRPr="00D83A1F" w:rsidRDefault="00FF10D7" w:rsidP="008C261E">
      <w:pPr>
        <w:rPr>
          <w:rFonts w:eastAsia="Segoe UI" w:cs="Times New Roman"/>
          <w:shd w:val="clear" w:color="auto" w:fill="FFFFFF"/>
        </w:rPr>
      </w:pPr>
    </w:p>
    <w:p w14:paraId="66EFA875" w14:textId="77777777" w:rsidR="00BD030E" w:rsidRPr="008C261E" w:rsidRDefault="00000000" w:rsidP="008C261E">
      <w:pPr>
        <w:jc w:val="center"/>
        <w:rPr>
          <w:rFonts w:cs="Times New Roman"/>
          <w:b/>
          <w:bCs/>
          <w:sz w:val="20"/>
          <w:szCs w:val="20"/>
        </w:rPr>
      </w:pPr>
      <w:r w:rsidRPr="008C261E">
        <w:rPr>
          <w:rFonts w:cs="Times New Roman"/>
          <w:noProof/>
          <w:sz w:val="20"/>
          <w:szCs w:val="20"/>
        </w:rPr>
        <w:lastRenderedPageBreak/>
        <w:drawing>
          <wp:inline distT="0" distB="0" distL="114300" distR="114300" wp14:anchorId="5C9C94AB" wp14:editId="7E004081">
            <wp:extent cx="3644900" cy="4289425"/>
            <wp:effectExtent l="0" t="0" r="0" b="317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3644900" cy="4289425"/>
                    </a:xfrm>
                    <a:prstGeom prst="rect">
                      <a:avLst/>
                    </a:prstGeom>
                    <a:noFill/>
                    <a:ln>
                      <a:noFill/>
                    </a:ln>
                  </pic:spPr>
                </pic:pic>
              </a:graphicData>
            </a:graphic>
          </wp:inline>
        </w:drawing>
      </w:r>
    </w:p>
    <w:p w14:paraId="15DB8E6D" w14:textId="09D6D789" w:rsidR="00BD030E" w:rsidRPr="008C261E" w:rsidRDefault="00000000" w:rsidP="008C261E">
      <w:pPr>
        <w:jc w:val="center"/>
        <w:rPr>
          <w:rFonts w:cs="Times New Roman"/>
          <w:sz w:val="20"/>
          <w:szCs w:val="20"/>
        </w:rPr>
      </w:pPr>
      <w:r w:rsidRPr="008C261E">
        <w:rPr>
          <w:rFonts w:cs="Times New Roman"/>
          <w:b/>
          <w:bCs/>
          <w:sz w:val="20"/>
          <w:szCs w:val="20"/>
        </w:rPr>
        <w:t>Figure 2.</w:t>
      </w:r>
      <w:r w:rsidRPr="008C261E">
        <w:rPr>
          <w:rFonts w:cs="Times New Roman"/>
          <w:sz w:val="20"/>
          <w:szCs w:val="20"/>
        </w:rPr>
        <w:t xml:space="preserve"> Serial </w:t>
      </w:r>
      <w:r w:rsidR="00AF1E36">
        <w:rPr>
          <w:rFonts w:cs="Times New Roman"/>
          <w:sz w:val="20"/>
          <w:szCs w:val="20"/>
        </w:rPr>
        <w:t>fluid-attenuated</w:t>
      </w:r>
      <w:r w:rsidRPr="008C261E">
        <w:rPr>
          <w:rFonts w:cs="Times New Roman"/>
          <w:sz w:val="20"/>
          <w:szCs w:val="20"/>
        </w:rPr>
        <w:t xml:space="preserve"> inversion recovery (FLAIR) MRI of patient Z006 before and after combination therapy with zorifertinib and </w:t>
      </w:r>
      <w:proofErr w:type="spellStart"/>
      <w:proofErr w:type="gramStart"/>
      <w:r w:rsidRPr="008C261E">
        <w:rPr>
          <w:rFonts w:cs="Times New Roman"/>
          <w:sz w:val="20"/>
          <w:szCs w:val="20"/>
        </w:rPr>
        <w:t>almonertinib</w:t>
      </w:r>
      <w:proofErr w:type="spellEnd"/>
      <w:r w:rsidRPr="008C261E">
        <w:rPr>
          <w:rFonts w:cs="Times New Roman"/>
          <w:sz w:val="20"/>
          <w:szCs w:val="20"/>
        </w:rPr>
        <w:t>.(</w:t>
      </w:r>
      <w:proofErr w:type="gramEnd"/>
      <w:r w:rsidRPr="008C261E">
        <w:rPr>
          <w:rFonts w:cs="Times New Roman"/>
          <w:sz w:val="20"/>
          <w:szCs w:val="20"/>
        </w:rPr>
        <w:t xml:space="preserve">A, B) FLAIR images prior to combination therapy </w:t>
      </w:r>
      <w:proofErr w:type="gramStart"/>
      <w:r w:rsidRPr="008C261E">
        <w:rPr>
          <w:rFonts w:cs="Times New Roman"/>
          <w:sz w:val="20"/>
          <w:szCs w:val="20"/>
        </w:rPr>
        <w:t>initiation.(</w:t>
      </w:r>
      <w:proofErr w:type="gramEnd"/>
      <w:r w:rsidRPr="008C261E">
        <w:rPr>
          <w:rFonts w:cs="Times New Roman"/>
          <w:sz w:val="20"/>
          <w:szCs w:val="20"/>
        </w:rPr>
        <w:t>C, D) FLAIR images at the best response after treatment.</w:t>
      </w:r>
    </w:p>
    <w:p w14:paraId="22F3AD50" w14:textId="77777777" w:rsidR="00BD030E" w:rsidRPr="00D83A1F" w:rsidRDefault="00BD030E" w:rsidP="00D83A1F">
      <w:pPr>
        <w:rPr>
          <w:rFonts w:cs="Times New Roman"/>
        </w:rPr>
      </w:pPr>
    </w:p>
    <w:p w14:paraId="794C9500" w14:textId="77777777" w:rsidR="00BD030E" w:rsidRPr="008C261E" w:rsidRDefault="00000000" w:rsidP="008C261E">
      <w:pPr>
        <w:rPr>
          <w:rFonts w:eastAsia="var(--dsw-font-markdown-h2)" w:cs="Times New Roman"/>
          <w:b/>
          <w:bCs/>
        </w:rPr>
      </w:pPr>
      <w:r w:rsidRPr="008C261E">
        <w:rPr>
          <w:rFonts w:cs="Times New Roman"/>
          <w:b/>
          <w:bCs/>
          <w:shd w:val="clear" w:color="auto" w:fill="FFFFFF"/>
        </w:rPr>
        <w:t xml:space="preserve">3. </w:t>
      </w:r>
      <w:r w:rsidRPr="008C261E">
        <w:rPr>
          <w:rFonts w:eastAsia="var(--dsw-font-markdown-h2)" w:cs="Times New Roman"/>
          <w:b/>
          <w:bCs/>
          <w:shd w:val="clear" w:color="auto" w:fill="FFFFFF"/>
        </w:rPr>
        <w:t>Results</w:t>
      </w:r>
    </w:p>
    <w:p w14:paraId="09FD1105" w14:textId="12176981" w:rsidR="00BD030E" w:rsidRPr="00D83A1F" w:rsidRDefault="00000000" w:rsidP="008C261E">
      <w:pPr>
        <w:rPr>
          <w:rFonts w:cs="Times New Roman"/>
        </w:rPr>
      </w:pPr>
      <w:r w:rsidRPr="00D83A1F">
        <w:rPr>
          <w:rFonts w:eastAsia="Segoe UI" w:cs="Times New Roman"/>
          <w:shd w:val="clear" w:color="auto" w:fill="FFFFFF"/>
        </w:rPr>
        <w:t>The demographic and clinical characteristics of the two patients are summarized in </w:t>
      </w:r>
      <w:r w:rsidRPr="00D83A1F">
        <w:rPr>
          <w:rFonts w:eastAsia="Segoe UI" w:cs="Times New Roman"/>
          <w:b/>
          <w:bCs/>
          <w:shd w:val="clear" w:color="auto" w:fill="FFFFFF"/>
        </w:rPr>
        <w:t>Table 1</w:t>
      </w:r>
      <w:r w:rsidRPr="00D83A1F">
        <w:rPr>
          <w:rFonts w:eastAsia="Segoe UI" w:cs="Times New Roman"/>
          <w:shd w:val="clear" w:color="auto" w:fill="FFFFFF"/>
        </w:rPr>
        <w:t>. The longitudinal clinical course, treatment regimens, and paired pharmacokinetic data at each sampling time point are presented in </w:t>
      </w:r>
      <w:r w:rsidRPr="00D83A1F">
        <w:rPr>
          <w:rFonts w:eastAsia="Segoe UI" w:cs="Times New Roman"/>
          <w:b/>
          <w:bCs/>
          <w:shd w:val="clear" w:color="auto" w:fill="FFFFFF"/>
        </w:rPr>
        <w:t>Table 2</w:t>
      </w:r>
      <w:r w:rsidRPr="00D83A1F">
        <w:rPr>
          <w:rFonts w:eastAsia="Segoe UI" w:cs="Times New Roman"/>
          <w:shd w:val="clear" w:color="auto" w:fill="FFFFFF"/>
        </w:rPr>
        <w:t>. Key pharmacokinetic parameters derived from the paired plasma and CSF samples, including unbound fractions (Fu) and CSF-to-plasma concentration ratios, are summarized in </w:t>
      </w:r>
      <w:r w:rsidRPr="00D83A1F">
        <w:rPr>
          <w:rFonts w:eastAsia="Segoe UI" w:cs="Times New Roman"/>
          <w:b/>
          <w:bCs/>
          <w:shd w:val="clear" w:color="auto" w:fill="FFFFFF"/>
        </w:rPr>
        <w:t>Table 3</w:t>
      </w:r>
      <w:r w:rsidRPr="00D83A1F">
        <w:rPr>
          <w:rFonts w:eastAsia="Segoe UI" w:cs="Times New Roman"/>
          <w:shd w:val="clear" w:color="auto" w:fill="FFFFFF"/>
        </w:rPr>
        <w:t>.</w:t>
      </w:r>
      <w:r w:rsidRPr="00D83A1F">
        <w:rPr>
          <w:rFonts w:eastAsia="SimSun" w:cs="Times New Roman"/>
          <w:shd w:val="clear" w:color="auto" w:fill="FFFFFF"/>
        </w:rPr>
        <w:t xml:space="preserve"> </w:t>
      </w:r>
      <w:r w:rsidRPr="00D83A1F">
        <w:rPr>
          <w:rFonts w:eastAsia="Segoe UI" w:cs="Times New Roman"/>
          <w:shd w:val="clear" w:color="auto" w:fill="FFFFFF"/>
        </w:rPr>
        <w:t>In both patients, zorifertinib achieved CSF total concentrations of 20.9–27.2 nmol/L, with CSF-to-plasma total ratios of approximately 5.2%–5.3% (</w:t>
      </w:r>
      <w:r w:rsidRPr="00D83A1F">
        <w:rPr>
          <w:rFonts w:eastAsia="Segoe UI" w:cs="Times New Roman"/>
          <w:b/>
          <w:bCs/>
          <w:shd w:val="clear" w:color="auto" w:fill="FFFFFF"/>
        </w:rPr>
        <w:t>Table 2</w:t>
      </w:r>
      <w:r w:rsidRPr="00D83A1F">
        <w:rPr>
          <w:rFonts w:eastAsia="Segoe UI" w:cs="Times New Roman"/>
          <w:shd w:val="clear" w:color="auto" w:fill="FFFFFF"/>
        </w:rPr>
        <w:t> and </w:t>
      </w:r>
      <w:r w:rsidRPr="00D83A1F">
        <w:rPr>
          <w:rFonts w:eastAsia="Segoe UI" w:cs="Times New Roman"/>
          <w:b/>
          <w:bCs/>
          <w:shd w:val="clear" w:color="auto" w:fill="FFFFFF"/>
        </w:rPr>
        <w:t>Table 3</w:t>
      </w:r>
      <w:r w:rsidRPr="00D83A1F">
        <w:rPr>
          <w:rFonts w:eastAsia="Segoe UI" w:cs="Times New Roman"/>
          <w:shd w:val="clear" w:color="auto" w:fill="FFFFFF"/>
        </w:rPr>
        <w:t xml:space="preserve">). When calculated as </w:t>
      </w:r>
      <w:proofErr w:type="spellStart"/>
      <w:r w:rsidRPr="00D83A1F">
        <w:rPr>
          <w:rFonts w:eastAsia="Segoe UI" w:cs="Times New Roman"/>
          <w:shd w:val="clear" w:color="auto" w:fill="FFFFFF"/>
        </w:rPr>
        <w:t>Kpuu</w:t>
      </w:r>
      <w:proofErr w:type="spellEnd"/>
      <w:r w:rsidRPr="00D83A1F">
        <w:rPr>
          <w:rFonts w:eastAsia="Segoe UI" w:cs="Times New Roman"/>
          <w:shd w:val="clear" w:color="auto" w:fill="FFFFFF"/>
        </w:rPr>
        <w:t>,</w:t>
      </w:r>
      <w:r w:rsidR="00AF1E36">
        <w:rPr>
          <w:rFonts w:eastAsia="Segoe UI" w:cs="Times New Roman"/>
          <w:shd w:val="clear" w:color="auto" w:fill="FFFFFF"/>
        </w:rPr>
        <w:t xml:space="preserve"> </w:t>
      </w:r>
      <w:r w:rsidRPr="00D83A1F">
        <w:rPr>
          <w:rFonts w:eastAsia="Segoe UI" w:cs="Times New Roman"/>
          <w:shd w:val="clear" w:color="auto" w:fill="FFFFFF"/>
        </w:rPr>
        <w:t xml:space="preserve">CSF (CSF </w:t>
      </w:r>
      <w:r w:rsidR="00AF1E36">
        <w:rPr>
          <w:rFonts w:eastAsia="Segoe UI" w:cs="Times New Roman"/>
          <w:shd w:val="clear" w:color="auto" w:fill="FFFFFF"/>
        </w:rPr>
        <w:t>total/plasma</w:t>
      </w:r>
      <w:r w:rsidRPr="00D83A1F">
        <w:rPr>
          <w:rFonts w:eastAsia="Segoe UI" w:cs="Times New Roman"/>
          <w:shd w:val="clear" w:color="auto" w:fill="FFFFFF"/>
        </w:rPr>
        <w:t xml:space="preserve"> unbound)—a pharmacologically more relevant metric accounting for plasma protein binding—zorifertinib achieved values of 0.81–0.94. These values, approaching unity, are consistent with near-complete equilibration between the plasma and CSF compartments. The Fu of zorifertinib was 6.44% in Z005 and 5.63% in Z006.</w:t>
      </w:r>
      <w:r w:rsidRPr="00D83A1F">
        <w:rPr>
          <w:rFonts w:eastAsia="SimSun" w:cs="Times New Roman"/>
          <w:shd w:val="clear" w:color="auto" w:fill="FFFFFF"/>
        </w:rPr>
        <w:t xml:space="preserve">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despite its high plasma protein binding, achieved CSF total concentrations of 2.72–14.9 nmol/L, with CSF-to-plasma total ratios ranging from 0.37% to 0.48% across the evaluated time points (</w:t>
      </w:r>
      <w:r w:rsidRPr="00D83A1F">
        <w:rPr>
          <w:rFonts w:eastAsia="Segoe UI" w:cs="Times New Roman"/>
          <w:b/>
          <w:bCs/>
          <w:shd w:val="clear" w:color="auto" w:fill="FFFFFF"/>
        </w:rPr>
        <w:t>Table 2</w:t>
      </w:r>
      <w:r w:rsidRPr="00D83A1F">
        <w:rPr>
          <w:rFonts w:eastAsia="Segoe UI" w:cs="Times New Roman"/>
          <w:shd w:val="clear" w:color="auto" w:fill="FFFFFF"/>
        </w:rPr>
        <w:t> and </w:t>
      </w:r>
      <w:r w:rsidRPr="00D83A1F">
        <w:rPr>
          <w:rFonts w:eastAsia="Segoe UI" w:cs="Times New Roman"/>
          <w:b/>
          <w:bCs/>
          <w:shd w:val="clear" w:color="auto" w:fill="FFFFFF"/>
        </w:rPr>
        <w:t>Table 3</w:t>
      </w:r>
      <w:r w:rsidRPr="00D83A1F">
        <w:rPr>
          <w:rFonts w:eastAsia="Segoe UI" w:cs="Times New Roman"/>
          <w:shd w:val="clear" w:color="auto" w:fill="FFFFFF"/>
        </w:rPr>
        <w:t>). Notably, when comparing CSF total concentration to plasma unbound concentration, the ratios were 2.14 for Z005 and 4.91 for Z006, substantially exceeding unity. These elevated ratios likely reflect disruption of the blood-cerebrospinal fluid barrier in the setting of leptomeningeal metastasis, which increases CSF protein content and facilitates passive diffusion of protein-bound drug into the CSF compartment. The</w:t>
      </w:r>
      <w:r w:rsidRPr="00D83A1F">
        <w:rPr>
          <w:rFonts w:eastAsia="SimSun" w:cs="Times New Roman"/>
          <w:shd w:val="clear" w:color="auto" w:fill="FFFFFF"/>
        </w:rPr>
        <w:t xml:space="preserve"> </w:t>
      </w:r>
      <w:r w:rsidRPr="00D83A1F">
        <w:rPr>
          <w:rFonts w:eastAsia="Segoe UI" w:cs="Times New Roman"/>
          <w:shd w:val="clear" w:color="auto" w:fill="FFFFFF"/>
        </w:rPr>
        <w:t xml:space="preserve">Fu of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was 0.1</w:t>
      </w:r>
      <w:r w:rsidRPr="00D83A1F">
        <w:rPr>
          <w:rFonts w:cs="Times New Roman"/>
          <w:shd w:val="clear" w:color="auto" w:fill="FFFFFF"/>
        </w:rPr>
        <w:t>8</w:t>
      </w:r>
      <w:r w:rsidRPr="00D83A1F">
        <w:rPr>
          <w:rFonts w:eastAsia="Segoe UI" w:cs="Times New Roman"/>
          <w:shd w:val="clear" w:color="auto" w:fill="FFFFFF"/>
        </w:rPr>
        <w:t>% in Z005 and 0.</w:t>
      </w:r>
      <w:r w:rsidRPr="00D83A1F">
        <w:rPr>
          <w:rFonts w:cs="Times New Roman"/>
          <w:shd w:val="clear" w:color="auto" w:fill="FFFFFF"/>
        </w:rPr>
        <w:t>10</w:t>
      </w:r>
      <w:r w:rsidRPr="00D83A1F">
        <w:rPr>
          <w:rFonts w:eastAsia="Segoe UI" w:cs="Times New Roman"/>
          <w:shd w:val="clear" w:color="auto" w:fill="FFFFFF"/>
        </w:rPr>
        <w:t>% in Z006.</w:t>
      </w:r>
    </w:p>
    <w:p w14:paraId="4C82B592" w14:textId="27373F53" w:rsidR="00BD030E" w:rsidRPr="008C261E" w:rsidRDefault="00000000" w:rsidP="008C261E">
      <w:pPr>
        <w:ind w:firstLine="420"/>
        <w:rPr>
          <w:rFonts w:eastAsia="Segoe UI" w:cs="Times New Roman"/>
          <w:b/>
          <w:bCs/>
          <w:shd w:val="clear" w:color="auto" w:fill="FFFFFF"/>
        </w:rPr>
      </w:pPr>
      <w:r w:rsidRPr="00D83A1F">
        <w:rPr>
          <w:rFonts w:cs="Times New Roman"/>
          <w:shd w:val="clear" w:color="auto" w:fill="FFFFFF"/>
        </w:rPr>
        <w:t xml:space="preserve">The </w:t>
      </w:r>
      <w:r w:rsidRPr="00D83A1F">
        <w:rPr>
          <w:rFonts w:eastAsia="var(--dsw-font-markdown-h3)" w:cs="Times New Roman"/>
          <w:shd w:val="clear" w:color="auto" w:fill="FFFFFF"/>
        </w:rPr>
        <w:t>Clinical Outcomes</w:t>
      </w:r>
      <w:r w:rsidRPr="00D83A1F">
        <w:rPr>
          <w:rFonts w:cs="Times New Roman"/>
          <w:shd w:val="clear" w:color="auto" w:fill="FFFFFF"/>
        </w:rPr>
        <w:t xml:space="preserve">: </w:t>
      </w:r>
      <w:r w:rsidRPr="00D83A1F">
        <w:rPr>
          <w:rFonts w:eastAsia="Segoe UI" w:cs="Times New Roman"/>
          <w:shd w:val="clear" w:color="auto" w:fill="FFFFFF"/>
        </w:rPr>
        <w:t>Z005 achieved a remarkable response after initiation of combination therapy. Her neurological score improved from 3 to 0 within one month, and MRI demonstrated marked improvement with reduced leptomeningeal metastases</w:t>
      </w:r>
      <w:r w:rsidRPr="00D83A1F">
        <w:rPr>
          <w:rFonts w:cs="Times New Roman"/>
          <w:shd w:val="clear" w:color="auto" w:fill="FFFFFF"/>
        </w:rPr>
        <w:t xml:space="preserve"> </w:t>
      </w:r>
      <w:r w:rsidRPr="00D83A1F">
        <w:rPr>
          <w:rFonts w:cs="Times New Roman"/>
          <w:color w:val="0D0D0D" w:themeColor="text1" w:themeTint="F2"/>
          <w:shd w:val="clear" w:color="auto" w:fill="FFFFFF"/>
        </w:rPr>
        <w:t>(</w:t>
      </w:r>
      <w:r w:rsidRPr="008C261E">
        <w:rPr>
          <w:rFonts w:cs="Times New Roman"/>
          <w:b/>
          <w:bCs/>
          <w:color w:val="0D0D0D" w:themeColor="text1" w:themeTint="F2"/>
          <w:shd w:val="clear" w:color="auto" w:fill="FFFFFF"/>
        </w:rPr>
        <w:t>Figure 1D-1F</w:t>
      </w:r>
      <w:r w:rsidRPr="00D83A1F">
        <w:rPr>
          <w:rFonts w:cs="Times New Roman"/>
          <w:color w:val="0D0D0D" w:themeColor="text1" w:themeTint="F2"/>
          <w:shd w:val="clear" w:color="auto" w:fill="FFFFFF"/>
        </w:rPr>
        <w:t>)</w:t>
      </w:r>
      <w:r w:rsidRPr="00D83A1F">
        <w:rPr>
          <w:rFonts w:eastAsia="Segoe UI" w:cs="Times New Roman"/>
          <w:shd w:val="clear" w:color="auto" w:fill="FFFFFF"/>
        </w:rPr>
        <w:t xml:space="preserve">. Although CSF </w:t>
      </w:r>
      <w:r w:rsidRPr="00D83A1F">
        <w:rPr>
          <w:rFonts w:eastAsia="Segoe UI" w:cs="Times New Roman"/>
          <w:shd w:val="clear" w:color="auto" w:fill="FFFFFF"/>
        </w:rPr>
        <w:lastRenderedPageBreak/>
        <w:t xml:space="preserve">cytology remained positive at the time of best response, this clinical and radiographic improvement was documented as a partial response per RANO-LM criteria. </w:t>
      </w:r>
      <w:r w:rsidR="00AF1E36">
        <w:rPr>
          <w:rFonts w:eastAsia="Segoe UI" w:cs="Times New Roman"/>
          <w:shd w:val="clear" w:color="auto" w:fill="FFFFFF"/>
        </w:rPr>
        <w:t>Extracranial</w:t>
      </w:r>
      <w:r w:rsidRPr="00D83A1F">
        <w:rPr>
          <w:rFonts w:eastAsia="Segoe UI" w:cs="Times New Roman"/>
          <w:shd w:val="clear" w:color="auto" w:fill="FFFFFF"/>
        </w:rPr>
        <w:t xml:space="preserve"> disease remained stable throughout the observation period. The patient remained clinically stable at 6 months of follow-up.</w:t>
      </w:r>
      <w:r w:rsidRPr="00D83A1F">
        <w:rPr>
          <w:rFonts w:cs="Times New Roman"/>
          <w:shd w:val="clear" w:color="auto" w:fill="FFFFFF"/>
        </w:rPr>
        <w:t xml:space="preserve"> </w:t>
      </w:r>
      <w:r w:rsidRPr="00D83A1F">
        <w:rPr>
          <w:rFonts w:eastAsia="Segoe UI" w:cs="Times New Roman"/>
          <w:shd w:val="clear" w:color="auto" w:fill="FFFFFF"/>
        </w:rPr>
        <w:t>Z006 received combination therapy with zorifertinib</w:t>
      </w:r>
      <w:r w:rsidRPr="00D83A1F">
        <w:rPr>
          <w:rFonts w:cs="Times New Roman"/>
          <w:shd w:val="clear" w:color="auto" w:fill="FFFFFF"/>
        </w:rPr>
        <w:t xml:space="preserve"> </w:t>
      </w:r>
      <w:r w:rsidRPr="00D83A1F">
        <w:rPr>
          <w:rFonts w:eastAsia="Segoe UI" w:cs="Times New Roman"/>
          <w:shd w:val="clear" w:color="auto" w:fill="FFFFFF"/>
        </w:rPr>
        <w:t xml:space="preserve">after disease progression occurred under single-agent </w:t>
      </w:r>
      <w:proofErr w:type="spellStart"/>
      <w:r w:rsidRPr="00D83A1F">
        <w:rPr>
          <w:rFonts w:eastAsia="Segoe UI" w:cs="Times New Roman"/>
          <w:shd w:val="clear" w:color="auto" w:fill="FFFFFF"/>
        </w:rPr>
        <w:t>aumolertinib</w:t>
      </w:r>
      <w:proofErr w:type="spellEnd"/>
      <w:r w:rsidRPr="00D83A1F">
        <w:rPr>
          <w:rFonts w:eastAsia="Microsoft YaHei" w:cs="Times New Roman"/>
          <w:shd w:val="clear" w:color="auto" w:fill="FFFFFF"/>
        </w:rPr>
        <w:t>.</w:t>
      </w:r>
      <w:r w:rsidRPr="00D83A1F">
        <w:rPr>
          <w:rFonts w:eastAsia="Segoe UI" w:cs="Times New Roman"/>
          <w:shd w:val="clear" w:color="auto" w:fill="FFFFFF"/>
        </w:rPr>
        <w:t xml:space="preserve"> </w:t>
      </w:r>
      <w:r w:rsidRPr="00D83A1F">
        <w:rPr>
          <w:rFonts w:cs="Times New Roman"/>
          <w:shd w:val="clear" w:color="auto" w:fill="FFFFFF"/>
        </w:rPr>
        <w:t>Five</w:t>
      </w:r>
      <w:r w:rsidRPr="00D83A1F">
        <w:rPr>
          <w:rFonts w:eastAsia="Segoe UI" w:cs="Times New Roman"/>
          <w:shd w:val="clear" w:color="auto" w:fill="FFFFFF"/>
        </w:rPr>
        <w:t xml:space="preserve"> months later, her neurological function improved significantly, cerebrospinal fluid cytology turned negative, and her overall disease stayed stable</w:t>
      </w:r>
      <w:r w:rsidRPr="00D83A1F">
        <w:rPr>
          <w:rFonts w:cs="Times New Roman"/>
          <w:shd w:val="clear" w:color="auto" w:fill="FFFFFF"/>
        </w:rPr>
        <w:t xml:space="preserve"> </w:t>
      </w:r>
      <w:r w:rsidRPr="00D83A1F">
        <w:rPr>
          <w:rFonts w:cs="Times New Roman"/>
          <w:color w:val="0D0D0D" w:themeColor="text1" w:themeTint="F2"/>
          <w:shd w:val="clear" w:color="auto" w:fill="FFFFFF"/>
        </w:rPr>
        <w:t>(</w:t>
      </w:r>
      <w:r w:rsidRPr="008C261E">
        <w:rPr>
          <w:rFonts w:cs="Times New Roman"/>
          <w:b/>
          <w:bCs/>
          <w:color w:val="0D0D0D" w:themeColor="text1" w:themeTint="F2"/>
          <w:shd w:val="clear" w:color="auto" w:fill="FFFFFF"/>
        </w:rPr>
        <w:t>Figure 2C-2D</w:t>
      </w:r>
      <w:r w:rsidRPr="00D83A1F">
        <w:rPr>
          <w:rFonts w:cs="Times New Roman"/>
          <w:color w:val="0D0D0D" w:themeColor="text1" w:themeTint="F2"/>
          <w:shd w:val="clear" w:color="auto" w:fill="FFFFFF"/>
        </w:rPr>
        <w:t>)</w:t>
      </w:r>
      <w:r w:rsidRPr="00D83A1F">
        <w:rPr>
          <w:rFonts w:eastAsia="Segoe UI" w:cs="Times New Roman"/>
          <w:shd w:val="clear" w:color="auto" w:fill="FFFFFF"/>
        </w:rPr>
        <w:t>.</w:t>
      </w:r>
    </w:p>
    <w:p w14:paraId="4D7C8A30" w14:textId="77777777" w:rsidR="00BD030E" w:rsidRPr="00D83A1F" w:rsidRDefault="00BD030E" w:rsidP="008C261E">
      <w:pPr>
        <w:rPr>
          <w:rFonts w:eastAsia="var(--dsw-font-markdown-h3)" w:cs="Times New Roman"/>
          <w:shd w:val="clear" w:color="auto" w:fill="FFFFFF"/>
        </w:rPr>
      </w:pPr>
    </w:p>
    <w:p w14:paraId="3DCE3FB6" w14:textId="77777777" w:rsidR="00BD030E" w:rsidRPr="00D83A1F" w:rsidRDefault="00000000" w:rsidP="008C261E">
      <w:pPr>
        <w:rPr>
          <w:rFonts w:cs="Times New Roman"/>
        </w:rPr>
      </w:pPr>
      <w:r w:rsidRPr="008C261E">
        <w:rPr>
          <w:rFonts w:eastAsia="var(--dsw-font-markdown-h3)" w:cs="Times New Roman"/>
          <w:b/>
          <w:bCs/>
          <w:shd w:val="clear" w:color="auto" w:fill="FFFFFF"/>
        </w:rPr>
        <w:t>Table 1.</w:t>
      </w:r>
      <w:r w:rsidRPr="00D83A1F">
        <w:rPr>
          <w:rFonts w:eastAsia="var(--dsw-font-markdown-h3)" w:cs="Times New Roman"/>
          <w:shd w:val="clear" w:color="auto" w:fill="FFFFFF"/>
        </w:rPr>
        <w:t xml:space="preserve"> Patient </w:t>
      </w:r>
      <w:r w:rsidRPr="00D83A1F">
        <w:rPr>
          <w:rFonts w:cs="Times New Roman"/>
          <w:shd w:val="clear" w:color="auto" w:fill="FFFFFF"/>
        </w:rPr>
        <w:t>d</w:t>
      </w:r>
      <w:r w:rsidRPr="00D83A1F">
        <w:rPr>
          <w:rFonts w:eastAsia="var(--dsw-font-markdown-h3)" w:cs="Times New Roman"/>
          <w:shd w:val="clear" w:color="auto" w:fill="FFFFFF"/>
        </w:rPr>
        <w:t xml:space="preserve">emographics and </w:t>
      </w:r>
      <w:r w:rsidRPr="00D83A1F">
        <w:rPr>
          <w:rFonts w:cs="Times New Roman"/>
          <w:shd w:val="clear" w:color="auto" w:fill="FFFFFF"/>
        </w:rPr>
        <w:t>c</w:t>
      </w:r>
      <w:r w:rsidRPr="00D83A1F">
        <w:rPr>
          <w:rFonts w:eastAsia="var(--dsw-font-markdown-h3)" w:cs="Times New Roman"/>
          <w:shd w:val="clear" w:color="auto" w:fill="FFFFFF"/>
        </w:rPr>
        <w:t xml:space="preserve">linical </w:t>
      </w:r>
      <w:r w:rsidRPr="00D83A1F">
        <w:rPr>
          <w:rFonts w:cs="Times New Roman"/>
          <w:shd w:val="clear" w:color="auto" w:fill="FFFFFF"/>
        </w:rPr>
        <w:t>c</w:t>
      </w:r>
      <w:r w:rsidRPr="00D83A1F">
        <w:rPr>
          <w:rFonts w:eastAsia="var(--dsw-font-markdown-h3)" w:cs="Times New Roman"/>
          <w:shd w:val="clear" w:color="auto" w:fill="FFFFFF"/>
        </w:rPr>
        <w:t>haracteristics</w:t>
      </w:r>
      <w:r w:rsidRPr="00D83A1F">
        <w:rPr>
          <w:rFonts w:cs="Times New Roman"/>
          <w:shd w:val="clear" w:color="auto" w:fill="FFFFFF"/>
        </w:rPr>
        <w:t>.</w:t>
      </w:r>
    </w:p>
    <w:tbl>
      <w:tblPr>
        <w:tblW w:w="5000" w:type="pct"/>
        <w:jc w:val="center"/>
        <w:tblCellMar>
          <w:top w:w="15" w:type="dxa"/>
          <w:left w:w="15" w:type="dxa"/>
          <w:bottom w:w="15" w:type="dxa"/>
          <w:right w:w="15" w:type="dxa"/>
        </w:tblCellMar>
        <w:tblLook w:val="04A0" w:firstRow="1" w:lastRow="0" w:firstColumn="1" w:lastColumn="0" w:noHBand="0" w:noVBand="1"/>
      </w:tblPr>
      <w:tblGrid>
        <w:gridCol w:w="3890"/>
        <w:gridCol w:w="2978"/>
        <w:gridCol w:w="2770"/>
      </w:tblGrid>
      <w:tr w:rsidR="00BD030E" w:rsidRPr="00D83A1F" w14:paraId="5CCDCB6F" w14:textId="77777777" w:rsidTr="008C261E">
        <w:trPr>
          <w:tblHeader/>
          <w:jc w:val="center"/>
        </w:trPr>
        <w:tc>
          <w:tcPr>
            <w:tcW w:w="2018" w:type="pct"/>
            <w:tcBorders>
              <w:top w:val="single" w:sz="12" w:space="0" w:color="auto"/>
              <w:left w:val="nil"/>
              <w:bottom w:val="nil"/>
              <w:right w:val="nil"/>
            </w:tcBorders>
            <w:tcMar>
              <w:top w:w="120" w:type="dxa"/>
              <w:left w:w="-1" w:type="dxa"/>
              <w:bottom w:w="120" w:type="dxa"/>
              <w:right w:w="192" w:type="dxa"/>
            </w:tcMar>
          </w:tcPr>
          <w:p w14:paraId="2C6EEEA7" w14:textId="77777777" w:rsidR="00BD030E" w:rsidRPr="00D83A1F" w:rsidRDefault="00000000" w:rsidP="008C261E">
            <w:pPr>
              <w:jc w:val="left"/>
              <w:rPr>
                <w:rFonts w:eastAsia="var(--dsw-font-markdown-table-h" w:cs="Times New Roman"/>
                <w:b/>
                <w:bCs/>
              </w:rPr>
            </w:pPr>
            <w:r w:rsidRPr="00D83A1F">
              <w:rPr>
                <w:rFonts w:eastAsia="var(--dsw-font-markdown-table-h" w:cs="Times New Roman"/>
                <w:b/>
                <w:bCs/>
                <w:kern w:val="0"/>
                <w:lang w:bidi="ar"/>
              </w:rPr>
              <w:t>Characteristic</w:t>
            </w:r>
          </w:p>
        </w:tc>
        <w:tc>
          <w:tcPr>
            <w:tcW w:w="1545" w:type="pct"/>
            <w:tcBorders>
              <w:top w:val="single" w:sz="12" w:space="0" w:color="auto"/>
              <w:left w:val="nil"/>
              <w:bottom w:val="nil"/>
              <w:right w:val="nil"/>
            </w:tcBorders>
            <w:tcMar>
              <w:top w:w="120" w:type="dxa"/>
              <w:left w:w="192" w:type="dxa"/>
              <w:bottom w:w="120" w:type="dxa"/>
              <w:right w:w="192" w:type="dxa"/>
            </w:tcMar>
          </w:tcPr>
          <w:p w14:paraId="36C645B9" w14:textId="77777777" w:rsidR="00BD030E" w:rsidRPr="00D83A1F" w:rsidRDefault="00000000" w:rsidP="008C261E">
            <w:pPr>
              <w:jc w:val="center"/>
              <w:rPr>
                <w:rFonts w:eastAsia="var(--dsw-font-markdown-table-h" w:cs="Times New Roman"/>
                <w:b/>
                <w:bCs/>
              </w:rPr>
            </w:pPr>
            <w:r w:rsidRPr="00D83A1F">
              <w:rPr>
                <w:rFonts w:eastAsia="var(--dsw-font-markdown-table-h" w:cs="Times New Roman"/>
                <w:b/>
                <w:bCs/>
                <w:kern w:val="0"/>
                <w:lang w:bidi="ar"/>
              </w:rPr>
              <w:t>Z005</w:t>
            </w:r>
          </w:p>
        </w:tc>
        <w:tc>
          <w:tcPr>
            <w:tcW w:w="1437" w:type="pct"/>
            <w:tcBorders>
              <w:top w:val="single" w:sz="12" w:space="0" w:color="auto"/>
              <w:left w:val="nil"/>
              <w:bottom w:val="nil"/>
              <w:right w:val="nil"/>
            </w:tcBorders>
            <w:tcMar>
              <w:top w:w="120" w:type="dxa"/>
              <w:left w:w="192" w:type="dxa"/>
              <w:bottom w:w="120" w:type="dxa"/>
              <w:right w:w="192" w:type="dxa"/>
            </w:tcMar>
          </w:tcPr>
          <w:p w14:paraId="6F6DA7DD" w14:textId="77777777" w:rsidR="00BD030E" w:rsidRPr="00D83A1F" w:rsidRDefault="00000000" w:rsidP="008C261E">
            <w:pPr>
              <w:jc w:val="center"/>
              <w:rPr>
                <w:rFonts w:eastAsia="var(--dsw-font-markdown-table-h" w:cs="Times New Roman"/>
                <w:b/>
                <w:bCs/>
              </w:rPr>
            </w:pPr>
            <w:r w:rsidRPr="00D83A1F">
              <w:rPr>
                <w:rFonts w:eastAsia="var(--dsw-font-markdown-table-h" w:cs="Times New Roman"/>
                <w:b/>
                <w:bCs/>
                <w:kern w:val="0"/>
                <w:lang w:bidi="ar"/>
              </w:rPr>
              <w:t>Z006</w:t>
            </w:r>
          </w:p>
        </w:tc>
      </w:tr>
      <w:tr w:rsidR="00BD030E" w:rsidRPr="00D83A1F" w14:paraId="0629488D" w14:textId="77777777" w:rsidTr="008C261E">
        <w:trPr>
          <w:jc w:val="center"/>
        </w:trPr>
        <w:tc>
          <w:tcPr>
            <w:tcW w:w="2018" w:type="pct"/>
            <w:tcBorders>
              <w:top w:val="single" w:sz="4" w:space="0" w:color="auto"/>
              <w:left w:val="nil"/>
              <w:bottom w:val="nil"/>
              <w:right w:val="nil"/>
            </w:tcBorders>
            <w:tcMar>
              <w:top w:w="120" w:type="dxa"/>
              <w:left w:w="-1" w:type="dxa"/>
              <w:bottom w:w="120" w:type="dxa"/>
              <w:right w:w="192" w:type="dxa"/>
            </w:tcMar>
          </w:tcPr>
          <w:p w14:paraId="5E024ECB"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Age (years)</w:t>
            </w:r>
          </w:p>
        </w:tc>
        <w:tc>
          <w:tcPr>
            <w:tcW w:w="1545" w:type="pct"/>
            <w:tcBorders>
              <w:top w:val="single" w:sz="4" w:space="0" w:color="auto"/>
              <w:left w:val="nil"/>
              <w:bottom w:val="nil"/>
              <w:right w:val="nil"/>
            </w:tcBorders>
            <w:tcMar>
              <w:top w:w="120" w:type="dxa"/>
              <w:left w:w="192" w:type="dxa"/>
              <w:bottom w:w="120" w:type="dxa"/>
              <w:right w:w="192" w:type="dxa"/>
            </w:tcMar>
          </w:tcPr>
          <w:p w14:paraId="1995AA0D"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50</w:t>
            </w:r>
          </w:p>
        </w:tc>
        <w:tc>
          <w:tcPr>
            <w:tcW w:w="1437" w:type="pct"/>
            <w:tcBorders>
              <w:top w:val="single" w:sz="4" w:space="0" w:color="auto"/>
              <w:left w:val="nil"/>
              <w:bottom w:val="nil"/>
              <w:right w:val="nil"/>
            </w:tcBorders>
            <w:tcMar>
              <w:top w:w="120" w:type="dxa"/>
              <w:left w:w="192" w:type="dxa"/>
              <w:bottom w:w="120" w:type="dxa"/>
              <w:right w:w="-1" w:type="dxa"/>
            </w:tcMar>
          </w:tcPr>
          <w:p w14:paraId="1DA96235"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62</w:t>
            </w:r>
          </w:p>
        </w:tc>
      </w:tr>
      <w:tr w:rsidR="00BD030E" w:rsidRPr="00D83A1F" w14:paraId="616BF7B4"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78D0ECA9"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Gender</w:t>
            </w:r>
          </w:p>
        </w:tc>
        <w:tc>
          <w:tcPr>
            <w:tcW w:w="1545" w:type="pct"/>
            <w:tcBorders>
              <w:top w:val="nil"/>
              <w:left w:val="nil"/>
              <w:bottom w:val="nil"/>
              <w:right w:val="nil"/>
            </w:tcBorders>
            <w:tcMar>
              <w:top w:w="120" w:type="dxa"/>
              <w:left w:w="192" w:type="dxa"/>
              <w:bottom w:w="120" w:type="dxa"/>
              <w:right w:w="192" w:type="dxa"/>
            </w:tcMar>
          </w:tcPr>
          <w:p w14:paraId="02140C61"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Female</w:t>
            </w:r>
          </w:p>
        </w:tc>
        <w:tc>
          <w:tcPr>
            <w:tcW w:w="1437" w:type="pct"/>
            <w:tcBorders>
              <w:top w:val="nil"/>
              <w:left w:val="nil"/>
              <w:bottom w:val="nil"/>
              <w:right w:val="nil"/>
            </w:tcBorders>
            <w:tcMar>
              <w:top w:w="120" w:type="dxa"/>
              <w:left w:w="192" w:type="dxa"/>
              <w:bottom w:w="120" w:type="dxa"/>
              <w:right w:w="-1" w:type="dxa"/>
            </w:tcMar>
          </w:tcPr>
          <w:p w14:paraId="562B97D0"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Female</w:t>
            </w:r>
          </w:p>
        </w:tc>
      </w:tr>
      <w:tr w:rsidR="00BD030E" w:rsidRPr="00D83A1F" w14:paraId="7AF9C5CB"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060AAFE0" w14:textId="77777777" w:rsidR="00BD030E" w:rsidRPr="00D83A1F" w:rsidRDefault="00000000" w:rsidP="008C261E">
            <w:pPr>
              <w:jc w:val="left"/>
              <w:rPr>
                <w:rFonts w:eastAsia="var(--dsw-font-markdown-table)" w:cs="Times New Roman"/>
                <w:highlight w:val="green"/>
              </w:rPr>
            </w:pPr>
            <w:r w:rsidRPr="00D83A1F">
              <w:rPr>
                <w:rFonts w:eastAsia="var(--dsw-font-markdown-table)" w:cs="Times New Roman"/>
                <w:kern w:val="0"/>
                <w:lang w:bidi="ar"/>
              </w:rPr>
              <w:t>NSCLC diagnosis date</w:t>
            </w:r>
          </w:p>
        </w:tc>
        <w:tc>
          <w:tcPr>
            <w:tcW w:w="1545" w:type="pct"/>
            <w:tcBorders>
              <w:top w:val="nil"/>
              <w:left w:val="nil"/>
              <w:bottom w:val="nil"/>
              <w:right w:val="nil"/>
            </w:tcBorders>
            <w:tcMar>
              <w:top w:w="120" w:type="dxa"/>
              <w:left w:w="192" w:type="dxa"/>
              <w:bottom w:w="120" w:type="dxa"/>
              <w:right w:w="192" w:type="dxa"/>
            </w:tcMar>
          </w:tcPr>
          <w:p w14:paraId="6309E509" w14:textId="77777777" w:rsidR="00BD030E" w:rsidRPr="00D83A1F" w:rsidRDefault="00000000" w:rsidP="008C261E">
            <w:pPr>
              <w:jc w:val="center"/>
              <w:rPr>
                <w:rFonts w:eastAsia="var(--dsw-font-markdown-table)" w:cs="Times New Roman"/>
              </w:rPr>
            </w:pPr>
            <w:r w:rsidRPr="00D83A1F">
              <w:rPr>
                <w:rFonts w:eastAsia="var(--dsw-font-markdown-table)" w:cs="Times New Roman"/>
              </w:rPr>
              <w:t>2020-07-29</w:t>
            </w:r>
          </w:p>
        </w:tc>
        <w:tc>
          <w:tcPr>
            <w:tcW w:w="1437" w:type="pct"/>
            <w:tcBorders>
              <w:top w:val="nil"/>
              <w:left w:val="nil"/>
              <w:bottom w:val="nil"/>
              <w:right w:val="nil"/>
            </w:tcBorders>
            <w:tcMar>
              <w:top w:w="120" w:type="dxa"/>
              <w:left w:w="192" w:type="dxa"/>
              <w:bottom w:w="120" w:type="dxa"/>
              <w:right w:w="-1" w:type="dxa"/>
            </w:tcMar>
          </w:tcPr>
          <w:p w14:paraId="0DA4811C" w14:textId="77777777" w:rsidR="00BD030E" w:rsidRPr="00D83A1F" w:rsidRDefault="00000000" w:rsidP="008C261E">
            <w:pPr>
              <w:jc w:val="center"/>
              <w:rPr>
                <w:rFonts w:eastAsia="var(--dsw-font-markdown-table)" w:cs="Times New Roman"/>
                <w:kern w:val="0"/>
                <w:lang w:bidi="ar"/>
              </w:rPr>
            </w:pPr>
            <w:r w:rsidRPr="00D83A1F">
              <w:rPr>
                <w:rFonts w:eastAsia="var(--dsw-font-markdown-table)" w:cs="Times New Roman"/>
                <w:kern w:val="0"/>
                <w:lang w:bidi="ar"/>
              </w:rPr>
              <w:t>2022-05-16</w:t>
            </w:r>
          </w:p>
        </w:tc>
      </w:tr>
      <w:tr w:rsidR="00BD030E" w:rsidRPr="00D83A1F" w14:paraId="51B057B8"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5B25E68B"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EGFR mutation</w:t>
            </w:r>
          </w:p>
        </w:tc>
        <w:tc>
          <w:tcPr>
            <w:tcW w:w="1545" w:type="pct"/>
            <w:tcBorders>
              <w:top w:val="nil"/>
              <w:left w:val="nil"/>
              <w:bottom w:val="nil"/>
              <w:right w:val="nil"/>
            </w:tcBorders>
            <w:tcMar>
              <w:top w:w="120" w:type="dxa"/>
              <w:left w:w="192" w:type="dxa"/>
              <w:bottom w:w="120" w:type="dxa"/>
              <w:right w:w="192" w:type="dxa"/>
            </w:tcMar>
          </w:tcPr>
          <w:p w14:paraId="580A4E9E"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Exon 19 deletion</w:t>
            </w:r>
          </w:p>
        </w:tc>
        <w:tc>
          <w:tcPr>
            <w:tcW w:w="1437" w:type="pct"/>
            <w:tcBorders>
              <w:top w:val="nil"/>
              <w:left w:val="nil"/>
              <w:bottom w:val="nil"/>
              <w:right w:val="nil"/>
            </w:tcBorders>
            <w:tcMar>
              <w:top w:w="120" w:type="dxa"/>
              <w:left w:w="192" w:type="dxa"/>
              <w:bottom w:w="120" w:type="dxa"/>
              <w:right w:w="-1" w:type="dxa"/>
            </w:tcMar>
          </w:tcPr>
          <w:p w14:paraId="1E76E15C"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L858R + T790M</w:t>
            </w:r>
          </w:p>
        </w:tc>
      </w:tr>
      <w:tr w:rsidR="00BD030E" w:rsidRPr="00D83A1F" w14:paraId="4650D234"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75220AC0"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LM diagnosis date</w:t>
            </w:r>
          </w:p>
        </w:tc>
        <w:tc>
          <w:tcPr>
            <w:tcW w:w="1545" w:type="pct"/>
            <w:tcBorders>
              <w:top w:val="nil"/>
              <w:left w:val="nil"/>
              <w:bottom w:val="nil"/>
              <w:right w:val="nil"/>
            </w:tcBorders>
            <w:tcMar>
              <w:top w:w="120" w:type="dxa"/>
              <w:left w:w="192" w:type="dxa"/>
              <w:bottom w:w="120" w:type="dxa"/>
              <w:right w:w="192" w:type="dxa"/>
            </w:tcMar>
          </w:tcPr>
          <w:p w14:paraId="360370F2" w14:textId="77777777" w:rsidR="00BD030E" w:rsidRPr="00D83A1F" w:rsidRDefault="00000000" w:rsidP="008C261E">
            <w:pPr>
              <w:jc w:val="center"/>
              <w:rPr>
                <w:rFonts w:eastAsia="var(--dsw-font-markdown-table)" w:cs="Times New Roman"/>
                <w:kern w:val="0"/>
                <w:lang w:bidi="ar"/>
              </w:rPr>
            </w:pPr>
            <w:r w:rsidRPr="00D83A1F">
              <w:rPr>
                <w:rFonts w:eastAsia="var(--dsw-font-markdown-table)" w:cs="Times New Roman"/>
                <w:kern w:val="0"/>
                <w:lang w:bidi="ar"/>
              </w:rPr>
              <w:t>2024-03-14</w:t>
            </w:r>
          </w:p>
        </w:tc>
        <w:tc>
          <w:tcPr>
            <w:tcW w:w="1437" w:type="pct"/>
            <w:tcBorders>
              <w:top w:val="nil"/>
              <w:left w:val="nil"/>
              <w:bottom w:val="nil"/>
              <w:right w:val="nil"/>
            </w:tcBorders>
            <w:tcMar>
              <w:top w:w="120" w:type="dxa"/>
              <w:left w:w="192" w:type="dxa"/>
              <w:bottom w:w="120" w:type="dxa"/>
              <w:right w:w="-1" w:type="dxa"/>
            </w:tcMar>
          </w:tcPr>
          <w:p w14:paraId="3D10BDDE" w14:textId="77777777" w:rsidR="00BD030E" w:rsidRPr="00D83A1F" w:rsidRDefault="00000000" w:rsidP="008C261E">
            <w:pPr>
              <w:jc w:val="center"/>
              <w:rPr>
                <w:rFonts w:eastAsia="var(--dsw-font-markdown-table)" w:cs="Times New Roman"/>
                <w:kern w:val="0"/>
                <w:lang w:bidi="ar"/>
              </w:rPr>
            </w:pPr>
            <w:r w:rsidRPr="00D83A1F">
              <w:rPr>
                <w:rFonts w:eastAsia="var(--dsw-font-markdown-table)" w:cs="Times New Roman"/>
                <w:kern w:val="0"/>
                <w:lang w:bidi="ar"/>
              </w:rPr>
              <w:t>2025-09-30</w:t>
            </w:r>
          </w:p>
        </w:tc>
      </w:tr>
      <w:tr w:rsidR="00BD030E" w:rsidRPr="00D83A1F" w14:paraId="2282C484"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259CE597"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Prior EGFR-TKI</w:t>
            </w:r>
          </w:p>
        </w:tc>
        <w:tc>
          <w:tcPr>
            <w:tcW w:w="1545" w:type="pct"/>
            <w:tcBorders>
              <w:top w:val="nil"/>
              <w:left w:val="nil"/>
              <w:bottom w:val="nil"/>
              <w:right w:val="nil"/>
            </w:tcBorders>
            <w:tcMar>
              <w:top w:w="120" w:type="dxa"/>
              <w:left w:w="192" w:type="dxa"/>
              <w:bottom w:w="120" w:type="dxa"/>
              <w:right w:w="192" w:type="dxa"/>
            </w:tcMar>
          </w:tcPr>
          <w:p w14:paraId="0F209D63" w14:textId="77777777" w:rsidR="00BD030E" w:rsidRPr="00D83A1F" w:rsidRDefault="00000000" w:rsidP="008C261E">
            <w:pPr>
              <w:jc w:val="center"/>
              <w:rPr>
                <w:rFonts w:eastAsia="var(--dsw-font-markdown-table)" w:cs="Times New Roman"/>
              </w:rPr>
            </w:pPr>
            <w:proofErr w:type="spellStart"/>
            <w:r w:rsidRPr="00D83A1F">
              <w:rPr>
                <w:rFonts w:eastAsia="var(--dsw-font-markdown-table)" w:cs="Times New Roman"/>
                <w:kern w:val="0"/>
                <w:lang w:bidi="ar"/>
              </w:rPr>
              <w:t>Almonertinib</w:t>
            </w:r>
            <w:proofErr w:type="spellEnd"/>
            <w:r w:rsidRPr="00D83A1F">
              <w:rPr>
                <w:rFonts w:eastAsia="var(--dsw-font-markdown-table)" w:cs="Times New Roman"/>
                <w:kern w:val="0"/>
                <w:lang w:bidi="ar"/>
              </w:rPr>
              <w:t xml:space="preserve"> 165 mg</w:t>
            </w:r>
          </w:p>
        </w:tc>
        <w:tc>
          <w:tcPr>
            <w:tcW w:w="1437" w:type="pct"/>
            <w:tcBorders>
              <w:top w:val="nil"/>
              <w:left w:val="nil"/>
              <w:bottom w:val="nil"/>
              <w:right w:val="nil"/>
            </w:tcBorders>
            <w:tcMar>
              <w:top w:w="120" w:type="dxa"/>
              <w:left w:w="192" w:type="dxa"/>
              <w:bottom w:w="120" w:type="dxa"/>
              <w:right w:w="-1" w:type="dxa"/>
            </w:tcMar>
          </w:tcPr>
          <w:p w14:paraId="71429609" w14:textId="77777777" w:rsidR="00BD030E" w:rsidRPr="00D83A1F" w:rsidRDefault="00000000" w:rsidP="008C261E">
            <w:pPr>
              <w:jc w:val="center"/>
              <w:rPr>
                <w:rFonts w:eastAsia="var(--dsw-font-markdown-table)" w:cs="Times New Roman"/>
              </w:rPr>
            </w:pPr>
            <w:proofErr w:type="spellStart"/>
            <w:r w:rsidRPr="00D83A1F">
              <w:rPr>
                <w:rFonts w:eastAsia="var(--dsw-font-markdown-table)" w:cs="Times New Roman"/>
                <w:kern w:val="0"/>
                <w:lang w:bidi="ar"/>
              </w:rPr>
              <w:t>Almonertinib</w:t>
            </w:r>
            <w:proofErr w:type="spellEnd"/>
            <w:r w:rsidRPr="00D83A1F">
              <w:rPr>
                <w:rFonts w:eastAsia="var(--dsw-font-markdown-table)" w:cs="Times New Roman"/>
                <w:kern w:val="0"/>
                <w:lang w:bidi="ar"/>
              </w:rPr>
              <w:t xml:space="preserve"> 165 mg</w:t>
            </w:r>
          </w:p>
        </w:tc>
      </w:tr>
      <w:tr w:rsidR="00BD030E" w:rsidRPr="00D83A1F" w14:paraId="1429DB70"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0DB9CF80" w14:textId="77777777" w:rsidR="00BD030E" w:rsidRPr="00D83A1F" w:rsidRDefault="00000000" w:rsidP="008C261E">
            <w:pPr>
              <w:jc w:val="left"/>
              <w:rPr>
                <w:rFonts w:eastAsia="var(--dsw-font-markdown-table)" w:cs="Times New Roman"/>
                <w:kern w:val="0"/>
                <w:lang w:bidi="ar"/>
              </w:rPr>
            </w:pPr>
            <w:r w:rsidRPr="00D83A1F">
              <w:rPr>
                <w:rFonts w:eastAsia="var(--dsw-font-markdown-table)" w:cs="Times New Roman"/>
                <w:kern w:val="0"/>
                <w:lang w:bidi="ar"/>
              </w:rPr>
              <w:t>Combined therapy initiation</w:t>
            </w:r>
          </w:p>
          <w:p w14:paraId="2C5A2948" w14:textId="458CA6F1" w:rsidR="00BD030E" w:rsidRPr="00D83A1F" w:rsidRDefault="00000000" w:rsidP="008C261E">
            <w:pPr>
              <w:jc w:val="left"/>
              <w:rPr>
                <w:rFonts w:eastAsia="var(--dsw-font-markdown-table)" w:cs="Times New Roman"/>
                <w:kern w:val="0"/>
                <w:lang w:bidi="ar"/>
              </w:rPr>
            </w:pPr>
            <w:r w:rsidRPr="00D83A1F">
              <w:rPr>
                <w:rFonts w:eastAsia="var(--dsw-font-markdown-table)" w:cs="Times New Roman"/>
                <w:kern w:val="0"/>
                <w:lang w:bidi="ar"/>
              </w:rPr>
              <w:t xml:space="preserve">(Zorifertinib + </w:t>
            </w:r>
            <w:proofErr w:type="spellStart"/>
            <w:r w:rsidRPr="00D83A1F">
              <w:rPr>
                <w:rFonts w:eastAsia="var(--dsw-font-markdown-table)" w:cs="Times New Roman"/>
                <w:kern w:val="0"/>
                <w:lang w:bidi="ar"/>
              </w:rPr>
              <w:t>Almonertinib</w:t>
            </w:r>
            <w:proofErr w:type="spellEnd"/>
            <w:r w:rsidRPr="00D83A1F">
              <w:rPr>
                <w:rFonts w:eastAsia="var(--dsw-font-markdown-table)" w:cs="Times New Roman"/>
                <w:kern w:val="0"/>
                <w:lang w:bidi="ar"/>
              </w:rPr>
              <w:t>)</w:t>
            </w:r>
          </w:p>
        </w:tc>
        <w:tc>
          <w:tcPr>
            <w:tcW w:w="1545" w:type="pct"/>
            <w:tcBorders>
              <w:top w:val="nil"/>
              <w:left w:val="nil"/>
              <w:bottom w:val="nil"/>
              <w:right w:val="nil"/>
            </w:tcBorders>
            <w:tcMar>
              <w:top w:w="120" w:type="dxa"/>
              <w:left w:w="192" w:type="dxa"/>
              <w:bottom w:w="120" w:type="dxa"/>
              <w:right w:w="192" w:type="dxa"/>
            </w:tcMar>
          </w:tcPr>
          <w:p w14:paraId="19EE8973" w14:textId="77777777" w:rsidR="00BD030E" w:rsidRPr="00D83A1F" w:rsidRDefault="00000000" w:rsidP="008C261E">
            <w:pPr>
              <w:jc w:val="center"/>
              <w:rPr>
                <w:rFonts w:eastAsia="var(--dsw-font-markdown-table)" w:cs="Times New Roman"/>
                <w:kern w:val="0"/>
                <w:lang w:bidi="ar"/>
              </w:rPr>
            </w:pPr>
            <w:r w:rsidRPr="00D83A1F">
              <w:rPr>
                <w:rFonts w:eastAsia="var(--dsw-font-markdown-table)" w:cs="Times New Roman"/>
                <w:kern w:val="0"/>
                <w:lang w:bidi="ar"/>
              </w:rPr>
              <w:t>2025-12-14</w:t>
            </w:r>
          </w:p>
        </w:tc>
        <w:tc>
          <w:tcPr>
            <w:tcW w:w="1437" w:type="pct"/>
            <w:tcBorders>
              <w:top w:val="nil"/>
              <w:left w:val="nil"/>
              <w:bottom w:val="nil"/>
              <w:right w:val="nil"/>
            </w:tcBorders>
            <w:tcMar>
              <w:top w:w="120" w:type="dxa"/>
              <w:left w:w="192" w:type="dxa"/>
              <w:bottom w:w="120" w:type="dxa"/>
              <w:right w:w="-1" w:type="dxa"/>
            </w:tcMar>
          </w:tcPr>
          <w:p w14:paraId="6F1BAF88" w14:textId="77777777" w:rsidR="00BD030E" w:rsidRPr="00D83A1F" w:rsidRDefault="00000000" w:rsidP="008C261E">
            <w:pPr>
              <w:jc w:val="center"/>
              <w:rPr>
                <w:rFonts w:eastAsia="var(--dsw-font-markdown-table)" w:cs="Times New Roman"/>
                <w:kern w:val="0"/>
                <w:lang w:bidi="ar"/>
              </w:rPr>
            </w:pPr>
            <w:r w:rsidRPr="00D83A1F">
              <w:rPr>
                <w:rFonts w:eastAsia="var(--dsw-font-markdown-table)" w:cs="Times New Roman"/>
                <w:kern w:val="0"/>
                <w:lang w:bidi="ar"/>
              </w:rPr>
              <w:t>2026-01-24</w:t>
            </w:r>
          </w:p>
        </w:tc>
      </w:tr>
      <w:tr w:rsidR="00BD030E" w:rsidRPr="00D83A1F" w14:paraId="49B16A5A"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24D401E0"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Best overall response (RANO-LM)</w:t>
            </w:r>
          </w:p>
        </w:tc>
        <w:tc>
          <w:tcPr>
            <w:tcW w:w="1545" w:type="pct"/>
            <w:tcBorders>
              <w:top w:val="nil"/>
              <w:left w:val="nil"/>
              <w:bottom w:val="nil"/>
              <w:right w:val="nil"/>
            </w:tcBorders>
            <w:tcMar>
              <w:top w:w="120" w:type="dxa"/>
              <w:left w:w="192" w:type="dxa"/>
              <w:bottom w:w="120" w:type="dxa"/>
              <w:right w:w="192" w:type="dxa"/>
            </w:tcMar>
          </w:tcPr>
          <w:p w14:paraId="7458ABF7"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Neurological score 3→0</w:t>
            </w:r>
          </w:p>
        </w:tc>
        <w:tc>
          <w:tcPr>
            <w:tcW w:w="1437" w:type="pct"/>
            <w:tcBorders>
              <w:top w:val="nil"/>
              <w:left w:val="nil"/>
              <w:bottom w:val="nil"/>
              <w:right w:val="nil"/>
            </w:tcBorders>
            <w:tcMar>
              <w:top w:w="120" w:type="dxa"/>
              <w:left w:w="192" w:type="dxa"/>
              <w:bottom w:w="120" w:type="dxa"/>
              <w:right w:w="-1" w:type="dxa"/>
            </w:tcMar>
          </w:tcPr>
          <w:p w14:paraId="08CA0869"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Neurological score 3→2</w:t>
            </w:r>
          </w:p>
        </w:tc>
      </w:tr>
      <w:tr w:rsidR="00BD030E" w:rsidRPr="00D83A1F" w14:paraId="48D022C1" w14:textId="77777777" w:rsidTr="008C261E">
        <w:trPr>
          <w:jc w:val="center"/>
        </w:trPr>
        <w:tc>
          <w:tcPr>
            <w:tcW w:w="2018" w:type="pct"/>
            <w:tcBorders>
              <w:top w:val="nil"/>
              <w:left w:val="nil"/>
              <w:bottom w:val="nil"/>
              <w:right w:val="nil"/>
            </w:tcBorders>
            <w:tcMar>
              <w:top w:w="120" w:type="dxa"/>
              <w:left w:w="-1" w:type="dxa"/>
              <w:bottom w:w="120" w:type="dxa"/>
              <w:right w:w="192" w:type="dxa"/>
            </w:tcMar>
          </w:tcPr>
          <w:p w14:paraId="3649E01A" w14:textId="3FED46F7" w:rsidR="00BD030E" w:rsidRPr="00D83A1F" w:rsidRDefault="00AF1E36" w:rsidP="008C261E">
            <w:pPr>
              <w:jc w:val="left"/>
              <w:rPr>
                <w:rFonts w:eastAsia="var(--dsw-font-markdown-table)" w:cs="Times New Roman"/>
              </w:rPr>
            </w:pPr>
            <w:r>
              <w:rPr>
                <w:rFonts w:eastAsia="var(--dsw-font-markdown-table)" w:cs="Times New Roman"/>
                <w:kern w:val="0"/>
                <w:lang w:bidi="ar"/>
              </w:rPr>
              <w:t>Extracranial</w:t>
            </w:r>
            <w:r w:rsidR="00000000" w:rsidRPr="00D83A1F">
              <w:rPr>
                <w:rFonts w:eastAsia="var(--dsw-font-markdown-table)" w:cs="Times New Roman"/>
                <w:kern w:val="0"/>
                <w:lang w:bidi="ar"/>
              </w:rPr>
              <w:t xml:space="preserve"> response</w:t>
            </w:r>
          </w:p>
        </w:tc>
        <w:tc>
          <w:tcPr>
            <w:tcW w:w="1545" w:type="pct"/>
            <w:tcBorders>
              <w:top w:val="nil"/>
              <w:left w:val="nil"/>
              <w:bottom w:val="nil"/>
              <w:right w:val="nil"/>
            </w:tcBorders>
            <w:tcMar>
              <w:top w:w="120" w:type="dxa"/>
              <w:left w:w="192" w:type="dxa"/>
              <w:bottom w:w="120" w:type="dxa"/>
              <w:right w:w="192" w:type="dxa"/>
            </w:tcMar>
          </w:tcPr>
          <w:p w14:paraId="4B272461"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Stable</w:t>
            </w:r>
          </w:p>
        </w:tc>
        <w:tc>
          <w:tcPr>
            <w:tcW w:w="1437" w:type="pct"/>
            <w:tcBorders>
              <w:top w:val="nil"/>
              <w:left w:val="nil"/>
              <w:bottom w:val="nil"/>
              <w:right w:val="nil"/>
            </w:tcBorders>
            <w:tcMar>
              <w:top w:w="120" w:type="dxa"/>
              <w:left w:w="192" w:type="dxa"/>
              <w:bottom w:w="120" w:type="dxa"/>
              <w:right w:w="-1" w:type="dxa"/>
            </w:tcMar>
          </w:tcPr>
          <w:p w14:paraId="37AB7C66"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Stable</w:t>
            </w:r>
          </w:p>
        </w:tc>
      </w:tr>
      <w:tr w:rsidR="00BD030E" w:rsidRPr="00D83A1F" w14:paraId="6A8350BF" w14:textId="77777777" w:rsidTr="008C261E">
        <w:trPr>
          <w:jc w:val="center"/>
        </w:trPr>
        <w:tc>
          <w:tcPr>
            <w:tcW w:w="2018" w:type="pct"/>
            <w:tcBorders>
              <w:top w:val="nil"/>
              <w:left w:val="nil"/>
              <w:bottom w:val="single" w:sz="12" w:space="0" w:color="auto"/>
              <w:right w:val="nil"/>
            </w:tcBorders>
            <w:tcMar>
              <w:top w:w="120" w:type="dxa"/>
              <w:left w:w="-1" w:type="dxa"/>
              <w:bottom w:w="120" w:type="dxa"/>
              <w:right w:w="192" w:type="dxa"/>
            </w:tcMar>
          </w:tcPr>
          <w:p w14:paraId="73D22DD0"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Follow-up duration</w:t>
            </w:r>
          </w:p>
        </w:tc>
        <w:tc>
          <w:tcPr>
            <w:tcW w:w="1545" w:type="pct"/>
            <w:tcBorders>
              <w:top w:val="nil"/>
              <w:left w:val="nil"/>
              <w:bottom w:val="single" w:sz="12" w:space="0" w:color="auto"/>
              <w:right w:val="nil"/>
            </w:tcBorders>
            <w:tcMar>
              <w:top w:w="120" w:type="dxa"/>
              <w:left w:w="192" w:type="dxa"/>
              <w:bottom w:w="120" w:type="dxa"/>
              <w:right w:w="192" w:type="dxa"/>
            </w:tcMar>
          </w:tcPr>
          <w:p w14:paraId="61346D63"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6 months</w:t>
            </w:r>
          </w:p>
        </w:tc>
        <w:tc>
          <w:tcPr>
            <w:tcW w:w="1437" w:type="pct"/>
            <w:tcBorders>
              <w:top w:val="nil"/>
              <w:left w:val="nil"/>
              <w:bottom w:val="single" w:sz="12" w:space="0" w:color="auto"/>
              <w:right w:val="nil"/>
            </w:tcBorders>
            <w:tcMar>
              <w:top w:w="120" w:type="dxa"/>
              <w:left w:w="192" w:type="dxa"/>
              <w:bottom w:w="120" w:type="dxa"/>
              <w:right w:w="-1" w:type="dxa"/>
            </w:tcMar>
          </w:tcPr>
          <w:p w14:paraId="33554D4D"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5 months</w:t>
            </w:r>
          </w:p>
        </w:tc>
      </w:tr>
    </w:tbl>
    <w:p w14:paraId="4ABD9E0E" w14:textId="77777777" w:rsidR="00BD030E" w:rsidRPr="00D83A1F" w:rsidRDefault="00BD030E" w:rsidP="00D83A1F">
      <w:pPr>
        <w:rPr>
          <w:rFonts w:eastAsia="SimSun" w:cs="Times New Roman"/>
          <w:b/>
          <w:bCs/>
          <w:shd w:val="clear" w:color="auto" w:fill="FFFFFF"/>
        </w:rPr>
      </w:pPr>
    </w:p>
    <w:p w14:paraId="676563CA" w14:textId="77777777" w:rsidR="00BD030E" w:rsidRPr="008C261E" w:rsidRDefault="00000000" w:rsidP="008C261E">
      <w:pPr>
        <w:rPr>
          <w:rFonts w:cs="Times New Roman"/>
          <w:b/>
          <w:bCs/>
        </w:rPr>
      </w:pPr>
      <w:r w:rsidRPr="008C261E">
        <w:rPr>
          <w:rFonts w:eastAsia="var(--dsw-font-markdown-h3)" w:cs="Times New Roman"/>
          <w:b/>
          <w:bCs/>
          <w:shd w:val="clear" w:color="auto" w:fill="FFFFFF"/>
        </w:rPr>
        <w:t xml:space="preserve">Table 2. </w:t>
      </w:r>
      <w:r w:rsidRPr="00D83A1F">
        <w:rPr>
          <w:rFonts w:eastAsia="var(--dsw-font-markdown-h3)" w:cs="Times New Roman"/>
          <w:shd w:val="clear" w:color="auto" w:fill="FFFFFF"/>
        </w:rPr>
        <w:t xml:space="preserve">Serial </w:t>
      </w:r>
      <w:r w:rsidRPr="00D83A1F">
        <w:rPr>
          <w:rFonts w:cs="Times New Roman"/>
          <w:shd w:val="clear" w:color="auto" w:fill="FFFFFF"/>
        </w:rPr>
        <w:t>p</w:t>
      </w:r>
      <w:r w:rsidRPr="00D83A1F">
        <w:rPr>
          <w:rFonts w:eastAsia="var(--dsw-font-markdown-h3)" w:cs="Times New Roman"/>
          <w:shd w:val="clear" w:color="auto" w:fill="FFFFFF"/>
        </w:rPr>
        <w:t>harmacokinetic and</w:t>
      </w:r>
      <w:r w:rsidRPr="00D83A1F">
        <w:rPr>
          <w:rFonts w:cs="Times New Roman"/>
          <w:shd w:val="clear" w:color="auto" w:fill="FFFFFF"/>
        </w:rPr>
        <w:t xml:space="preserve"> c</w:t>
      </w:r>
      <w:r w:rsidRPr="00D83A1F">
        <w:rPr>
          <w:rFonts w:eastAsia="var(--dsw-font-markdown-h3)" w:cs="Times New Roman"/>
          <w:shd w:val="clear" w:color="auto" w:fill="FFFFFF"/>
        </w:rPr>
        <w:t xml:space="preserve">linical </w:t>
      </w:r>
      <w:r w:rsidRPr="00D83A1F">
        <w:rPr>
          <w:rFonts w:cs="Times New Roman"/>
          <w:shd w:val="clear" w:color="auto" w:fill="FFFFFF"/>
        </w:rPr>
        <w:t>d</w:t>
      </w:r>
      <w:r w:rsidRPr="00D83A1F">
        <w:rPr>
          <w:rFonts w:eastAsia="var(--dsw-font-markdown-h3)" w:cs="Times New Roman"/>
          <w:shd w:val="clear" w:color="auto" w:fill="FFFFFF"/>
        </w:rPr>
        <w:t>ata</w:t>
      </w:r>
      <w:r w:rsidRPr="00D83A1F">
        <w:rPr>
          <w:rFonts w:cs="Times New Roman"/>
          <w:shd w:val="clear" w:color="auto" w:fill="FFFFFF"/>
        </w:rPr>
        <w:t>.</w:t>
      </w:r>
    </w:p>
    <w:tbl>
      <w:tblPr>
        <w:tblW w:w="5000" w:type="pct"/>
        <w:jc w:val="center"/>
        <w:tblCellMar>
          <w:top w:w="15" w:type="dxa"/>
          <w:left w:w="15" w:type="dxa"/>
          <w:bottom w:w="15" w:type="dxa"/>
          <w:right w:w="15" w:type="dxa"/>
        </w:tblCellMar>
        <w:tblLook w:val="04A0" w:firstRow="1" w:lastRow="0" w:firstColumn="1" w:lastColumn="0" w:noHBand="0" w:noVBand="1"/>
      </w:tblPr>
      <w:tblGrid>
        <w:gridCol w:w="890"/>
        <w:gridCol w:w="917"/>
        <w:gridCol w:w="1415"/>
        <w:gridCol w:w="1618"/>
        <w:gridCol w:w="390"/>
        <w:gridCol w:w="1706"/>
        <w:gridCol w:w="1554"/>
        <w:gridCol w:w="1148"/>
      </w:tblGrid>
      <w:tr w:rsidR="00BD030E" w:rsidRPr="00D83A1F" w14:paraId="6FD54955" w14:textId="77777777" w:rsidTr="008C261E">
        <w:trPr>
          <w:tblHeader/>
          <w:jc w:val="center"/>
        </w:trPr>
        <w:tc>
          <w:tcPr>
            <w:tcW w:w="431" w:type="pct"/>
            <w:tcBorders>
              <w:top w:val="single" w:sz="12" w:space="0" w:color="auto"/>
              <w:left w:val="nil"/>
              <w:bottom w:val="nil"/>
              <w:right w:val="nil"/>
            </w:tcBorders>
            <w:tcMar>
              <w:top w:w="120" w:type="dxa"/>
              <w:left w:w="-1" w:type="dxa"/>
              <w:bottom w:w="120" w:type="dxa"/>
              <w:right w:w="192" w:type="dxa"/>
            </w:tcMar>
          </w:tcPr>
          <w:p w14:paraId="37B21B05" w14:textId="77777777" w:rsidR="00BD030E" w:rsidRPr="00D83A1F" w:rsidRDefault="00000000" w:rsidP="008C261E">
            <w:pPr>
              <w:jc w:val="left"/>
              <w:rPr>
                <w:rFonts w:eastAsia="var(--dsw-font-markdown-table-h" w:cs="Times New Roman"/>
                <w:b/>
                <w:bCs/>
              </w:rPr>
            </w:pPr>
            <w:r w:rsidRPr="008C261E">
              <w:rPr>
                <w:rFonts w:eastAsia="var(--dsw-font-markdown-table-h" w:cs="Times New Roman"/>
                <w:b/>
                <w:bCs/>
                <w:kern w:val="0"/>
                <w:lang w:bidi="ar"/>
              </w:rPr>
              <w:t>Patient</w:t>
            </w:r>
          </w:p>
        </w:tc>
        <w:tc>
          <w:tcPr>
            <w:tcW w:w="759" w:type="pct"/>
            <w:tcBorders>
              <w:top w:val="single" w:sz="12" w:space="0" w:color="auto"/>
              <w:left w:val="nil"/>
              <w:bottom w:val="nil"/>
              <w:right w:val="nil"/>
            </w:tcBorders>
            <w:tcMar>
              <w:top w:w="120" w:type="dxa"/>
              <w:left w:w="192" w:type="dxa"/>
              <w:bottom w:w="120" w:type="dxa"/>
              <w:right w:w="192" w:type="dxa"/>
            </w:tcMar>
          </w:tcPr>
          <w:p w14:paraId="46C3521A" w14:textId="77777777" w:rsidR="00BD030E" w:rsidRPr="00D83A1F" w:rsidRDefault="00000000" w:rsidP="008C261E">
            <w:pPr>
              <w:jc w:val="center"/>
              <w:rPr>
                <w:rFonts w:eastAsia="var(--dsw-font-markdown-table-h" w:cs="Times New Roman"/>
                <w:b/>
                <w:bCs/>
              </w:rPr>
            </w:pPr>
            <w:r w:rsidRPr="008C261E">
              <w:rPr>
                <w:rFonts w:eastAsia="var(--dsw-font-markdown-table-h" w:cs="Times New Roman"/>
                <w:b/>
                <w:bCs/>
                <w:kern w:val="0"/>
                <w:lang w:bidi="ar"/>
              </w:rPr>
              <w:t>Time</w:t>
            </w:r>
          </w:p>
        </w:tc>
        <w:tc>
          <w:tcPr>
            <w:tcW w:w="687" w:type="pct"/>
            <w:tcBorders>
              <w:top w:val="single" w:sz="12" w:space="0" w:color="auto"/>
              <w:left w:val="nil"/>
              <w:bottom w:val="nil"/>
              <w:right w:val="nil"/>
            </w:tcBorders>
            <w:tcMar>
              <w:top w:w="120" w:type="dxa"/>
              <w:left w:w="192" w:type="dxa"/>
              <w:bottom w:w="120" w:type="dxa"/>
              <w:right w:w="192" w:type="dxa"/>
            </w:tcMar>
          </w:tcPr>
          <w:p w14:paraId="4E318DA1" w14:textId="77777777" w:rsidR="00BD030E" w:rsidRPr="00D83A1F" w:rsidRDefault="00000000" w:rsidP="008C261E">
            <w:pPr>
              <w:jc w:val="center"/>
              <w:rPr>
                <w:rFonts w:eastAsia="var(--dsw-font-markdown-table-h" w:cs="Times New Roman"/>
                <w:b/>
                <w:bCs/>
              </w:rPr>
            </w:pPr>
            <w:r w:rsidRPr="008C261E">
              <w:rPr>
                <w:rFonts w:eastAsia="var(--dsw-font-markdown-table-h" w:cs="Times New Roman"/>
                <w:b/>
                <w:bCs/>
                <w:kern w:val="0"/>
                <w:lang w:bidi="ar"/>
              </w:rPr>
              <w:t>Sample</w:t>
            </w:r>
          </w:p>
        </w:tc>
        <w:tc>
          <w:tcPr>
            <w:tcW w:w="784" w:type="pct"/>
            <w:tcBorders>
              <w:top w:val="single" w:sz="12" w:space="0" w:color="auto"/>
              <w:left w:val="nil"/>
              <w:bottom w:val="nil"/>
              <w:right w:val="nil"/>
            </w:tcBorders>
            <w:tcMar>
              <w:top w:w="120" w:type="dxa"/>
              <w:left w:w="192" w:type="dxa"/>
              <w:bottom w:w="120" w:type="dxa"/>
              <w:right w:w="192" w:type="dxa"/>
            </w:tcMar>
          </w:tcPr>
          <w:p w14:paraId="5E133FB0" w14:textId="77777777" w:rsidR="00BD030E" w:rsidRPr="00D83A1F" w:rsidRDefault="00000000" w:rsidP="008C261E">
            <w:pPr>
              <w:jc w:val="center"/>
              <w:rPr>
                <w:rFonts w:eastAsia="var(--dsw-font-markdown-table-h" w:cs="Times New Roman"/>
                <w:b/>
                <w:bCs/>
              </w:rPr>
            </w:pPr>
            <w:r w:rsidRPr="008C261E">
              <w:rPr>
                <w:rFonts w:eastAsia="var(--dsw-font-markdown-table-h" w:cs="Times New Roman"/>
                <w:b/>
                <w:bCs/>
                <w:kern w:val="0"/>
                <w:lang w:bidi="ar"/>
              </w:rPr>
              <w:t>Regimen</w:t>
            </w:r>
          </w:p>
        </w:tc>
        <w:tc>
          <w:tcPr>
            <w:tcW w:w="198" w:type="pct"/>
            <w:tcBorders>
              <w:top w:val="single" w:sz="12" w:space="0" w:color="auto"/>
              <w:left w:val="nil"/>
              <w:bottom w:val="nil"/>
              <w:right w:val="nil"/>
            </w:tcBorders>
            <w:tcMar>
              <w:top w:w="120" w:type="dxa"/>
              <w:left w:w="192" w:type="dxa"/>
              <w:bottom w:w="120" w:type="dxa"/>
              <w:right w:w="192" w:type="dxa"/>
            </w:tcMar>
          </w:tcPr>
          <w:p w14:paraId="237F39DA" w14:textId="77777777" w:rsidR="00BD030E" w:rsidRPr="00D83A1F" w:rsidRDefault="00BD030E" w:rsidP="008C261E">
            <w:pPr>
              <w:jc w:val="center"/>
              <w:rPr>
                <w:rFonts w:eastAsia="var(--dsw-font-markdown-table-h" w:cs="Times New Roman"/>
                <w:b/>
                <w:bCs/>
                <w:kern w:val="0"/>
                <w:lang w:bidi="ar"/>
              </w:rPr>
            </w:pPr>
          </w:p>
        </w:tc>
        <w:tc>
          <w:tcPr>
            <w:tcW w:w="827" w:type="pct"/>
            <w:tcBorders>
              <w:top w:val="single" w:sz="12" w:space="0" w:color="auto"/>
              <w:left w:val="nil"/>
              <w:bottom w:val="nil"/>
              <w:right w:val="nil"/>
            </w:tcBorders>
            <w:tcMar>
              <w:top w:w="120" w:type="dxa"/>
              <w:left w:w="192" w:type="dxa"/>
              <w:bottom w:w="120" w:type="dxa"/>
              <w:right w:w="192" w:type="dxa"/>
            </w:tcMar>
          </w:tcPr>
          <w:p w14:paraId="62DB1DC9" w14:textId="77777777" w:rsidR="00BD030E" w:rsidRPr="00D83A1F" w:rsidRDefault="00000000" w:rsidP="008C261E">
            <w:pPr>
              <w:jc w:val="center"/>
              <w:rPr>
                <w:rFonts w:eastAsia="var(--dsw-font-markdown-table-h" w:cs="Times New Roman"/>
                <w:b/>
                <w:bCs/>
              </w:rPr>
            </w:pPr>
            <w:proofErr w:type="spellStart"/>
            <w:r w:rsidRPr="008C261E">
              <w:rPr>
                <w:rFonts w:eastAsia="var(--dsw-font-markdown-table-h" w:cs="Times New Roman"/>
                <w:b/>
                <w:bCs/>
                <w:kern w:val="0"/>
                <w:lang w:bidi="ar"/>
              </w:rPr>
              <w:t>Almonertinib</w:t>
            </w:r>
            <w:proofErr w:type="spellEnd"/>
            <w:r w:rsidRPr="008C261E">
              <w:rPr>
                <w:rFonts w:eastAsia="var(--dsw-font-markdown-table-h" w:cs="Times New Roman"/>
                <w:b/>
                <w:bCs/>
                <w:kern w:val="0"/>
                <w:lang w:bidi="ar"/>
              </w:rPr>
              <w:t xml:space="preserve"> (</w:t>
            </w:r>
            <w:r w:rsidRPr="008C261E">
              <w:rPr>
                <w:rFonts w:eastAsia="var(--dsw-font-markdown-table-h" w:cs="Times New Roman"/>
                <w:b/>
                <w:bCs/>
              </w:rPr>
              <w:t>nmol/L)</w:t>
            </w:r>
          </w:p>
        </w:tc>
        <w:tc>
          <w:tcPr>
            <w:tcW w:w="754" w:type="pct"/>
            <w:tcBorders>
              <w:top w:val="single" w:sz="12" w:space="0" w:color="auto"/>
              <w:left w:val="nil"/>
              <w:bottom w:val="nil"/>
              <w:right w:val="nil"/>
            </w:tcBorders>
            <w:tcMar>
              <w:top w:w="120" w:type="dxa"/>
              <w:left w:w="192" w:type="dxa"/>
              <w:bottom w:w="120" w:type="dxa"/>
              <w:right w:w="192" w:type="dxa"/>
            </w:tcMar>
          </w:tcPr>
          <w:p w14:paraId="0B128DB3" w14:textId="77777777" w:rsidR="00BD030E" w:rsidRPr="00D83A1F" w:rsidRDefault="00000000" w:rsidP="008C261E">
            <w:pPr>
              <w:jc w:val="center"/>
              <w:rPr>
                <w:rFonts w:eastAsia="var(--dsw-font-markdown-table-h" w:cs="Times New Roman"/>
                <w:b/>
                <w:bCs/>
              </w:rPr>
            </w:pPr>
            <w:r w:rsidRPr="008C261E">
              <w:rPr>
                <w:rFonts w:eastAsia="var(--dsw-font-markdown-table-h" w:cs="Times New Roman"/>
                <w:b/>
                <w:bCs/>
                <w:kern w:val="0"/>
                <w:lang w:bidi="ar"/>
              </w:rPr>
              <w:t>Zorifertinib (</w:t>
            </w:r>
            <w:r w:rsidRPr="008C261E">
              <w:rPr>
                <w:rFonts w:eastAsia="var(--dsw-font-markdown-table-h" w:cs="Times New Roman"/>
                <w:b/>
                <w:bCs/>
              </w:rPr>
              <w:t>nmol/L)</w:t>
            </w:r>
          </w:p>
        </w:tc>
        <w:tc>
          <w:tcPr>
            <w:tcW w:w="560" w:type="pct"/>
            <w:tcBorders>
              <w:top w:val="single" w:sz="12" w:space="0" w:color="auto"/>
              <w:left w:val="nil"/>
              <w:bottom w:val="nil"/>
              <w:right w:val="nil"/>
            </w:tcBorders>
            <w:tcMar>
              <w:top w:w="120" w:type="dxa"/>
              <w:left w:w="192" w:type="dxa"/>
              <w:bottom w:w="120" w:type="dxa"/>
              <w:right w:w="192" w:type="dxa"/>
            </w:tcMar>
          </w:tcPr>
          <w:p w14:paraId="61D2D229" w14:textId="77777777" w:rsidR="00BD030E" w:rsidRPr="00D83A1F" w:rsidRDefault="00000000" w:rsidP="008C261E">
            <w:pPr>
              <w:jc w:val="center"/>
              <w:rPr>
                <w:rFonts w:eastAsia="var(--dsw-font-markdown-table-h" w:cs="Times New Roman"/>
                <w:b/>
                <w:bCs/>
              </w:rPr>
            </w:pPr>
            <w:r w:rsidRPr="008C261E">
              <w:rPr>
                <w:rFonts w:eastAsia="var(--dsw-font-markdown-table-h" w:cs="Times New Roman"/>
                <w:b/>
                <w:bCs/>
                <w:kern w:val="0"/>
                <w:lang w:bidi="ar"/>
              </w:rPr>
              <w:t>Clinical Status</w:t>
            </w:r>
          </w:p>
        </w:tc>
      </w:tr>
      <w:tr w:rsidR="00BD030E" w:rsidRPr="00D83A1F" w14:paraId="299725D4" w14:textId="77777777" w:rsidTr="008C261E">
        <w:trPr>
          <w:jc w:val="center"/>
        </w:trPr>
        <w:tc>
          <w:tcPr>
            <w:tcW w:w="431" w:type="pct"/>
            <w:tcBorders>
              <w:top w:val="single" w:sz="4" w:space="0" w:color="auto"/>
              <w:left w:val="nil"/>
              <w:bottom w:val="nil"/>
              <w:right w:val="nil"/>
            </w:tcBorders>
            <w:tcMar>
              <w:top w:w="120" w:type="dxa"/>
              <w:left w:w="-1" w:type="dxa"/>
              <w:bottom w:w="120" w:type="dxa"/>
              <w:right w:w="192" w:type="dxa"/>
            </w:tcMar>
          </w:tcPr>
          <w:p w14:paraId="646B24EF" w14:textId="77777777" w:rsidR="00BD030E" w:rsidRPr="00D83A1F" w:rsidRDefault="00000000" w:rsidP="008C261E">
            <w:pPr>
              <w:jc w:val="left"/>
              <w:rPr>
                <w:rFonts w:eastAsia="var(--dsw-font-markdown-table)" w:cs="Times New Roman"/>
              </w:rPr>
            </w:pPr>
            <w:r w:rsidRPr="008C261E">
              <w:rPr>
                <w:rFonts w:eastAsia="var(--dsw-font-markdown-table)" w:cs="Times New Roman"/>
                <w:b/>
                <w:bCs/>
                <w:kern w:val="0"/>
                <w:lang w:bidi="ar"/>
              </w:rPr>
              <w:t>Z005</w:t>
            </w:r>
          </w:p>
        </w:tc>
        <w:tc>
          <w:tcPr>
            <w:tcW w:w="759" w:type="pct"/>
            <w:tcBorders>
              <w:top w:val="single" w:sz="4" w:space="0" w:color="auto"/>
              <w:left w:val="nil"/>
              <w:bottom w:val="nil"/>
              <w:right w:val="nil"/>
            </w:tcBorders>
            <w:tcMar>
              <w:top w:w="120" w:type="dxa"/>
              <w:left w:w="192" w:type="dxa"/>
              <w:bottom w:w="120" w:type="dxa"/>
              <w:right w:w="192" w:type="dxa"/>
            </w:tcMar>
          </w:tcPr>
          <w:p w14:paraId="7D74C3C1"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2025-12-01</w:t>
            </w:r>
          </w:p>
        </w:tc>
        <w:tc>
          <w:tcPr>
            <w:tcW w:w="687" w:type="pct"/>
            <w:tcBorders>
              <w:top w:val="single" w:sz="4" w:space="0" w:color="auto"/>
              <w:left w:val="nil"/>
              <w:bottom w:val="nil"/>
              <w:right w:val="nil"/>
            </w:tcBorders>
            <w:tcMar>
              <w:top w:w="120" w:type="dxa"/>
              <w:left w:w="192" w:type="dxa"/>
              <w:bottom w:w="120" w:type="dxa"/>
              <w:right w:w="192" w:type="dxa"/>
            </w:tcMar>
          </w:tcPr>
          <w:p w14:paraId="0386C8A4"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Z005C0BP (total)</w:t>
            </w:r>
          </w:p>
        </w:tc>
        <w:tc>
          <w:tcPr>
            <w:tcW w:w="784" w:type="pct"/>
            <w:tcBorders>
              <w:top w:val="single" w:sz="4" w:space="0" w:color="auto"/>
              <w:left w:val="nil"/>
              <w:bottom w:val="nil"/>
              <w:right w:val="nil"/>
            </w:tcBorders>
            <w:tcMar>
              <w:top w:w="120" w:type="dxa"/>
              <w:left w:w="192" w:type="dxa"/>
              <w:bottom w:w="120" w:type="dxa"/>
              <w:right w:w="192" w:type="dxa"/>
            </w:tcMar>
          </w:tcPr>
          <w:p w14:paraId="64CBE310" w14:textId="77777777" w:rsidR="00BD030E" w:rsidRPr="00D83A1F" w:rsidRDefault="00000000" w:rsidP="008C261E">
            <w:pPr>
              <w:jc w:val="center"/>
              <w:rPr>
                <w:rFonts w:eastAsia="var(--dsw-font-markdown-table)" w:cs="Times New Roman"/>
              </w:rPr>
            </w:pPr>
            <w:proofErr w:type="spellStart"/>
            <w:r w:rsidRPr="008C261E">
              <w:rPr>
                <w:rFonts w:eastAsia="var(--dsw-font-markdown-table)" w:cs="Times New Roman"/>
                <w:kern w:val="0"/>
                <w:lang w:bidi="ar"/>
              </w:rPr>
              <w:t>Almonertinib</w:t>
            </w:r>
            <w:proofErr w:type="spellEnd"/>
            <w:r w:rsidRPr="008C261E">
              <w:rPr>
                <w:rFonts w:eastAsia="var(--dsw-font-markdown-table)" w:cs="Times New Roman"/>
                <w:kern w:val="0"/>
                <w:lang w:bidi="ar"/>
              </w:rPr>
              <w:t xml:space="preserve"> 165 mg </w:t>
            </w:r>
            <w:proofErr w:type="spellStart"/>
            <w:r w:rsidRPr="008C261E">
              <w:rPr>
                <w:rFonts w:eastAsia="var(--dsw-font-markdown-table)" w:cs="Times New Roman"/>
                <w:kern w:val="0"/>
                <w:lang w:bidi="ar"/>
              </w:rPr>
              <w:t>qd</w:t>
            </w:r>
            <w:proofErr w:type="spellEnd"/>
          </w:p>
        </w:tc>
        <w:tc>
          <w:tcPr>
            <w:tcW w:w="198" w:type="pct"/>
            <w:tcBorders>
              <w:top w:val="single" w:sz="4" w:space="0" w:color="auto"/>
              <w:left w:val="nil"/>
              <w:bottom w:val="nil"/>
              <w:right w:val="nil"/>
            </w:tcBorders>
            <w:tcMar>
              <w:top w:w="120" w:type="dxa"/>
              <w:left w:w="192" w:type="dxa"/>
              <w:bottom w:w="120" w:type="dxa"/>
              <w:right w:w="192" w:type="dxa"/>
            </w:tcMar>
          </w:tcPr>
          <w:p w14:paraId="7CD2D272" w14:textId="77777777" w:rsidR="00BD030E" w:rsidRPr="00D83A1F" w:rsidRDefault="00BD030E" w:rsidP="008C261E">
            <w:pPr>
              <w:jc w:val="center"/>
              <w:rPr>
                <w:rFonts w:eastAsia="var(--dsw-font-markdown-table)" w:cs="Times New Roman"/>
                <w:kern w:val="0"/>
                <w:lang w:bidi="ar"/>
              </w:rPr>
            </w:pPr>
          </w:p>
        </w:tc>
        <w:tc>
          <w:tcPr>
            <w:tcW w:w="827" w:type="pct"/>
            <w:tcBorders>
              <w:top w:val="single" w:sz="4" w:space="0" w:color="auto"/>
              <w:left w:val="nil"/>
              <w:bottom w:val="nil"/>
              <w:right w:val="nil"/>
            </w:tcBorders>
            <w:tcMar>
              <w:top w:w="120" w:type="dxa"/>
              <w:left w:w="192" w:type="dxa"/>
              <w:bottom w:w="120" w:type="dxa"/>
              <w:right w:w="192" w:type="dxa"/>
            </w:tcMar>
          </w:tcPr>
          <w:p w14:paraId="3EE0665C"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692</w:t>
            </w:r>
          </w:p>
        </w:tc>
        <w:tc>
          <w:tcPr>
            <w:tcW w:w="754" w:type="pct"/>
            <w:tcBorders>
              <w:top w:val="single" w:sz="4" w:space="0" w:color="auto"/>
              <w:left w:val="nil"/>
              <w:bottom w:val="nil"/>
              <w:right w:val="nil"/>
            </w:tcBorders>
            <w:tcMar>
              <w:top w:w="120" w:type="dxa"/>
              <w:left w:w="192" w:type="dxa"/>
              <w:bottom w:w="120" w:type="dxa"/>
              <w:right w:w="192" w:type="dxa"/>
            </w:tcMar>
          </w:tcPr>
          <w:p w14:paraId="41C3B682"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single" w:sz="4" w:space="0" w:color="auto"/>
              <w:left w:val="nil"/>
              <w:bottom w:val="nil"/>
              <w:right w:val="nil"/>
            </w:tcBorders>
            <w:tcMar>
              <w:top w:w="120" w:type="dxa"/>
              <w:left w:w="192" w:type="dxa"/>
              <w:bottom w:w="120" w:type="dxa"/>
              <w:right w:w="-1" w:type="dxa"/>
            </w:tcMar>
          </w:tcPr>
          <w:p w14:paraId="0C3D5FF6" w14:textId="0A7456CA"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Neuro score 3</w:t>
            </w:r>
          </w:p>
        </w:tc>
      </w:tr>
      <w:tr w:rsidR="00BD030E" w:rsidRPr="00D83A1F" w14:paraId="2302F73F"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2692F81B"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6F44DF39"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40348F7C"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Z005C0BP (unbound)</w:t>
            </w:r>
          </w:p>
        </w:tc>
        <w:tc>
          <w:tcPr>
            <w:tcW w:w="784" w:type="pct"/>
            <w:tcBorders>
              <w:top w:val="nil"/>
              <w:left w:val="nil"/>
              <w:bottom w:val="nil"/>
              <w:right w:val="nil"/>
            </w:tcBorders>
            <w:tcMar>
              <w:top w:w="120" w:type="dxa"/>
              <w:left w:w="192" w:type="dxa"/>
              <w:bottom w:w="120" w:type="dxa"/>
              <w:right w:w="192" w:type="dxa"/>
            </w:tcMar>
          </w:tcPr>
          <w:p w14:paraId="3B71529A"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057AAD86"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4E5F9D69"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0.955</w:t>
            </w:r>
          </w:p>
        </w:tc>
        <w:tc>
          <w:tcPr>
            <w:tcW w:w="754" w:type="pct"/>
            <w:tcBorders>
              <w:top w:val="nil"/>
              <w:left w:val="nil"/>
              <w:bottom w:val="nil"/>
              <w:right w:val="nil"/>
            </w:tcBorders>
            <w:tcMar>
              <w:top w:w="120" w:type="dxa"/>
              <w:left w:w="192" w:type="dxa"/>
              <w:bottom w:w="120" w:type="dxa"/>
              <w:right w:w="192" w:type="dxa"/>
            </w:tcMar>
          </w:tcPr>
          <w:p w14:paraId="452693AB"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73FBEEBE" w14:textId="77777777" w:rsidR="00BD030E" w:rsidRPr="00D83A1F" w:rsidRDefault="00BD030E" w:rsidP="008C261E">
            <w:pPr>
              <w:jc w:val="center"/>
              <w:rPr>
                <w:rFonts w:eastAsia="var(--dsw-font-markdown-table)" w:cs="Times New Roman"/>
              </w:rPr>
            </w:pPr>
          </w:p>
        </w:tc>
      </w:tr>
      <w:tr w:rsidR="00BD030E" w:rsidRPr="00D83A1F" w14:paraId="4F30B655"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43D3E80E"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337A3575"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72619135"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Z005C0CS</w:t>
            </w:r>
          </w:p>
        </w:tc>
        <w:tc>
          <w:tcPr>
            <w:tcW w:w="784" w:type="pct"/>
            <w:tcBorders>
              <w:top w:val="nil"/>
              <w:left w:val="nil"/>
              <w:bottom w:val="nil"/>
              <w:right w:val="nil"/>
            </w:tcBorders>
            <w:tcMar>
              <w:top w:w="120" w:type="dxa"/>
              <w:left w:w="192" w:type="dxa"/>
              <w:bottom w:w="120" w:type="dxa"/>
              <w:right w:w="192" w:type="dxa"/>
            </w:tcMar>
          </w:tcPr>
          <w:p w14:paraId="240C97F1"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122DAB6E"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7D165B3F"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14.9</w:t>
            </w:r>
          </w:p>
        </w:tc>
        <w:tc>
          <w:tcPr>
            <w:tcW w:w="754" w:type="pct"/>
            <w:tcBorders>
              <w:top w:val="nil"/>
              <w:left w:val="nil"/>
              <w:bottom w:val="nil"/>
              <w:right w:val="nil"/>
            </w:tcBorders>
            <w:tcMar>
              <w:top w:w="120" w:type="dxa"/>
              <w:left w:w="192" w:type="dxa"/>
              <w:bottom w:w="120" w:type="dxa"/>
              <w:right w:w="192" w:type="dxa"/>
            </w:tcMar>
          </w:tcPr>
          <w:p w14:paraId="5DB77A3E"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62D98E30" w14:textId="77777777" w:rsidR="00BD030E" w:rsidRPr="00D83A1F" w:rsidRDefault="00BD030E" w:rsidP="008C261E">
            <w:pPr>
              <w:jc w:val="center"/>
              <w:rPr>
                <w:rFonts w:eastAsia="var(--dsw-font-markdown-table)" w:cs="Times New Roman"/>
              </w:rPr>
            </w:pPr>
          </w:p>
        </w:tc>
      </w:tr>
      <w:tr w:rsidR="00BD030E" w:rsidRPr="00D83A1F" w14:paraId="7345D1F4"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1ACFAE20"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2C57D3E6"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2026-01-13*</w:t>
            </w:r>
          </w:p>
        </w:tc>
        <w:tc>
          <w:tcPr>
            <w:tcW w:w="687" w:type="pct"/>
            <w:tcBorders>
              <w:top w:val="nil"/>
              <w:left w:val="nil"/>
              <w:bottom w:val="nil"/>
              <w:right w:val="nil"/>
            </w:tcBorders>
            <w:tcMar>
              <w:top w:w="120" w:type="dxa"/>
              <w:left w:w="192" w:type="dxa"/>
              <w:bottom w:w="120" w:type="dxa"/>
              <w:right w:w="192" w:type="dxa"/>
            </w:tcMar>
          </w:tcPr>
          <w:p w14:paraId="4068E2F7"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Z005C1BP (total)</w:t>
            </w:r>
          </w:p>
        </w:tc>
        <w:tc>
          <w:tcPr>
            <w:tcW w:w="784" w:type="pct"/>
            <w:tcBorders>
              <w:top w:val="nil"/>
              <w:left w:val="nil"/>
              <w:bottom w:val="nil"/>
              <w:right w:val="nil"/>
            </w:tcBorders>
            <w:tcMar>
              <w:top w:w="120" w:type="dxa"/>
              <w:left w:w="192" w:type="dxa"/>
              <w:bottom w:w="120" w:type="dxa"/>
              <w:right w:w="192" w:type="dxa"/>
            </w:tcMar>
          </w:tcPr>
          <w:p w14:paraId="12D7F15B" w14:textId="77777777" w:rsidR="00BD030E" w:rsidRPr="00D83A1F" w:rsidRDefault="00000000" w:rsidP="008C261E">
            <w:pPr>
              <w:jc w:val="center"/>
              <w:rPr>
                <w:rFonts w:eastAsia="var(--dsw-font-markdown-table)" w:cs="Times New Roman"/>
                <w:kern w:val="0"/>
                <w:lang w:bidi="ar"/>
              </w:rPr>
            </w:pPr>
            <w:proofErr w:type="spellStart"/>
            <w:r w:rsidRPr="008C261E">
              <w:rPr>
                <w:rFonts w:eastAsia="var(--dsw-font-markdown-table)" w:cs="Times New Roman"/>
                <w:kern w:val="0"/>
                <w:lang w:bidi="ar"/>
              </w:rPr>
              <w:t>Almonertinib</w:t>
            </w:r>
            <w:proofErr w:type="spellEnd"/>
            <w:r w:rsidRPr="008C261E">
              <w:rPr>
                <w:rFonts w:eastAsia="var(--dsw-font-markdown-table)" w:cs="Times New Roman"/>
                <w:kern w:val="0"/>
                <w:lang w:bidi="ar"/>
              </w:rPr>
              <w:t xml:space="preserve"> 165 mg </w:t>
            </w:r>
            <w:proofErr w:type="spellStart"/>
            <w:r w:rsidRPr="008C261E">
              <w:rPr>
                <w:rFonts w:eastAsia="var(--dsw-font-markdown-table)" w:cs="Times New Roman"/>
                <w:kern w:val="0"/>
                <w:lang w:bidi="ar"/>
              </w:rPr>
              <w:lastRenderedPageBreak/>
              <w:t>qd</w:t>
            </w:r>
            <w:proofErr w:type="spellEnd"/>
          </w:p>
          <w:p w14:paraId="0152D873" w14:textId="77777777" w:rsidR="00BD030E" w:rsidRPr="00D83A1F" w:rsidRDefault="00000000" w:rsidP="008C261E">
            <w:pPr>
              <w:jc w:val="center"/>
              <w:rPr>
                <w:rFonts w:eastAsia="var(--dsw-font-markdown-table)" w:cs="Times New Roman"/>
                <w:kern w:val="0"/>
                <w:lang w:bidi="ar"/>
              </w:rPr>
            </w:pPr>
            <w:r w:rsidRPr="008C261E">
              <w:rPr>
                <w:rFonts w:eastAsia="var(--dsw-font-markdown-table)" w:cs="Times New Roman"/>
                <w:kern w:val="0"/>
                <w:lang w:bidi="ar"/>
              </w:rPr>
              <w:t>+ Zorifertinib 200mg bid</w:t>
            </w:r>
          </w:p>
        </w:tc>
        <w:tc>
          <w:tcPr>
            <w:tcW w:w="198" w:type="pct"/>
            <w:tcBorders>
              <w:top w:val="nil"/>
              <w:left w:val="nil"/>
              <w:bottom w:val="nil"/>
              <w:right w:val="nil"/>
            </w:tcBorders>
            <w:tcMar>
              <w:top w:w="120" w:type="dxa"/>
              <w:left w:w="192" w:type="dxa"/>
              <w:bottom w:w="120" w:type="dxa"/>
              <w:right w:w="192" w:type="dxa"/>
            </w:tcMar>
          </w:tcPr>
          <w:p w14:paraId="62466394"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416720A0"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727</w:t>
            </w:r>
          </w:p>
        </w:tc>
        <w:tc>
          <w:tcPr>
            <w:tcW w:w="754" w:type="pct"/>
            <w:tcBorders>
              <w:top w:val="nil"/>
              <w:left w:val="nil"/>
              <w:bottom w:val="nil"/>
              <w:right w:val="nil"/>
            </w:tcBorders>
            <w:tcMar>
              <w:top w:w="120" w:type="dxa"/>
              <w:left w:w="192" w:type="dxa"/>
              <w:bottom w:w="120" w:type="dxa"/>
              <w:right w:w="192" w:type="dxa"/>
            </w:tcMar>
          </w:tcPr>
          <w:p w14:paraId="2C5B62BB"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522</w:t>
            </w:r>
          </w:p>
        </w:tc>
        <w:tc>
          <w:tcPr>
            <w:tcW w:w="560" w:type="pct"/>
            <w:tcBorders>
              <w:top w:val="nil"/>
              <w:left w:val="nil"/>
              <w:bottom w:val="nil"/>
              <w:right w:val="nil"/>
            </w:tcBorders>
            <w:tcMar>
              <w:top w:w="120" w:type="dxa"/>
              <w:left w:w="192" w:type="dxa"/>
              <w:bottom w:w="120" w:type="dxa"/>
              <w:right w:w="-1" w:type="dxa"/>
            </w:tcMar>
          </w:tcPr>
          <w:p w14:paraId="48E77A26" w14:textId="2C323BA8"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Neuro score 0</w:t>
            </w:r>
          </w:p>
        </w:tc>
      </w:tr>
      <w:tr w:rsidR="00BD030E" w:rsidRPr="00D83A1F" w14:paraId="2DDB4600"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589468C9"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5084DDA1"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143757F0"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Z005C1BP (unbound)</w:t>
            </w:r>
          </w:p>
        </w:tc>
        <w:tc>
          <w:tcPr>
            <w:tcW w:w="784" w:type="pct"/>
            <w:tcBorders>
              <w:top w:val="nil"/>
              <w:left w:val="nil"/>
              <w:bottom w:val="nil"/>
              <w:right w:val="nil"/>
            </w:tcBorders>
            <w:tcMar>
              <w:top w:w="120" w:type="dxa"/>
              <w:left w:w="192" w:type="dxa"/>
              <w:bottom w:w="120" w:type="dxa"/>
              <w:right w:w="192" w:type="dxa"/>
            </w:tcMar>
          </w:tcPr>
          <w:p w14:paraId="2A353BA0"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573D2DC2"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61115400"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1.27</w:t>
            </w:r>
          </w:p>
        </w:tc>
        <w:tc>
          <w:tcPr>
            <w:tcW w:w="754" w:type="pct"/>
            <w:tcBorders>
              <w:top w:val="nil"/>
              <w:left w:val="nil"/>
              <w:bottom w:val="nil"/>
              <w:right w:val="nil"/>
            </w:tcBorders>
            <w:tcMar>
              <w:top w:w="120" w:type="dxa"/>
              <w:left w:w="192" w:type="dxa"/>
              <w:bottom w:w="120" w:type="dxa"/>
              <w:right w:w="192" w:type="dxa"/>
            </w:tcMar>
          </w:tcPr>
          <w:p w14:paraId="70D06CBF"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33.6</w:t>
            </w:r>
          </w:p>
        </w:tc>
        <w:tc>
          <w:tcPr>
            <w:tcW w:w="560" w:type="pct"/>
            <w:tcBorders>
              <w:top w:val="nil"/>
              <w:left w:val="nil"/>
              <w:bottom w:val="nil"/>
              <w:right w:val="nil"/>
            </w:tcBorders>
            <w:tcMar>
              <w:top w:w="120" w:type="dxa"/>
              <w:left w:w="192" w:type="dxa"/>
              <w:bottom w:w="120" w:type="dxa"/>
              <w:right w:w="-1" w:type="dxa"/>
            </w:tcMar>
          </w:tcPr>
          <w:p w14:paraId="06E8D90C" w14:textId="77777777" w:rsidR="00BD030E" w:rsidRPr="00D83A1F" w:rsidRDefault="00BD030E" w:rsidP="008C261E">
            <w:pPr>
              <w:jc w:val="center"/>
              <w:rPr>
                <w:rFonts w:eastAsia="var(--dsw-font-markdown-table)" w:cs="Times New Roman"/>
              </w:rPr>
            </w:pPr>
          </w:p>
        </w:tc>
      </w:tr>
      <w:tr w:rsidR="00BD030E" w:rsidRPr="00D83A1F" w14:paraId="13B50839" w14:textId="77777777" w:rsidTr="008C261E">
        <w:trPr>
          <w:jc w:val="center"/>
        </w:trPr>
        <w:tc>
          <w:tcPr>
            <w:tcW w:w="431" w:type="pct"/>
            <w:tcBorders>
              <w:top w:val="nil"/>
              <w:left w:val="nil"/>
              <w:right w:val="nil"/>
            </w:tcBorders>
            <w:tcMar>
              <w:top w:w="120" w:type="dxa"/>
              <w:left w:w="-1" w:type="dxa"/>
              <w:bottom w:w="120" w:type="dxa"/>
              <w:right w:w="192" w:type="dxa"/>
            </w:tcMar>
          </w:tcPr>
          <w:p w14:paraId="50194105" w14:textId="77777777" w:rsidR="00BD030E" w:rsidRPr="00D83A1F" w:rsidRDefault="00BD030E" w:rsidP="008C261E">
            <w:pPr>
              <w:jc w:val="left"/>
              <w:rPr>
                <w:rFonts w:eastAsia="var(--dsw-font-markdown-table)" w:cs="Times New Roman"/>
              </w:rPr>
            </w:pPr>
          </w:p>
        </w:tc>
        <w:tc>
          <w:tcPr>
            <w:tcW w:w="759" w:type="pct"/>
            <w:tcBorders>
              <w:top w:val="nil"/>
              <w:left w:val="nil"/>
              <w:right w:val="nil"/>
            </w:tcBorders>
            <w:tcMar>
              <w:top w:w="120" w:type="dxa"/>
              <w:left w:w="192" w:type="dxa"/>
              <w:bottom w:w="120" w:type="dxa"/>
              <w:right w:w="192" w:type="dxa"/>
            </w:tcMar>
          </w:tcPr>
          <w:p w14:paraId="73E0408B" w14:textId="77777777" w:rsidR="00BD030E" w:rsidRPr="00D83A1F" w:rsidRDefault="00BD030E" w:rsidP="008C261E">
            <w:pPr>
              <w:jc w:val="center"/>
              <w:rPr>
                <w:rFonts w:eastAsia="var(--dsw-font-markdown-table)" w:cs="Times New Roman"/>
              </w:rPr>
            </w:pPr>
          </w:p>
        </w:tc>
        <w:tc>
          <w:tcPr>
            <w:tcW w:w="687" w:type="pct"/>
            <w:tcBorders>
              <w:top w:val="nil"/>
              <w:left w:val="nil"/>
              <w:right w:val="nil"/>
            </w:tcBorders>
            <w:tcMar>
              <w:top w:w="120" w:type="dxa"/>
              <w:left w:w="192" w:type="dxa"/>
              <w:bottom w:w="120" w:type="dxa"/>
              <w:right w:w="192" w:type="dxa"/>
            </w:tcMar>
          </w:tcPr>
          <w:p w14:paraId="7D190BA1"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Z005C1CS</w:t>
            </w:r>
          </w:p>
        </w:tc>
        <w:tc>
          <w:tcPr>
            <w:tcW w:w="784" w:type="pct"/>
            <w:tcBorders>
              <w:top w:val="nil"/>
              <w:left w:val="nil"/>
              <w:right w:val="nil"/>
            </w:tcBorders>
            <w:tcMar>
              <w:top w:w="120" w:type="dxa"/>
              <w:left w:w="192" w:type="dxa"/>
              <w:bottom w:w="120" w:type="dxa"/>
              <w:right w:w="192" w:type="dxa"/>
            </w:tcMar>
          </w:tcPr>
          <w:p w14:paraId="44E0187F" w14:textId="77777777" w:rsidR="00BD030E" w:rsidRPr="00D83A1F" w:rsidRDefault="00BD030E" w:rsidP="008C261E">
            <w:pPr>
              <w:jc w:val="center"/>
              <w:rPr>
                <w:rFonts w:eastAsia="var(--dsw-font-markdown-table)" w:cs="Times New Roman"/>
              </w:rPr>
            </w:pPr>
          </w:p>
        </w:tc>
        <w:tc>
          <w:tcPr>
            <w:tcW w:w="198" w:type="pct"/>
            <w:tcBorders>
              <w:top w:val="nil"/>
              <w:left w:val="nil"/>
              <w:right w:val="nil"/>
            </w:tcBorders>
            <w:tcMar>
              <w:top w:w="120" w:type="dxa"/>
              <w:left w:w="192" w:type="dxa"/>
              <w:bottom w:w="120" w:type="dxa"/>
              <w:right w:w="192" w:type="dxa"/>
            </w:tcMar>
          </w:tcPr>
          <w:p w14:paraId="6418A776"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right w:val="nil"/>
            </w:tcBorders>
            <w:tcMar>
              <w:top w:w="120" w:type="dxa"/>
              <w:left w:w="192" w:type="dxa"/>
              <w:bottom w:w="120" w:type="dxa"/>
              <w:right w:w="192" w:type="dxa"/>
            </w:tcMar>
          </w:tcPr>
          <w:p w14:paraId="20DD4637"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2.72</w:t>
            </w:r>
          </w:p>
        </w:tc>
        <w:tc>
          <w:tcPr>
            <w:tcW w:w="754" w:type="pct"/>
            <w:tcBorders>
              <w:top w:val="nil"/>
              <w:left w:val="nil"/>
              <w:right w:val="nil"/>
            </w:tcBorders>
            <w:tcMar>
              <w:top w:w="120" w:type="dxa"/>
              <w:left w:w="192" w:type="dxa"/>
              <w:bottom w:w="120" w:type="dxa"/>
              <w:right w:w="192" w:type="dxa"/>
            </w:tcMar>
          </w:tcPr>
          <w:p w14:paraId="63DB787B"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27.2</w:t>
            </w:r>
          </w:p>
        </w:tc>
        <w:tc>
          <w:tcPr>
            <w:tcW w:w="560" w:type="pct"/>
            <w:tcBorders>
              <w:top w:val="nil"/>
              <w:left w:val="nil"/>
              <w:right w:val="nil"/>
            </w:tcBorders>
            <w:tcMar>
              <w:top w:w="120" w:type="dxa"/>
              <w:left w:w="192" w:type="dxa"/>
              <w:bottom w:w="120" w:type="dxa"/>
              <w:right w:w="-1" w:type="dxa"/>
            </w:tcMar>
          </w:tcPr>
          <w:p w14:paraId="75A9F1FA" w14:textId="77777777" w:rsidR="00BD030E" w:rsidRPr="00D83A1F" w:rsidRDefault="00BD030E" w:rsidP="008C261E">
            <w:pPr>
              <w:jc w:val="center"/>
              <w:rPr>
                <w:rFonts w:eastAsia="var(--dsw-font-markdown-table)" w:cs="Times New Roman"/>
              </w:rPr>
            </w:pPr>
          </w:p>
        </w:tc>
      </w:tr>
      <w:tr w:rsidR="00BD030E" w:rsidRPr="00D83A1F" w14:paraId="3F187C07" w14:textId="77777777" w:rsidTr="008C261E">
        <w:trPr>
          <w:jc w:val="center"/>
        </w:trPr>
        <w:tc>
          <w:tcPr>
            <w:tcW w:w="431" w:type="pct"/>
            <w:tcBorders>
              <w:left w:val="nil"/>
              <w:bottom w:val="single" w:sz="4" w:space="0" w:color="auto"/>
              <w:right w:val="nil"/>
            </w:tcBorders>
            <w:tcMar>
              <w:top w:w="120" w:type="dxa"/>
              <w:left w:w="-1" w:type="dxa"/>
              <w:bottom w:w="120" w:type="dxa"/>
              <w:right w:w="192" w:type="dxa"/>
            </w:tcMar>
          </w:tcPr>
          <w:p w14:paraId="230924B0" w14:textId="77777777" w:rsidR="00BD030E" w:rsidRPr="00D83A1F" w:rsidRDefault="00BD030E" w:rsidP="008C261E">
            <w:pPr>
              <w:jc w:val="left"/>
              <w:rPr>
                <w:rFonts w:eastAsia="var(--dsw-font-markdown-table)" w:cs="Times New Roman"/>
              </w:rPr>
            </w:pPr>
          </w:p>
        </w:tc>
        <w:tc>
          <w:tcPr>
            <w:tcW w:w="759" w:type="pct"/>
            <w:tcBorders>
              <w:left w:val="nil"/>
              <w:bottom w:val="single" w:sz="4" w:space="0" w:color="auto"/>
              <w:right w:val="nil"/>
            </w:tcBorders>
            <w:tcMar>
              <w:top w:w="120" w:type="dxa"/>
              <w:left w:w="192" w:type="dxa"/>
              <w:bottom w:w="120" w:type="dxa"/>
              <w:right w:w="192" w:type="dxa"/>
            </w:tcMar>
          </w:tcPr>
          <w:p w14:paraId="30D12D55" w14:textId="77777777" w:rsidR="00BD030E" w:rsidRPr="00D83A1F" w:rsidRDefault="00000000" w:rsidP="008C261E">
            <w:pPr>
              <w:jc w:val="center"/>
              <w:rPr>
                <w:rFonts w:eastAsia="var(--dsw-font-markdown-table)" w:cs="Times New Roman"/>
              </w:rPr>
            </w:pPr>
            <w:r w:rsidRPr="008C261E">
              <w:rPr>
                <w:rFonts w:eastAsia="var(--dsw-font-markdown-table)" w:cs="Times New Roman"/>
              </w:rPr>
              <w:t>2026-07-09</w:t>
            </w:r>
          </w:p>
        </w:tc>
        <w:tc>
          <w:tcPr>
            <w:tcW w:w="687" w:type="pct"/>
            <w:tcBorders>
              <w:top w:val="nil"/>
              <w:left w:val="nil"/>
              <w:bottom w:val="single" w:sz="4" w:space="0" w:color="auto"/>
              <w:right w:val="nil"/>
            </w:tcBorders>
            <w:tcMar>
              <w:top w:w="120" w:type="dxa"/>
              <w:left w:w="192" w:type="dxa"/>
              <w:bottom w:w="120" w:type="dxa"/>
              <w:right w:w="192" w:type="dxa"/>
            </w:tcMar>
          </w:tcPr>
          <w:p w14:paraId="63C4F4F6" w14:textId="77777777" w:rsidR="00BD030E" w:rsidRPr="00D83A1F" w:rsidRDefault="00BD030E" w:rsidP="008C261E">
            <w:pPr>
              <w:jc w:val="center"/>
              <w:rPr>
                <w:rFonts w:eastAsia="var(--dsw-font-markdown-table)" w:cs="Times New Roman"/>
                <w:kern w:val="0"/>
                <w:lang w:bidi="ar"/>
              </w:rPr>
            </w:pPr>
          </w:p>
        </w:tc>
        <w:tc>
          <w:tcPr>
            <w:tcW w:w="784" w:type="pct"/>
            <w:tcBorders>
              <w:top w:val="nil"/>
              <w:left w:val="nil"/>
              <w:bottom w:val="single" w:sz="4" w:space="0" w:color="auto"/>
              <w:right w:val="nil"/>
            </w:tcBorders>
            <w:tcMar>
              <w:top w:w="120" w:type="dxa"/>
              <w:left w:w="192" w:type="dxa"/>
              <w:bottom w:w="120" w:type="dxa"/>
              <w:right w:w="192" w:type="dxa"/>
            </w:tcMar>
          </w:tcPr>
          <w:p w14:paraId="15F66E77" w14:textId="77777777" w:rsidR="00BD030E" w:rsidRPr="00D83A1F" w:rsidRDefault="00BD030E" w:rsidP="008C261E">
            <w:pPr>
              <w:jc w:val="center"/>
              <w:rPr>
                <w:rFonts w:eastAsia="var(--dsw-font-markdown-table)" w:cs="Times New Roman"/>
              </w:rPr>
            </w:pPr>
          </w:p>
        </w:tc>
        <w:tc>
          <w:tcPr>
            <w:tcW w:w="198" w:type="pct"/>
            <w:tcBorders>
              <w:top w:val="nil"/>
              <w:left w:val="nil"/>
              <w:bottom w:val="single" w:sz="4" w:space="0" w:color="auto"/>
              <w:right w:val="nil"/>
            </w:tcBorders>
            <w:tcMar>
              <w:top w:w="120" w:type="dxa"/>
              <w:left w:w="192" w:type="dxa"/>
              <w:bottom w:w="120" w:type="dxa"/>
              <w:right w:w="192" w:type="dxa"/>
            </w:tcMar>
          </w:tcPr>
          <w:p w14:paraId="29F890B1"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single" w:sz="4" w:space="0" w:color="auto"/>
              <w:right w:val="nil"/>
            </w:tcBorders>
            <w:tcMar>
              <w:top w:w="120" w:type="dxa"/>
              <w:left w:w="192" w:type="dxa"/>
              <w:bottom w:w="120" w:type="dxa"/>
              <w:right w:w="192" w:type="dxa"/>
            </w:tcMar>
          </w:tcPr>
          <w:p w14:paraId="3FD39863" w14:textId="77777777" w:rsidR="00BD030E" w:rsidRPr="00D83A1F" w:rsidRDefault="00BD030E" w:rsidP="008C261E">
            <w:pPr>
              <w:jc w:val="center"/>
              <w:rPr>
                <w:rFonts w:eastAsia="var(--dsw-font-markdown-table)" w:cs="Times New Roman"/>
                <w:kern w:val="0"/>
                <w:lang w:bidi="ar"/>
              </w:rPr>
            </w:pPr>
          </w:p>
        </w:tc>
        <w:tc>
          <w:tcPr>
            <w:tcW w:w="754" w:type="pct"/>
            <w:tcBorders>
              <w:top w:val="nil"/>
              <w:left w:val="nil"/>
              <w:bottom w:val="single" w:sz="4" w:space="0" w:color="auto"/>
              <w:right w:val="nil"/>
            </w:tcBorders>
            <w:tcMar>
              <w:top w:w="120" w:type="dxa"/>
              <w:left w:w="192" w:type="dxa"/>
              <w:bottom w:w="120" w:type="dxa"/>
              <w:right w:w="192" w:type="dxa"/>
            </w:tcMar>
          </w:tcPr>
          <w:p w14:paraId="3389EFBF" w14:textId="77777777" w:rsidR="00BD030E" w:rsidRPr="00D83A1F" w:rsidRDefault="00BD030E" w:rsidP="008C261E">
            <w:pPr>
              <w:jc w:val="center"/>
              <w:rPr>
                <w:rFonts w:eastAsia="var(--dsw-font-markdown-table)" w:cs="Times New Roman"/>
                <w:kern w:val="0"/>
                <w:lang w:bidi="ar"/>
              </w:rPr>
            </w:pPr>
          </w:p>
        </w:tc>
        <w:tc>
          <w:tcPr>
            <w:tcW w:w="560" w:type="pct"/>
            <w:tcBorders>
              <w:top w:val="nil"/>
              <w:left w:val="nil"/>
              <w:bottom w:val="single" w:sz="4" w:space="0" w:color="auto"/>
              <w:right w:val="nil"/>
            </w:tcBorders>
            <w:tcMar>
              <w:top w:w="120" w:type="dxa"/>
              <w:left w:w="192" w:type="dxa"/>
              <w:bottom w:w="120" w:type="dxa"/>
              <w:right w:w="-1" w:type="dxa"/>
            </w:tcMar>
          </w:tcPr>
          <w:p w14:paraId="4DBF4DCC" w14:textId="77777777" w:rsidR="00BD030E" w:rsidRPr="00D83A1F" w:rsidRDefault="00000000" w:rsidP="008C261E">
            <w:pPr>
              <w:jc w:val="center"/>
              <w:rPr>
                <w:rFonts w:eastAsia="var(--dsw-font-markdown-table)" w:cs="Times New Roman"/>
              </w:rPr>
            </w:pPr>
            <w:r w:rsidRPr="008C261E">
              <w:rPr>
                <w:rFonts w:eastAsia="var(--dsw-font-markdown-table)" w:cs="Times New Roman"/>
              </w:rPr>
              <w:t>Neuro score 0</w:t>
            </w:r>
          </w:p>
        </w:tc>
      </w:tr>
      <w:tr w:rsidR="00BD030E" w:rsidRPr="00D83A1F" w14:paraId="451AE9C1" w14:textId="77777777" w:rsidTr="008C261E">
        <w:trPr>
          <w:jc w:val="center"/>
        </w:trPr>
        <w:tc>
          <w:tcPr>
            <w:tcW w:w="431" w:type="pct"/>
            <w:tcBorders>
              <w:top w:val="single" w:sz="4" w:space="0" w:color="auto"/>
              <w:left w:val="nil"/>
              <w:bottom w:val="nil"/>
              <w:right w:val="nil"/>
            </w:tcBorders>
            <w:tcMar>
              <w:top w:w="120" w:type="dxa"/>
              <w:left w:w="-1" w:type="dxa"/>
              <w:bottom w:w="120" w:type="dxa"/>
              <w:right w:w="192" w:type="dxa"/>
            </w:tcMar>
          </w:tcPr>
          <w:p w14:paraId="295AE81E" w14:textId="77777777" w:rsidR="00BD030E" w:rsidRPr="00D83A1F" w:rsidRDefault="00000000" w:rsidP="008C261E">
            <w:pPr>
              <w:jc w:val="left"/>
              <w:rPr>
                <w:rFonts w:eastAsia="var(--dsw-font-markdown-table)" w:cs="Times New Roman"/>
              </w:rPr>
            </w:pPr>
            <w:r w:rsidRPr="008C261E">
              <w:rPr>
                <w:rFonts w:eastAsia="var(--dsw-font-markdown-table)" w:cs="Times New Roman"/>
                <w:b/>
                <w:bCs/>
                <w:kern w:val="0"/>
                <w:lang w:bidi="ar"/>
              </w:rPr>
              <w:t>Z006</w:t>
            </w:r>
          </w:p>
        </w:tc>
        <w:tc>
          <w:tcPr>
            <w:tcW w:w="759" w:type="pct"/>
            <w:tcBorders>
              <w:top w:val="single" w:sz="4" w:space="0" w:color="auto"/>
              <w:left w:val="nil"/>
              <w:bottom w:val="nil"/>
              <w:right w:val="nil"/>
            </w:tcBorders>
            <w:tcMar>
              <w:top w:w="120" w:type="dxa"/>
              <w:left w:w="192" w:type="dxa"/>
              <w:bottom w:w="120" w:type="dxa"/>
              <w:right w:w="192" w:type="dxa"/>
            </w:tcMar>
          </w:tcPr>
          <w:p w14:paraId="1F879CFE"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2025-12-29</w:t>
            </w:r>
          </w:p>
        </w:tc>
        <w:tc>
          <w:tcPr>
            <w:tcW w:w="687" w:type="pct"/>
            <w:tcBorders>
              <w:top w:val="single" w:sz="4" w:space="0" w:color="auto"/>
              <w:left w:val="nil"/>
              <w:bottom w:val="nil"/>
              <w:right w:val="nil"/>
            </w:tcBorders>
            <w:tcMar>
              <w:top w:w="120" w:type="dxa"/>
              <w:left w:w="192" w:type="dxa"/>
              <w:bottom w:w="120" w:type="dxa"/>
              <w:right w:w="192" w:type="dxa"/>
            </w:tcMar>
          </w:tcPr>
          <w:p w14:paraId="309E8ACD"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Z006C0BP (total)</w:t>
            </w:r>
          </w:p>
        </w:tc>
        <w:tc>
          <w:tcPr>
            <w:tcW w:w="784" w:type="pct"/>
            <w:tcBorders>
              <w:top w:val="single" w:sz="4" w:space="0" w:color="auto"/>
              <w:left w:val="nil"/>
              <w:bottom w:val="nil"/>
              <w:right w:val="nil"/>
            </w:tcBorders>
            <w:tcMar>
              <w:top w:w="120" w:type="dxa"/>
              <w:left w:w="192" w:type="dxa"/>
              <w:bottom w:w="120" w:type="dxa"/>
              <w:right w:w="192" w:type="dxa"/>
            </w:tcMar>
          </w:tcPr>
          <w:p w14:paraId="4D3F9BBC" w14:textId="77777777" w:rsidR="00BD030E" w:rsidRPr="00D83A1F" w:rsidRDefault="00000000" w:rsidP="008C261E">
            <w:pPr>
              <w:jc w:val="center"/>
              <w:rPr>
                <w:rFonts w:eastAsia="var(--dsw-font-markdown-table)" w:cs="Times New Roman"/>
              </w:rPr>
            </w:pPr>
            <w:proofErr w:type="spellStart"/>
            <w:r w:rsidRPr="008C261E">
              <w:rPr>
                <w:rFonts w:eastAsia="var(--dsw-font-markdown-table)" w:cs="Times New Roman"/>
                <w:kern w:val="0"/>
                <w:lang w:bidi="ar"/>
              </w:rPr>
              <w:t>Almonertinib</w:t>
            </w:r>
            <w:proofErr w:type="spellEnd"/>
            <w:r w:rsidRPr="008C261E">
              <w:rPr>
                <w:rFonts w:eastAsia="var(--dsw-font-markdown-table)" w:cs="Times New Roman"/>
                <w:kern w:val="0"/>
                <w:lang w:bidi="ar"/>
              </w:rPr>
              <w:t xml:space="preserve"> 110mg </w:t>
            </w:r>
            <w:proofErr w:type="spellStart"/>
            <w:r w:rsidRPr="008C261E">
              <w:rPr>
                <w:rFonts w:eastAsia="var(--dsw-font-markdown-table)" w:cs="Times New Roman"/>
                <w:kern w:val="0"/>
                <w:lang w:bidi="ar"/>
              </w:rPr>
              <w:t>qd</w:t>
            </w:r>
            <w:proofErr w:type="spellEnd"/>
          </w:p>
        </w:tc>
        <w:tc>
          <w:tcPr>
            <w:tcW w:w="198" w:type="pct"/>
            <w:tcBorders>
              <w:top w:val="single" w:sz="4" w:space="0" w:color="auto"/>
              <w:left w:val="nil"/>
              <w:bottom w:val="nil"/>
              <w:right w:val="nil"/>
            </w:tcBorders>
            <w:tcMar>
              <w:top w:w="120" w:type="dxa"/>
              <w:left w:w="192" w:type="dxa"/>
              <w:bottom w:w="120" w:type="dxa"/>
              <w:right w:w="192" w:type="dxa"/>
            </w:tcMar>
          </w:tcPr>
          <w:p w14:paraId="1C465D28" w14:textId="77777777" w:rsidR="00BD030E" w:rsidRPr="00D83A1F" w:rsidRDefault="00BD030E" w:rsidP="008C261E">
            <w:pPr>
              <w:jc w:val="center"/>
              <w:rPr>
                <w:rFonts w:eastAsia="var(--dsw-font-markdown-table)" w:cs="Times New Roman"/>
                <w:kern w:val="0"/>
                <w:lang w:bidi="ar"/>
              </w:rPr>
            </w:pPr>
          </w:p>
        </w:tc>
        <w:tc>
          <w:tcPr>
            <w:tcW w:w="827" w:type="pct"/>
            <w:tcBorders>
              <w:top w:val="single" w:sz="4" w:space="0" w:color="auto"/>
              <w:left w:val="nil"/>
              <w:bottom w:val="nil"/>
              <w:right w:val="nil"/>
            </w:tcBorders>
            <w:tcMar>
              <w:top w:w="120" w:type="dxa"/>
              <w:left w:w="192" w:type="dxa"/>
              <w:bottom w:w="120" w:type="dxa"/>
              <w:right w:w="192" w:type="dxa"/>
            </w:tcMar>
          </w:tcPr>
          <w:p w14:paraId="5270838C"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369</w:t>
            </w:r>
          </w:p>
        </w:tc>
        <w:tc>
          <w:tcPr>
            <w:tcW w:w="754" w:type="pct"/>
            <w:tcBorders>
              <w:top w:val="single" w:sz="4" w:space="0" w:color="auto"/>
              <w:left w:val="nil"/>
              <w:bottom w:val="nil"/>
              <w:right w:val="nil"/>
            </w:tcBorders>
            <w:tcMar>
              <w:top w:w="120" w:type="dxa"/>
              <w:left w:w="192" w:type="dxa"/>
              <w:bottom w:w="120" w:type="dxa"/>
              <w:right w:w="192" w:type="dxa"/>
            </w:tcMar>
          </w:tcPr>
          <w:p w14:paraId="41737EA8"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single" w:sz="4" w:space="0" w:color="auto"/>
              <w:left w:val="nil"/>
              <w:bottom w:val="nil"/>
              <w:right w:val="nil"/>
            </w:tcBorders>
            <w:tcMar>
              <w:top w:w="120" w:type="dxa"/>
              <w:left w:w="192" w:type="dxa"/>
              <w:bottom w:w="120" w:type="dxa"/>
              <w:right w:w="-1" w:type="dxa"/>
            </w:tcMar>
          </w:tcPr>
          <w:p w14:paraId="06CEC2FC"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Neuro score 3</w:t>
            </w:r>
          </w:p>
        </w:tc>
      </w:tr>
      <w:tr w:rsidR="00BD030E" w:rsidRPr="00D83A1F" w14:paraId="581CC93A"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34867166"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24B91931"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6C083D0C"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Z006C0BP (unbound)</w:t>
            </w:r>
          </w:p>
        </w:tc>
        <w:tc>
          <w:tcPr>
            <w:tcW w:w="784" w:type="pct"/>
            <w:tcBorders>
              <w:top w:val="nil"/>
              <w:left w:val="nil"/>
              <w:bottom w:val="nil"/>
              <w:right w:val="nil"/>
            </w:tcBorders>
            <w:tcMar>
              <w:top w:w="120" w:type="dxa"/>
              <w:left w:w="192" w:type="dxa"/>
              <w:bottom w:w="120" w:type="dxa"/>
              <w:right w:w="192" w:type="dxa"/>
            </w:tcMar>
          </w:tcPr>
          <w:p w14:paraId="131AE3CF"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09A225CA"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2C906298"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0.521</w:t>
            </w:r>
          </w:p>
        </w:tc>
        <w:tc>
          <w:tcPr>
            <w:tcW w:w="754" w:type="pct"/>
            <w:tcBorders>
              <w:top w:val="nil"/>
              <w:left w:val="nil"/>
              <w:bottom w:val="nil"/>
              <w:right w:val="nil"/>
            </w:tcBorders>
            <w:tcMar>
              <w:top w:w="120" w:type="dxa"/>
              <w:left w:w="192" w:type="dxa"/>
              <w:bottom w:w="120" w:type="dxa"/>
              <w:right w:w="192" w:type="dxa"/>
            </w:tcMar>
          </w:tcPr>
          <w:p w14:paraId="3A231B24"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6FD4F736" w14:textId="77777777" w:rsidR="00BD030E" w:rsidRPr="00D83A1F" w:rsidRDefault="00BD030E" w:rsidP="008C261E">
            <w:pPr>
              <w:jc w:val="center"/>
              <w:rPr>
                <w:rFonts w:eastAsia="var(--dsw-font-markdown-table)" w:cs="Times New Roman"/>
              </w:rPr>
            </w:pPr>
          </w:p>
        </w:tc>
      </w:tr>
      <w:tr w:rsidR="00BD030E" w:rsidRPr="00D83A1F" w14:paraId="6A5A9E28"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6360A496"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0D970BA0"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76A5B9A3"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Z006C0CS</w:t>
            </w:r>
          </w:p>
        </w:tc>
        <w:tc>
          <w:tcPr>
            <w:tcW w:w="784" w:type="pct"/>
            <w:tcBorders>
              <w:top w:val="nil"/>
              <w:left w:val="nil"/>
              <w:bottom w:val="nil"/>
              <w:right w:val="nil"/>
            </w:tcBorders>
            <w:tcMar>
              <w:top w:w="120" w:type="dxa"/>
              <w:left w:w="192" w:type="dxa"/>
              <w:bottom w:w="120" w:type="dxa"/>
              <w:right w:w="192" w:type="dxa"/>
            </w:tcMar>
          </w:tcPr>
          <w:p w14:paraId="4ECF8B1D"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0B18BCC4"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4F0E6DE4"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1.48</w:t>
            </w:r>
          </w:p>
        </w:tc>
        <w:tc>
          <w:tcPr>
            <w:tcW w:w="754" w:type="pct"/>
            <w:tcBorders>
              <w:top w:val="nil"/>
              <w:left w:val="nil"/>
              <w:bottom w:val="nil"/>
              <w:right w:val="nil"/>
            </w:tcBorders>
            <w:tcMar>
              <w:top w:w="120" w:type="dxa"/>
              <w:left w:w="192" w:type="dxa"/>
              <w:bottom w:w="120" w:type="dxa"/>
              <w:right w:w="192" w:type="dxa"/>
            </w:tcMar>
          </w:tcPr>
          <w:p w14:paraId="779A90A0"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7FAB514B" w14:textId="77777777" w:rsidR="00BD030E" w:rsidRPr="00D83A1F" w:rsidRDefault="00BD030E" w:rsidP="008C261E">
            <w:pPr>
              <w:jc w:val="center"/>
              <w:rPr>
                <w:rFonts w:eastAsia="var(--dsw-font-markdown-table)" w:cs="Times New Roman"/>
              </w:rPr>
            </w:pPr>
          </w:p>
        </w:tc>
      </w:tr>
      <w:tr w:rsidR="00BD030E" w:rsidRPr="00D83A1F" w14:paraId="13C7BB18"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317264BC"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0C8F51F9"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2026-01-22</w:t>
            </w:r>
          </w:p>
        </w:tc>
        <w:tc>
          <w:tcPr>
            <w:tcW w:w="687" w:type="pct"/>
            <w:tcBorders>
              <w:top w:val="nil"/>
              <w:left w:val="nil"/>
              <w:bottom w:val="nil"/>
              <w:right w:val="nil"/>
            </w:tcBorders>
            <w:tcMar>
              <w:top w:w="120" w:type="dxa"/>
              <w:left w:w="192" w:type="dxa"/>
              <w:bottom w:w="120" w:type="dxa"/>
              <w:right w:w="192" w:type="dxa"/>
            </w:tcMar>
          </w:tcPr>
          <w:p w14:paraId="7148707B"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Z006C1BP (total)</w:t>
            </w:r>
          </w:p>
        </w:tc>
        <w:tc>
          <w:tcPr>
            <w:tcW w:w="784" w:type="pct"/>
            <w:tcBorders>
              <w:top w:val="nil"/>
              <w:left w:val="nil"/>
              <w:bottom w:val="nil"/>
              <w:right w:val="nil"/>
            </w:tcBorders>
            <w:tcMar>
              <w:top w:w="120" w:type="dxa"/>
              <w:left w:w="192" w:type="dxa"/>
              <w:bottom w:w="120" w:type="dxa"/>
              <w:right w:w="192" w:type="dxa"/>
            </w:tcMar>
          </w:tcPr>
          <w:p w14:paraId="03101347" w14:textId="77777777" w:rsidR="00BD030E" w:rsidRPr="00D83A1F" w:rsidRDefault="00000000" w:rsidP="008C261E">
            <w:pPr>
              <w:jc w:val="center"/>
              <w:rPr>
                <w:rFonts w:eastAsia="var(--dsw-font-markdown-table)" w:cs="Times New Roman"/>
              </w:rPr>
            </w:pPr>
            <w:proofErr w:type="spellStart"/>
            <w:r w:rsidRPr="008C261E">
              <w:rPr>
                <w:rFonts w:eastAsia="var(--dsw-font-markdown-table)" w:cs="Times New Roman"/>
                <w:kern w:val="0"/>
                <w:lang w:bidi="ar"/>
              </w:rPr>
              <w:t>Almonertinib</w:t>
            </w:r>
            <w:proofErr w:type="spellEnd"/>
            <w:r w:rsidRPr="008C261E">
              <w:rPr>
                <w:rFonts w:eastAsia="var(--dsw-font-markdown-table)" w:cs="Times New Roman"/>
                <w:kern w:val="0"/>
                <w:lang w:bidi="ar"/>
              </w:rPr>
              <w:t xml:space="preserve"> 165mg </w:t>
            </w:r>
            <w:proofErr w:type="spellStart"/>
            <w:r w:rsidRPr="008C261E">
              <w:rPr>
                <w:rFonts w:eastAsia="var(--dsw-font-markdown-table)" w:cs="Times New Roman"/>
                <w:kern w:val="0"/>
                <w:lang w:bidi="ar"/>
              </w:rPr>
              <w:t>qd</w:t>
            </w:r>
            <w:proofErr w:type="spellEnd"/>
          </w:p>
        </w:tc>
        <w:tc>
          <w:tcPr>
            <w:tcW w:w="198" w:type="pct"/>
            <w:tcBorders>
              <w:top w:val="nil"/>
              <w:left w:val="nil"/>
              <w:bottom w:val="nil"/>
              <w:right w:val="nil"/>
            </w:tcBorders>
            <w:tcMar>
              <w:top w:w="120" w:type="dxa"/>
              <w:left w:w="192" w:type="dxa"/>
              <w:bottom w:w="120" w:type="dxa"/>
              <w:right w:w="192" w:type="dxa"/>
            </w:tcMar>
          </w:tcPr>
          <w:p w14:paraId="1AC0302F"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5A05470D"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342</w:t>
            </w:r>
          </w:p>
        </w:tc>
        <w:tc>
          <w:tcPr>
            <w:tcW w:w="754" w:type="pct"/>
            <w:tcBorders>
              <w:top w:val="nil"/>
              <w:left w:val="nil"/>
              <w:bottom w:val="nil"/>
              <w:right w:val="nil"/>
            </w:tcBorders>
            <w:tcMar>
              <w:top w:w="120" w:type="dxa"/>
              <w:left w:w="192" w:type="dxa"/>
              <w:bottom w:w="120" w:type="dxa"/>
              <w:right w:w="192" w:type="dxa"/>
            </w:tcMar>
          </w:tcPr>
          <w:p w14:paraId="1783B59C"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32DAED20" w14:textId="1E275F52"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Neuro score 2</w:t>
            </w:r>
          </w:p>
        </w:tc>
      </w:tr>
      <w:tr w:rsidR="00BD030E" w:rsidRPr="00D83A1F" w14:paraId="29770B64"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706152B8"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60AF563A"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418BD2CD"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Z006C1BP (unbound)</w:t>
            </w:r>
          </w:p>
        </w:tc>
        <w:tc>
          <w:tcPr>
            <w:tcW w:w="784" w:type="pct"/>
            <w:tcBorders>
              <w:top w:val="nil"/>
              <w:left w:val="nil"/>
              <w:bottom w:val="nil"/>
              <w:right w:val="nil"/>
            </w:tcBorders>
            <w:tcMar>
              <w:top w:w="120" w:type="dxa"/>
              <w:left w:w="192" w:type="dxa"/>
              <w:bottom w:w="120" w:type="dxa"/>
              <w:right w:w="192" w:type="dxa"/>
            </w:tcMar>
          </w:tcPr>
          <w:p w14:paraId="2C22D33F"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4F0EEA62"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0A428AEB"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0.411</w:t>
            </w:r>
          </w:p>
        </w:tc>
        <w:tc>
          <w:tcPr>
            <w:tcW w:w="754" w:type="pct"/>
            <w:tcBorders>
              <w:top w:val="nil"/>
              <w:left w:val="nil"/>
              <w:bottom w:val="nil"/>
              <w:right w:val="nil"/>
            </w:tcBorders>
            <w:tcMar>
              <w:top w:w="120" w:type="dxa"/>
              <w:left w:w="192" w:type="dxa"/>
              <w:bottom w:w="120" w:type="dxa"/>
              <w:right w:w="192" w:type="dxa"/>
            </w:tcMar>
          </w:tcPr>
          <w:p w14:paraId="35D820A1"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3F68905D" w14:textId="77777777" w:rsidR="00BD030E" w:rsidRPr="00D83A1F" w:rsidRDefault="00BD030E" w:rsidP="008C261E">
            <w:pPr>
              <w:jc w:val="center"/>
              <w:rPr>
                <w:rFonts w:eastAsia="var(--dsw-font-markdown-table)" w:cs="Times New Roman"/>
              </w:rPr>
            </w:pPr>
          </w:p>
        </w:tc>
      </w:tr>
      <w:tr w:rsidR="00BD030E" w:rsidRPr="00D83A1F" w14:paraId="7940D536"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56FCB95E"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38603446"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5DC23533"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Z006C1CS</w:t>
            </w:r>
          </w:p>
        </w:tc>
        <w:tc>
          <w:tcPr>
            <w:tcW w:w="784" w:type="pct"/>
            <w:tcBorders>
              <w:top w:val="nil"/>
              <w:left w:val="nil"/>
              <w:bottom w:val="nil"/>
              <w:right w:val="nil"/>
            </w:tcBorders>
            <w:tcMar>
              <w:top w:w="120" w:type="dxa"/>
              <w:left w:w="192" w:type="dxa"/>
              <w:bottom w:w="120" w:type="dxa"/>
              <w:right w:w="192" w:type="dxa"/>
            </w:tcMar>
          </w:tcPr>
          <w:p w14:paraId="7E7FC236"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064A85E9"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73FFEB85"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0.770</w:t>
            </w:r>
          </w:p>
        </w:tc>
        <w:tc>
          <w:tcPr>
            <w:tcW w:w="754" w:type="pct"/>
            <w:tcBorders>
              <w:top w:val="nil"/>
              <w:left w:val="nil"/>
              <w:bottom w:val="nil"/>
              <w:right w:val="nil"/>
            </w:tcBorders>
            <w:tcMar>
              <w:top w:w="120" w:type="dxa"/>
              <w:left w:w="192" w:type="dxa"/>
              <w:bottom w:w="120" w:type="dxa"/>
              <w:right w:w="192" w:type="dxa"/>
            </w:tcMar>
          </w:tcPr>
          <w:p w14:paraId="3BFB5024"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w:t>
            </w:r>
          </w:p>
        </w:tc>
        <w:tc>
          <w:tcPr>
            <w:tcW w:w="560" w:type="pct"/>
            <w:tcBorders>
              <w:top w:val="nil"/>
              <w:left w:val="nil"/>
              <w:bottom w:val="nil"/>
              <w:right w:val="nil"/>
            </w:tcBorders>
            <w:tcMar>
              <w:top w:w="120" w:type="dxa"/>
              <w:left w:w="192" w:type="dxa"/>
              <w:bottom w:w="120" w:type="dxa"/>
              <w:right w:w="-1" w:type="dxa"/>
            </w:tcMar>
          </w:tcPr>
          <w:p w14:paraId="333E549D" w14:textId="77777777" w:rsidR="00BD030E" w:rsidRPr="00D83A1F" w:rsidRDefault="00BD030E" w:rsidP="008C261E">
            <w:pPr>
              <w:jc w:val="center"/>
              <w:rPr>
                <w:rFonts w:eastAsia="var(--dsw-font-markdown-table)" w:cs="Times New Roman"/>
              </w:rPr>
            </w:pPr>
          </w:p>
        </w:tc>
      </w:tr>
      <w:tr w:rsidR="00BD030E" w:rsidRPr="00D83A1F" w14:paraId="4DF3063A"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47407213"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0E652DAE"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2026-02-11*</w:t>
            </w:r>
          </w:p>
        </w:tc>
        <w:tc>
          <w:tcPr>
            <w:tcW w:w="687" w:type="pct"/>
            <w:tcBorders>
              <w:top w:val="nil"/>
              <w:left w:val="nil"/>
              <w:bottom w:val="nil"/>
              <w:right w:val="nil"/>
            </w:tcBorders>
            <w:tcMar>
              <w:top w:w="120" w:type="dxa"/>
              <w:left w:w="192" w:type="dxa"/>
              <w:bottom w:w="120" w:type="dxa"/>
              <w:right w:w="192" w:type="dxa"/>
            </w:tcMar>
          </w:tcPr>
          <w:p w14:paraId="5A961977"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Z006C2BP (total)</w:t>
            </w:r>
          </w:p>
        </w:tc>
        <w:tc>
          <w:tcPr>
            <w:tcW w:w="784" w:type="pct"/>
            <w:tcBorders>
              <w:top w:val="nil"/>
              <w:left w:val="nil"/>
              <w:bottom w:val="nil"/>
              <w:right w:val="nil"/>
            </w:tcBorders>
            <w:tcMar>
              <w:top w:w="120" w:type="dxa"/>
              <w:left w:w="192" w:type="dxa"/>
              <w:bottom w:w="120" w:type="dxa"/>
              <w:right w:w="192" w:type="dxa"/>
            </w:tcMar>
          </w:tcPr>
          <w:p w14:paraId="4B5BDF58" w14:textId="77777777" w:rsidR="00BD030E" w:rsidRPr="00D83A1F" w:rsidRDefault="00000000" w:rsidP="008C261E">
            <w:pPr>
              <w:jc w:val="center"/>
              <w:rPr>
                <w:rFonts w:eastAsia="var(--dsw-font-markdown-table)" w:cs="Times New Roman"/>
                <w:kern w:val="0"/>
                <w:lang w:bidi="ar"/>
              </w:rPr>
            </w:pPr>
            <w:proofErr w:type="spellStart"/>
            <w:r w:rsidRPr="008C261E">
              <w:rPr>
                <w:rFonts w:eastAsia="var(--dsw-font-markdown-table)" w:cs="Times New Roman"/>
                <w:kern w:val="0"/>
                <w:lang w:bidi="ar"/>
              </w:rPr>
              <w:t>Almonertinib</w:t>
            </w:r>
            <w:proofErr w:type="spellEnd"/>
            <w:r w:rsidRPr="008C261E">
              <w:rPr>
                <w:rFonts w:eastAsia="var(--dsw-font-markdown-table)" w:cs="Times New Roman"/>
                <w:kern w:val="0"/>
                <w:lang w:bidi="ar"/>
              </w:rPr>
              <w:t xml:space="preserve"> 110 mg </w:t>
            </w:r>
            <w:proofErr w:type="spellStart"/>
            <w:r w:rsidRPr="008C261E">
              <w:rPr>
                <w:rFonts w:eastAsia="var(--dsw-font-markdown-table)" w:cs="Times New Roman"/>
                <w:kern w:val="0"/>
                <w:lang w:bidi="ar"/>
              </w:rPr>
              <w:t>qd</w:t>
            </w:r>
            <w:proofErr w:type="spellEnd"/>
          </w:p>
          <w:p w14:paraId="1E940923"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 Zorifertinib 200mg bid</w:t>
            </w:r>
          </w:p>
        </w:tc>
        <w:tc>
          <w:tcPr>
            <w:tcW w:w="198" w:type="pct"/>
            <w:tcBorders>
              <w:top w:val="nil"/>
              <w:left w:val="nil"/>
              <w:bottom w:val="nil"/>
              <w:right w:val="nil"/>
            </w:tcBorders>
            <w:tcMar>
              <w:top w:w="120" w:type="dxa"/>
              <w:left w:w="192" w:type="dxa"/>
              <w:bottom w:w="120" w:type="dxa"/>
              <w:right w:w="192" w:type="dxa"/>
            </w:tcMar>
          </w:tcPr>
          <w:p w14:paraId="302F5936"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237E29C3"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687</w:t>
            </w:r>
          </w:p>
        </w:tc>
        <w:tc>
          <w:tcPr>
            <w:tcW w:w="754" w:type="pct"/>
            <w:tcBorders>
              <w:top w:val="nil"/>
              <w:left w:val="nil"/>
              <w:bottom w:val="nil"/>
              <w:right w:val="nil"/>
            </w:tcBorders>
            <w:tcMar>
              <w:top w:w="120" w:type="dxa"/>
              <w:left w:w="192" w:type="dxa"/>
              <w:bottom w:w="120" w:type="dxa"/>
              <w:right w:w="192" w:type="dxa"/>
            </w:tcMar>
          </w:tcPr>
          <w:p w14:paraId="3A14D9B5"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396</w:t>
            </w:r>
          </w:p>
        </w:tc>
        <w:tc>
          <w:tcPr>
            <w:tcW w:w="560" w:type="pct"/>
            <w:tcBorders>
              <w:top w:val="nil"/>
              <w:left w:val="nil"/>
              <w:bottom w:val="nil"/>
              <w:right w:val="nil"/>
            </w:tcBorders>
            <w:tcMar>
              <w:top w:w="120" w:type="dxa"/>
              <w:left w:w="192" w:type="dxa"/>
              <w:bottom w:w="120" w:type="dxa"/>
              <w:right w:w="-1" w:type="dxa"/>
            </w:tcMar>
          </w:tcPr>
          <w:p w14:paraId="4CF0D39D" w14:textId="6780849C"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Neuro score 2</w:t>
            </w:r>
          </w:p>
        </w:tc>
      </w:tr>
      <w:tr w:rsidR="00BD030E" w:rsidRPr="00D83A1F" w14:paraId="7915DD6A"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7F42B0E3"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3C890228"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6F247E96"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Z006C2BP (unbound)</w:t>
            </w:r>
          </w:p>
        </w:tc>
        <w:tc>
          <w:tcPr>
            <w:tcW w:w="784" w:type="pct"/>
            <w:tcBorders>
              <w:top w:val="nil"/>
              <w:left w:val="nil"/>
              <w:bottom w:val="nil"/>
              <w:right w:val="nil"/>
            </w:tcBorders>
            <w:tcMar>
              <w:top w:w="120" w:type="dxa"/>
              <w:left w:w="192" w:type="dxa"/>
              <w:bottom w:w="120" w:type="dxa"/>
              <w:right w:w="192" w:type="dxa"/>
            </w:tcMar>
          </w:tcPr>
          <w:p w14:paraId="66193A53"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70DF697A"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45DE59AB"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0.670</w:t>
            </w:r>
          </w:p>
        </w:tc>
        <w:tc>
          <w:tcPr>
            <w:tcW w:w="754" w:type="pct"/>
            <w:tcBorders>
              <w:top w:val="nil"/>
              <w:left w:val="nil"/>
              <w:bottom w:val="nil"/>
              <w:right w:val="nil"/>
            </w:tcBorders>
            <w:tcMar>
              <w:top w:w="120" w:type="dxa"/>
              <w:left w:w="192" w:type="dxa"/>
              <w:bottom w:w="120" w:type="dxa"/>
              <w:right w:w="192" w:type="dxa"/>
            </w:tcMar>
          </w:tcPr>
          <w:p w14:paraId="7E22C1C5"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22.3</w:t>
            </w:r>
          </w:p>
        </w:tc>
        <w:tc>
          <w:tcPr>
            <w:tcW w:w="560" w:type="pct"/>
            <w:tcBorders>
              <w:top w:val="nil"/>
              <w:left w:val="nil"/>
              <w:bottom w:val="nil"/>
              <w:right w:val="nil"/>
            </w:tcBorders>
            <w:tcMar>
              <w:top w:w="120" w:type="dxa"/>
              <w:left w:w="192" w:type="dxa"/>
              <w:bottom w:w="120" w:type="dxa"/>
              <w:right w:w="-1" w:type="dxa"/>
            </w:tcMar>
          </w:tcPr>
          <w:p w14:paraId="16709BCE" w14:textId="77777777" w:rsidR="00BD030E" w:rsidRPr="00D83A1F" w:rsidRDefault="00BD030E" w:rsidP="008C261E">
            <w:pPr>
              <w:jc w:val="center"/>
              <w:rPr>
                <w:rFonts w:eastAsia="var(--dsw-font-markdown-table)" w:cs="Times New Roman"/>
              </w:rPr>
            </w:pPr>
          </w:p>
        </w:tc>
      </w:tr>
      <w:tr w:rsidR="00BD030E" w:rsidRPr="00D83A1F" w14:paraId="137EA9DE" w14:textId="77777777" w:rsidTr="008C261E">
        <w:trPr>
          <w:jc w:val="center"/>
        </w:trPr>
        <w:tc>
          <w:tcPr>
            <w:tcW w:w="431" w:type="pct"/>
            <w:tcBorders>
              <w:top w:val="nil"/>
              <w:left w:val="nil"/>
              <w:bottom w:val="nil"/>
              <w:right w:val="nil"/>
            </w:tcBorders>
            <w:tcMar>
              <w:top w:w="120" w:type="dxa"/>
              <w:left w:w="-1" w:type="dxa"/>
              <w:bottom w:w="120" w:type="dxa"/>
              <w:right w:w="192" w:type="dxa"/>
            </w:tcMar>
          </w:tcPr>
          <w:p w14:paraId="56DC1275" w14:textId="77777777" w:rsidR="00BD030E" w:rsidRPr="00D83A1F" w:rsidRDefault="00BD030E" w:rsidP="008C261E">
            <w:pPr>
              <w:jc w:val="left"/>
              <w:rPr>
                <w:rFonts w:eastAsia="var(--dsw-font-markdown-table)" w:cs="Times New Roman"/>
              </w:rPr>
            </w:pPr>
          </w:p>
        </w:tc>
        <w:tc>
          <w:tcPr>
            <w:tcW w:w="759" w:type="pct"/>
            <w:tcBorders>
              <w:top w:val="nil"/>
              <w:left w:val="nil"/>
              <w:bottom w:val="nil"/>
              <w:right w:val="nil"/>
            </w:tcBorders>
            <w:tcMar>
              <w:top w:w="120" w:type="dxa"/>
              <w:left w:w="192" w:type="dxa"/>
              <w:bottom w:w="120" w:type="dxa"/>
              <w:right w:w="192" w:type="dxa"/>
            </w:tcMar>
          </w:tcPr>
          <w:p w14:paraId="53BD0285" w14:textId="77777777" w:rsidR="00BD030E" w:rsidRPr="00D83A1F" w:rsidRDefault="00BD030E" w:rsidP="008C261E">
            <w:pPr>
              <w:jc w:val="center"/>
              <w:rPr>
                <w:rFonts w:eastAsia="var(--dsw-font-markdown-table)" w:cs="Times New Roman"/>
              </w:rPr>
            </w:pPr>
          </w:p>
        </w:tc>
        <w:tc>
          <w:tcPr>
            <w:tcW w:w="687" w:type="pct"/>
            <w:tcBorders>
              <w:top w:val="nil"/>
              <w:left w:val="nil"/>
              <w:bottom w:val="nil"/>
              <w:right w:val="nil"/>
            </w:tcBorders>
            <w:tcMar>
              <w:top w:w="120" w:type="dxa"/>
              <w:left w:w="192" w:type="dxa"/>
              <w:bottom w:w="120" w:type="dxa"/>
              <w:right w:w="192" w:type="dxa"/>
            </w:tcMar>
          </w:tcPr>
          <w:p w14:paraId="1516975D"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Z006C2CS</w:t>
            </w:r>
          </w:p>
        </w:tc>
        <w:tc>
          <w:tcPr>
            <w:tcW w:w="784" w:type="pct"/>
            <w:tcBorders>
              <w:top w:val="nil"/>
              <w:left w:val="nil"/>
              <w:bottom w:val="nil"/>
              <w:right w:val="nil"/>
            </w:tcBorders>
            <w:tcMar>
              <w:top w:w="120" w:type="dxa"/>
              <w:left w:w="192" w:type="dxa"/>
              <w:bottom w:w="120" w:type="dxa"/>
              <w:right w:w="192" w:type="dxa"/>
            </w:tcMar>
          </w:tcPr>
          <w:p w14:paraId="1EB9859B" w14:textId="77777777" w:rsidR="00BD030E" w:rsidRPr="00D83A1F" w:rsidRDefault="00BD030E" w:rsidP="008C261E">
            <w:pPr>
              <w:jc w:val="center"/>
              <w:rPr>
                <w:rFonts w:eastAsia="var(--dsw-font-markdown-table)" w:cs="Times New Roman"/>
              </w:rPr>
            </w:pPr>
          </w:p>
        </w:tc>
        <w:tc>
          <w:tcPr>
            <w:tcW w:w="198" w:type="pct"/>
            <w:tcBorders>
              <w:top w:val="nil"/>
              <w:left w:val="nil"/>
              <w:bottom w:val="nil"/>
              <w:right w:val="nil"/>
            </w:tcBorders>
            <w:tcMar>
              <w:top w:w="120" w:type="dxa"/>
              <w:left w:w="192" w:type="dxa"/>
              <w:bottom w:w="120" w:type="dxa"/>
              <w:right w:w="192" w:type="dxa"/>
            </w:tcMar>
          </w:tcPr>
          <w:p w14:paraId="4E475556"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nil"/>
              <w:right w:val="nil"/>
            </w:tcBorders>
            <w:tcMar>
              <w:top w:w="120" w:type="dxa"/>
              <w:left w:w="192" w:type="dxa"/>
              <w:bottom w:w="120" w:type="dxa"/>
              <w:right w:w="192" w:type="dxa"/>
            </w:tcMar>
          </w:tcPr>
          <w:p w14:paraId="21A1AFC4"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3.29</w:t>
            </w:r>
          </w:p>
        </w:tc>
        <w:tc>
          <w:tcPr>
            <w:tcW w:w="754" w:type="pct"/>
            <w:tcBorders>
              <w:top w:val="nil"/>
              <w:left w:val="nil"/>
              <w:bottom w:val="nil"/>
              <w:right w:val="nil"/>
            </w:tcBorders>
            <w:tcMar>
              <w:top w:w="120" w:type="dxa"/>
              <w:left w:w="192" w:type="dxa"/>
              <w:bottom w:w="120" w:type="dxa"/>
              <w:right w:w="192" w:type="dxa"/>
            </w:tcMar>
          </w:tcPr>
          <w:p w14:paraId="52E0BEC7" w14:textId="77777777" w:rsidR="00BD030E" w:rsidRPr="00D83A1F" w:rsidRDefault="00000000" w:rsidP="008C261E">
            <w:pPr>
              <w:jc w:val="center"/>
              <w:rPr>
                <w:rFonts w:eastAsia="var(--dsw-font-markdown-table)" w:cs="Times New Roman"/>
              </w:rPr>
            </w:pPr>
            <w:r w:rsidRPr="008C261E">
              <w:rPr>
                <w:rFonts w:eastAsia="var(--dsw-font-markdown-table)" w:cs="Times New Roman"/>
                <w:kern w:val="0"/>
                <w:lang w:bidi="ar"/>
              </w:rPr>
              <w:t>20.9</w:t>
            </w:r>
          </w:p>
        </w:tc>
        <w:tc>
          <w:tcPr>
            <w:tcW w:w="560" w:type="pct"/>
            <w:tcBorders>
              <w:top w:val="nil"/>
              <w:left w:val="nil"/>
              <w:bottom w:val="nil"/>
              <w:right w:val="nil"/>
            </w:tcBorders>
            <w:tcMar>
              <w:top w:w="120" w:type="dxa"/>
              <w:left w:w="192" w:type="dxa"/>
              <w:bottom w:w="120" w:type="dxa"/>
              <w:right w:w="-1" w:type="dxa"/>
            </w:tcMar>
          </w:tcPr>
          <w:p w14:paraId="1303CA90" w14:textId="77777777" w:rsidR="00BD030E" w:rsidRPr="00D83A1F" w:rsidRDefault="00BD030E" w:rsidP="008C261E">
            <w:pPr>
              <w:jc w:val="center"/>
              <w:rPr>
                <w:rFonts w:eastAsia="var(--dsw-font-markdown-table)" w:cs="Times New Roman"/>
              </w:rPr>
            </w:pPr>
          </w:p>
        </w:tc>
      </w:tr>
      <w:tr w:rsidR="00BD030E" w:rsidRPr="00D83A1F" w14:paraId="1EFA7918" w14:textId="77777777" w:rsidTr="008C261E">
        <w:trPr>
          <w:jc w:val="center"/>
        </w:trPr>
        <w:tc>
          <w:tcPr>
            <w:tcW w:w="431" w:type="pct"/>
            <w:tcBorders>
              <w:top w:val="nil"/>
              <w:left w:val="nil"/>
              <w:bottom w:val="single" w:sz="12" w:space="0" w:color="auto"/>
              <w:right w:val="nil"/>
            </w:tcBorders>
            <w:tcMar>
              <w:top w:w="120" w:type="dxa"/>
              <w:left w:w="-1" w:type="dxa"/>
              <w:bottom w:w="120" w:type="dxa"/>
              <w:right w:w="192" w:type="dxa"/>
            </w:tcMar>
          </w:tcPr>
          <w:p w14:paraId="7D475BEC" w14:textId="77777777" w:rsidR="00BD030E" w:rsidRPr="00D83A1F" w:rsidRDefault="00BD030E" w:rsidP="008C261E">
            <w:pPr>
              <w:jc w:val="left"/>
              <w:rPr>
                <w:rFonts w:eastAsia="var(--dsw-font-markdown-table)" w:cs="Times New Roman"/>
              </w:rPr>
            </w:pPr>
          </w:p>
        </w:tc>
        <w:tc>
          <w:tcPr>
            <w:tcW w:w="759" w:type="pct"/>
            <w:tcBorders>
              <w:top w:val="nil"/>
              <w:left w:val="nil"/>
              <w:bottom w:val="single" w:sz="12" w:space="0" w:color="auto"/>
              <w:right w:val="nil"/>
            </w:tcBorders>
            <w:tcMar>
              <w:top w:w="120" w:type="dxa"/>
              <w:left w:w="192" w:type="dxa"/>
              <w:bottom w:w="120" w:type="dxa"/>
              <w:right w:w="192" w:type="dxa"/>
            </w:tcMar>
          </w:tcPr>
          <w:p w14:paraId="359E685E" w14:textId="77777777" w:rsidR="00BD030E" w:rsidRPr="00D83A1F" w:rsidRDefault="00000000" w:rsidP="008C261E">
            <w:pPr>
              <w:jc w:val="center"/>
              <w:rPr>
                <w:rFonts w:eastAsia="var(--dsw-font-markdown-table)" w:cs="Times New Roman"/>
              </w:rPr>
            </w:pPr>
            <w:r w:rsidRPr="008C261E">
              <w:rPr>
                <w:rFonts w:eastAsia="var(--dsw-font-markdown-table)" w:cs="Times New Roman"/>
              </w:rPr>
              <w:t>2026-07-09</w:t>
            </w:r>
          </w:p>
        </w:tc>
        <w:tc>
          <w:tcPr>
            <w:tcW w:w="687" w:type="pct"/>
            <w:tcBorders>
              <w:top w:val="nil"/>
              <w:left w:val="nil"/>
              <w:bottom w:val="single" w:sz="12" w:space="0" w:color="auto"/>
              <w:right w:val="nil"/>
            </w:tcBorders>
            <w:tcMar>
              <w:top w:w="120" w:type="dxa"/>
              <w:left w:w="192" w:type="dxa"/>
              <w:bottom w:w="120" w:type="dxa"/>
              <w:right w:w="192" w:type="dxa"/>
            </w:tcMar>
          </w:tcPr>
          <w:p w14:paraId="1916ACE7" w14:textId="77777777" w:rsidR="00BD030E" w:rsidRPr="00D83A1F" w:rsidRDefault="00BD030E" w:rsidP="008C261E">
            <w:pPr>
              <w:jc w:val="center"/>
              <w:rPr>
                <w:rFonts w:eastAsia="var(--dsw-font-markdown-table)" w:cs="Times New Roman"/>
                <w:kern w:val="0"/>
                <w:lang w:bidi="ar"/>
              </w:rPr>
            </w:pPr>
          </w:p>
        </w:tc>
        <w:tc>
          <w:tcPr>
            <w:tcW w:w="784" w:type="pct"/>
            <w:tcBorders>
              <w:top w:val="nil"/>
              <w:left w:val="nil"/>
              <w:bottom w:val="single" w:sz="12" w:space="0" w:color="auto"/>
              <w:right w:val="nil"/>
            </w:tcBorders>
            <w:tcMar>
              <w:top w:w="120" w:type="dxa"/>
              <w:left w:w="192" w:type="dxa"/>
              <w:bottom w:w="120" w:type="dxa"/>
              <w:right w:w="192" w:type="dxa"/>
            </w:tcMar>
          </w:tcPr>
          <w:p w14:paraId="15F3C9BA" w14:textId="77777777" w:rsidR="00BD030E" w:rsidRPr="00D83A1F" w:rsidRDefault="00BD030E" w:rsidP="008C261E">
            <w:pPr>
              <w:jc w:val="center"/>
              <w:rPr>
                <w:rFonts w:eastAsia="var(--dsw-font-markdown-table)" w:cs="Times New Roman"/>
              </w:rPr>
            </w:pPr>
          </w:p>
        </w:tc>
        <w:tc>
          <w:tcPr>
            <w:tcW w:w="198" w:type="pct"/>
            <w:tcBorders>
              <w:top w:val="nil"/>
              <w:left w:val="nil"/>
              <w:bottom w:val="single" w:sz="12" w:space="0" w:color="auto"/>
              <w:right w:val="nil"/>
            </w:tcBorders>
            <w:tcMar>
              <w:top w:w="120" w:type="dxa"/>
              <w:left w:w="192" w:type="dxa"/>
              <w:bottom w:w="120" w:type="dxa"/>
              <w:right w:w="192" w:type="dxa"/>
            </w:tcMar>
          </w:tcPr>
          <w:p w14:paraId="448E93B3" w14:textId="77777777" w:rsidR="00BD030E" w:rsidRPr="00D83A1F" w:rsidRDefault="00BD030E" w:rsidP="008C261E">
            <w:pPr>
              <w:jc w:val="center"/>
              <w:rPr>
                <w:rFonts w:eastAsia="var(--dsw-font-markdown-table)" w:cs="Times New Roman"/>
                <w:kern w:val="0"/>
                <w:lang w:bidi="ar"/>
              </w:rPr>
            </w:pPr>
          </w:p>
        </w:tc>
        <w:tc>
          <w:tcPr>
            <w:tcW w:w="827" w:type="pct"/>
            <w:tcBorders>
              <w:top w:val="nil"/>
              <w:left w:val="nil"/>
              <w:bottom w:val="single" w:sz="12" w:space="0" w:color="auto"/>
              <w:right w:val="nil"/>
            </w:tcBorders>
            <w:tcMar>
              <w:top w:w="120" w:type="dxa"/>
              <w:left w:w="192" w:type="dxa"/>
              <w:bottom w:w="120" w:type="dxa"/>
              <w:right w:w="192" w:type="dxa"/>
            </w:tcMar>
          </w:tcPr>
          <w:p w14:paraId="2CC51D89" w14:textId="77777777" w:rsidR="00BD030E" w:rsidRPr="00D83A1F" w:rsidRDefault="00BD030E" w:rsidP="008C261E">
            <w:pPr>
              <w:jc w:val="center"/>
              <w:rPr>
                <w:rFonts w:eastAsia="var(--dsw-font-markdown-table)" w:cs="Times New Roman"/>
                <w:kern w:val="0"/>
                <w:lang w:bidi="ar"/>
              </w:rPr>
            </w:pPr>
          </w:p>
        </w:tc>
        <w:tc>
          <w:tcPr>
            <w:tcW w:w="754" w:type="pct"/>
            <w:tcBorders>
              <w:top w:val="nil"/>
              <w:left w:val="nil"/>
              <w:bottom w:val="single" w:sz="12" w:space="0" w:color="auto"/>
              <w:right w:val="nil"/>
            </w:tcBorders>
            <w:tcMar>
              <w:top w:w="120" w:type="dxa"/>
              <w:left w:w="192" w:type="dxa"/>
              <w:bottom w:w="120" w:type="dxa"/>
              <w:right w:w="192" w:type="dxa"/>
            </w:tcMar>
          </w:tcPr>
          <w:p w14:paraId="210ACCA4" w14:textId="77777777" w:rsidR="00BD030E" w:rsidRPr="00D83A1F" w:rsidRDefault="00BD030E" w:rsidP="008C261E">
            <w:pPr>
              <w:jc w:val="center"/>
              <w:rPr>
                <w:rFonts w:eastAsia="var(--dsw-font-markdown-table)" w:cs="Times New Roman"/>
                <w:kern w:val="0"/>
                <w:lang w:bidi="ar"/>
              </w:rPr>
            </w:pPr>
          </w:p>
        </w:tc>
        <w:tc>
          <w:tcPr>
            <w:tcW w:w="560" w:type="pct"/>
            <w:tcBorders>
              <w:top w:val="nil"/>
              <w:left w:val="nil"/>
              <w:bottom w:val="single" w:sz="12" w:space="0" w:color="auto"/>
              <w:right w:val="nil"/>
            </w:tcBorders>
            <w:tcMar>
              <w:top w:w="120" w:type="dxa"/>
              <w:left w:w="192" w:type="dxa"/>
              <w:bottom w:w="120" w:type="dxa"/>
              <w:right w:w="-1" w:type="dxa"/>
            </w:tcMar>
          </w:tcPr>
          <w:p w14:paraId="36596813" w14:textId="77777777" w:rsidR="00BD030E" w:rsidRPr="00D83A1F" w:rsidRDefault="00000000" w:rsidP="008C261E">
            <w:pPr>
              <w:jc w:val="center"/>
              <w:rPr>
                <w:rFonts w:eastAsia="var(--dsw-font-markdown-table)" w:cs="Times New Roman"/>
              </w:rPr>
            </w:pPr>
            <w:r w:rsidRPr="008C261E">
              <w:rPr>
                <w:rFonts w:eastAsia="var(--dsw-font-markdown-table)" w:cs="Times New Roman"/>
              </w:rPr>
              <w:t>Neuro score 2</w:t>
            </w:r>
          </w:p>
        </w:tc>
      </w:tr>
    </w:tbl>
    <w:p w14:paraId="0A045F8B" w14:textId="77777777" w:rsidR="00BD030E" w:rsidRPr="00D83A1F" w:rsidRDefault="00000000" w:rsidP="008C261E">
      <w:pPr>
        <w:rPr>
          <w:rFonts w:eastAsia="Segoe UI" w:cs="Times New Roman"/>
          <w:shd w:val="clear" w:color="auto" w:fill="FFFFFF"/>
        </w:rPr>
      </w:pPr>
      <w:r w:rsidRPr="00D83A1F">
        <w:rPr>
          <w:rFonts w:eastAsia="Segoe UI" w:cs="Times New Roman"/>
          <w:shd w:val="clear" w:color="auto" w:fill="FFFFFF"/>
        </w:rPr>
        <w:t>*</w:t>
      </w:r>
      <w:r w:rsidRPr="00D83A1F">
        <w:rPr>
          <w:rFonts w:cs="Times New Roman"/>
          <w:shd w:val="clear" w:color="auto" w:fill="FFFFFF"/>
        </w:rPr>
        <w:t>Z005</w:t>
      </w:r>
      <w:r w:rsidRPr="00D83A1F">
        <w:rPr>
          <w:rFonts w:eastAsia="Segoe UI" w:cs="Times New Roman"/>
          <w:shd w:val="clear" w:color="auto" w:fill="FFFFFF"/>
        </w:rPr>
        <w:t xml:space="preserve"> combination therapy with zorifertinib was initiated on </w:t>
      </w:r>
      <w:r w:rsidRPr="00D83A1F">
        <w:rPr>
          <w:rFonts w:cs="Times New Roman"/>
          <w:shd w:val="clear" w:color="auto" w:fill="FFFFFF"/>
        </w:rPr>
        <w:t>December</w:t>
      </w:r>
      <w:r w:rsidRPr="00D83A1F">
        <w:rPr>
          <w:rFonts w:eastAsia="Segoe UI" w:cs="Times New Roman"/>
          <w:shd w:val="clear" w:color="auto" w:fill="FFFFFF"/>
        </w:rPr>
        <w:t xml:space="preserve"> </w:t>
      </w:r>
      <w:r w:rsidRPr="00D83A1F">
        <w:rPr>
          <w:rFonts w:cs="Times New Roman"/>
          <w:shd w:val="clear" w:color="auto" w:fill="FFFFFF"/>
        </w:rPr>
        <w:t>1</w:t>
      </w:r>
      <w:r w:rsidRPr="00D83A1F">
        <w:rPr>
          <w:rFonts w:eastAsia="Segoe UI" w:cs="Times New Roman"/>
          <w:shd w:val="clear" w:color="auto" w:fill="FFFFFF"/>
        </w:rPr>
        <w:t>4, 2026. The C</w:t>
      </w:r>
      <w:r w:rsidRPr="00D83A1F">
        <w:rPr>
          <w:rFonts w:cs="Times New Roman"/>
          <w:shd w:val="clear" w:color="auto" w:fill="FFFFFF"/>
        </w:rPr>
        <w:t>1</w:t>
      </w:r>
      <w:r w:rsidRPr="00D83A1F">
        <w:rPr>
          <w:rFonts w:eastAsia="Segoe UI" w:cs="Times New Roman"/>
          <w:shd w:val="clear" w:color="auto" w:fill="FFFFFF"/>
        </w:rPr>
        <w:t xml:space="preserve"> time point reflects post-combination pharmacokinetic data.</w:t>
      </w:r>
      <w:r w:rsidRPr="00D83A1F">
        <w:rPr>
          <w:rFonts w:cs="Times New Roman"/>
          <w:shd w:val="clear" w:color="auto" w:fill="FFFFFF"/>
        </w:rPr>
        <w:t xml:space="preserve"> </w:t>
      </w:r>
      <w:r w:rsidRPr="00D83A1F">
        <w:rPr>
          <w:rFonts w:eastAsia="Segoe UI" w:cs="Times New Roman"/>
          <w:shd w:val="clear" w:color="auto" w:fill="FFFFFF"/>
        </w:rPr>
        <w:t>Z006 combination therapy with zorifertinib was initiated on January 24, 2026. The C2 time point reflects post-combination pharmacokinetic data.</w:t>
      </w:r>
    </w:p>
    <w:p w14:paraId="5A32B91D" w14:textId="77777777" w:rsidR="00FF10D7" w:rsidRDefault="00FF10D7" w:rsidP="00D83A1F">
      <w:pPr>
        <w:rPr>
          <w:rFonts w:eastAsia="var(--dsw-font-markdown-h3)" w:cs="Times New Roman"/>
          <w:shd w:val="clear" w:color="auto" w:fill="FFFFFF"/>
        </w:rPr>
      </w:pPr>
    </w:p>
    <w:p w14:paraId="64D21875" w14:textId="1BFD29A1" w:rsidR="00BD030E" w:rsidRPr="008C261E" w:rsidRDefault="00000000" w:rsidP="008C261E">
      <w:pPr>
        <w:rPr>
          <w:rFonts w:cs="Times New Roman"/>
          <w:b/>
          <w:bCs/>
        </w:rPr>
      </w:pPr>
      <w:r w:rsidRPr="008C261E">
        <w:rPr>
          <w:rFonts w:eastAsia="var(--dsw-font-markdown-h3)" w:cs="Times New Roman"/>
          <w:b/>
          <w:bCs/>
          <w:shd w:val="clear" w:color="auto" w:fill="FFFFFF"/>
        </w:rPr>
        <w:t>Table 3.</w:t>
      </w:r>
      <w:r w:rsidRPr="00D83A1F">
        <w:rPr>
          <w:rFonts w:eastAsia="var(--dsw-font-markdown-h3)" w:cs="Times New Roman"/>
          <w:shd w:val="clear" w:color="auto" w:fill="FFFFFF"/>
        </w:rPr>
        <w:t xml:space="preserve"> Pharmacokinetic </w:t>
      </w:r>
      <w:r w:rsidRPr="00D83A1F">
        <w:rPr>
          <w:rFonts w:cs="Times New Roman"/>
          <w:shd w:val="clear" w:color="auto" w:fill="FFFFFF"/>
        </w:rPr>
        <w:t>p</w:t>
      </w:r>
      <w:r w:rsidRPr="00D83A1F">
        <w:rPr>
          <w:rFonts w:eastAsia="var(--dsw-font-markdown-h3)" w:cs="Times New Roman"/>
          <w:shd w:val="clear" w:color="auto" w:fill="FFFFFF"/>
        </w:rPr>
        <w:t>arameters</w:t>
      </w:r>
      <w:r w:rsidRPr="00D83A1F">
        <w:rPr>
          <w:rFonts w:cs="Times New Roman"/>
          <w:shd w:val="clear" w:color="auto" w:fill="FFFFFF"/>
        </w:rPr>
        <w:t>.</w:t>
      </w:r>
    </w:p>
    <w:tbl>
      <w:tblPr>
        <w:tblW w:w="5000" w:type="pct"/>
        <w:jc w:val="center"/>
        <w:tblCellMar>
          <w:top w:w="15" w:type="dxa"/>
          <w:left w:w="15" w:type="dxa"/>
          <w:bottom w:w="15" w:type="dxa"/>
          <w:right w:w="15" w:type="dxa"/>
        </w:tblCellMar>
        <w:tblLook w:val="04A0" w:firstRow="1" w:lastRow="0" w:firstColumn="1" w:lastColumn="0" w:noHBand="0" w:noVBand="1"/>
      </w:tblPr>
      <w:tblGrid>
        <w:gridCol w:w="1686"/>
        <w:gridCol w:w="2066"/>
        <w:gridCol w:w="1910"/>
        <w:gridCol w:w="2066"/>
        <w:gridCol w:w="1910"/>
      </w:tblGrid>
      <w:tr w:rsidR="00BD030E" w:rsidRPr="00D83A1F" w14:paraId="5A80D691" w14:textId="77777777" w:rsidTr="008C261E">
        <w:trPr>
          <w:tblHeader/>
          <w:jc w:val="center"/>
        </w:trPr>
        <w:tc>
          <w:tcPr>
            <w:tcW w:w="874" w:type="pct"/>
            <w:tcBorders>
              <w:top w:val="single" w:sz="12" w:space="0" w:color="auto"/>
              <w:left w:val="nil"/>
              <w:bottom w:val="nil"/>
              <w:right w:val="nil"/>
            </w:tcBorders>
            <w:tcMar>
              <w:top w:w="120" w:type="dxa"/>
              <w:left w:w="-1" w:type="dxa"/>
              <w:bottom w:w="120" w:type="dxa"/>
              <w:right w:w="192" w:type="dxa"/>
            </w:tcMar>
          </w:tcPr>
          <w:p w14:paraId="6B012CD9" w14:textId="77777777" w:rsidR="00BD030E" w:rsidRPr="00D83A1F" w:rsidRDefault="00000000" w:rsidP="008C261E">
            <w:pPr>
              <w:jc w:val="left"/>
              <w:rPr>
                <w:rFonts w:eastAsia="var(--dsw-font-markdown-table-h" w:cs="Times New Roman"/>
                <w:b/>
                <w:bCs/>
              </w:rPr>
            </w:pPr>
            <w:r w:rsidRPr="00D83A1F">
              <w:rPr>
                <w:rFonts w:eastAsia="var(--dsw-font-markdown-table-h" w:cs="Times New Roman"/>
                <w:b/>
                <w:bCs/>
                <w:kern w:val="0"/>
                <w:lang w:bidi="ar"/>
              </w:rPr>
              <w:t>Parameter</w:t>
            </w:r>
          </w:p>
        </w:tc>
        <w:tc>
          <w:tcPr>
            <w:tcW w:w="1072" w:type="pct"/>
            <w:tcBorders>
              <w:top w:val="single" w:sz="12" w:space="0" w:color="auto"/>
              <w:left w:val="nil"/>
              <w:bottom w:val="nil"/>
              <w:right w:val="nil"/>
            </w:tcBorders>
            <w:tcMar>
              <w:top w:w="120" w:type="dxa"/>
              <w:left w:w="192" w:type="dxa"/>
              <w:bottom w:w="120" w:type="dxa"/>
              <w:right w:w="192" w:type="dxa"/>
            </w:tcMar>
          </w:tcPr>
          <w:p w14:paraId="272273B3" w14:textId="77777777" w:rsidR="00BD030E" w:rsidRPr="00D83A1F" w:rsidRDefault="00000000" w:rsidP="008C261E">
            <w:pPr>
              <w:jc w:val="center"/>
              <w:rPr>
                <w:rFonts w:eastAsia="var(--dsw-font-markdown-table-h" w:cs="Times New Roman"/>
                <w:b/>
                <w:bCs/>
              </w:rPr>
            </w:pPr>
            <w:r w:rsidRPr="00D83A1F">
              <w:rPr>
                <w:rFonts w:eastAsia="var(--dsw-font-markdown-table-h" w:cs="Times New Roman"/>
                <w:b/>
                <w:bCs/>
                <w:kern w:val="0"/>
                <w:lang w:bidi="ar"/>
              </w:rPr>
              <w:t>Z005 (</w:t>
            </w:r>
            <w:proofErr w:type="spellStart"/>
            <w:r w:rsidRPr="00D83A1F">
              <w:rPr>
                <w:rFonts w:eastAsia="var(--dsw-font-markdown-table-h" w:cs="Times New Roman"/>
                <w:b/>
                <w:bCs/>
                <w:kern w:val="0"/>
                <w:lang w:bidi="ar"/>
              </w:rPr>
              <w:t>Almonertinib</w:t>
            </w:r>
            <w:proofErr w:type="spellEnd"/>
            <w:r w:rsidRPr="00D83A1F">
              <w:rPr>
                <w:rFonts w:eastAsia="var(--dsw-font-markdown-table-h" w:cs="Times New Roman"/>
                <w:b/>
                <w:bCs/>
                <w:kern w:val="0"/>
                <w:lang w:bidi="ar"/>
              </w:rPr>
              <w:t>)</w:t>
            </w:r>
          </w:p>
        </w:tc>
        <w:tc>
          <w:tcPr>
            <w:tcW w:w="991" w:type="pct"/>
            <w:tcBorders>
              <w:top w:val="single" w:sz="12" w:space="0" w:color="auto"/>
              <w:left w:val="nil"/>
              <w:bottom w:val="nil"/>
              <w:right w:val="nil"/>
            </w:tcBorders>
            <w:tcMar>
              <w:top w:w="120" w:type="dxa"/>
              <w:left w:w="192" w:type="dxa"/>
              <w:bottom w:w="120" w:type="dxa"/>
              <w:right w:w="192" w:type="dxa"/>
            </w:tcMar>
          </w:tcPr>
          <w:p w14:paraId="6FBD5F09" w14:textId="77777777" w:rsidR="00BD030E" w:rsidRPr="00D83A1F" w:rsidRDefault="00000000" w:rsidP="008C261E">
            <w:pPr>
              <w:jc w:val="center"/>
              <w:rPr>
                <w:rFonts w:eastAsia="var(--dsw-font-markdown-table-h" w:cs="Times New Roman"/>
                <w:b/>
                <w:bCs/>
              </w:rPr>
            </w:pPr>
            <w:r w:rsidRPr="00D83A1F">
              <w:rPr>
                <w:rFonts w:eastAsia="var(--dsw-font-markdown-table-h" w:cs="Times New Roman"/>
                <w:b/>
                <w:bCs/>
                <w:kern w:val="0"/>
                <w:lang w:bidi="ar"/>
              </w:rPr>
              <w:t>Z005 (Zorifertinib)</w:t>
            </w:r>
          </w:p>
        </w:tc>
        <w:tc>
          <w:tcPr>
            <w:tcW w:w="1072" w:type="pct"/>
            <w:tcBorders>
              <w:top w:val="single" w:sz="12" w:space="0" w:color="auto"/>
              <w:left w:val="nil"/>
              <w:bottom w:val="nil"/>
              <w:right w:val="nil"/>
            </w:tcBorders>
            <w:tcMar>
              <w:top w:w="120" w:type="dxa"/>
              <w:left w:w="192" w:type="dxa"/>
              <w:bottom w:w="120" w:type="dxa"/>
              <w:right w:w="192" w:type="dxa"/>
            </w:tcMar>
          </w:tcPr>
          <w:p w14:paraId="4EF3C146" w14:textId="77777777" w:rsidR="00BD030E" w:rsidRPr="00D83A1F" w:rsidRDefault="00000000" w:rsidP="008C261E">
            <w:pPr>
              <w:jc w:val="center"/>
              <w:rPr>
                <w:rFonts w:eastAsia="var(--dsw-font-markdown-table-h" w:cs="Times New Roman"/>
                <w:b/>
                <w:bCs/>
              </w:rPr>
            </w:pPr>
            <w:r w:rsidRPr="00D83A1F">
              <w:rPr>
                <w:rFonts w:eastAsia="var(--dsw-font-markdown-table-h" w:cs="Times New Roman"/>
                <w:b/>
                <w:bCs/>
                <w:kern w:val="0"/>
                <w:lang w:bidi="ar"/>
              </w:rPr>
              <w:t>Z006 (</w:t>
            </w:r>
            <w:proofErr w:type="spellStart"/>
            <w:r w:rsidRPr="00D83A1F">
              <w:rPr>
                <w:rFonts w:eastAsia="var(--dsw-font-markdown-table-h" w:cs="Times New Roman"/>
                <w:b/>
                <w:bCs/>
                <w:kern w:val="0"/>
                <w:lang w:bidi="ar"/>
              </w:rPr>
              <w:t>Almonertinib</w:t>
            </w:r>
            <w:proofErr w:type="spellEnd"/>
            <w:r w:rsidRPr="00D83A1F">
              <w:rPr>
                <w:rFonts w:eastAsia="var(--dsw-font-markdown-table-h" w:cs="Times New Roman"/>
                <w:b/>
                <w:bCs/>
                <w:kern w:val="0"/>
                <w:lang w:bidi="ar"/>
              </w:rPr>
              <w:t>)</w:t>
            </w:r>
          </w:p>
        </w:tc>
        <w:tc>
          <w:tcPr>
            <w:tcW w:w="991" w:type="pct"/>
            <w:tcBorders>
              <w:top w:val="single" w:sz="12" w:space="0" w:color="auto"/>
              <w:left w:val="nil"/>
              <w:bottom w:val="nil"/>
              <w:right w:val="nil"/>
            </w:tcBorders>
            <w:tcMar>
              <w:top w:w="120" w:type="dxa"/>
              <w:left w:w="192" w:type="dxa"/>
              <w:bottom w:w="120" w:type="dxa"/>
              <w:right w:w="192" w:type="dxa"/>
            </w:tcMar>
          </w:tcPr>
          <w:p w14:paraId="784A6E92" w14:textId="77777777" w:rsidR="00BD030E" w:rsidRPr="00D83A1F" w:rsidRDefault="00000000" w:rsidP="008C261E">
            <w:pPr>
              <w:jc w:val="center"/>
              <w:rPr>
                <w:rFonts w:eastAsia="var(--dsw-font-markdown-table-h" w:cs="Times New Roman"/>
                <w:b/>
                <w:bCs/>
              </w:rPr>
            </w:pPr>
            <w:r w:rsidRPr="00D83A1F">
              <w:rPr>
                <w:rFonts w:eastAsia="var(--dsw-font-markdown-table-h" w:cs="Times New Roman"/>
                <w:b/>
                <w:bCs/>
                <w:kern w:val="0"/>
                <w:lang w:bidi="ar"/>
              </w:rPr>
              <w:t>Z006 (Zorifertinib)</w:t>
            </w:r>
          </w:p>
        </w:tc>
      </w:tr>
      <w:tr w:rsidR="00BD030E" w:rsidRPr="00D83A1F" w14:paraId="17D89B9E" w14:textId="77777777" w:rsidTr="008C261E">
        <w:trPr>
          <w:tblHeader/>
          <w:jc w:val="center"/>
        </w:trPr>
        <w:tc>
          <w:tcPr>
            <w:tcW w:w="874" w:type="pct"/>
            <w:tcBorders>
              <w:top w:val="single" w:sz="4" w:space="0" w:color="auto"/>
              <w:left w:val="nil"/>
              <w:bottom w:val="nil"/>
              <w:right w:val="nil"/>
            </w:tcBorders>
            <w:tcMar>
              <w:top w:w="120" w:type="dxa"/>
              <w:left w:w="-1" w:type="dxa"/>
              <w:bottom w:w="120" w:type="dxa"/>
              <w:right w:w="192" w:type="dxa"/>
            </w:tcMar>
          </w:tcPr>
          <w:p w14:paraId="1BB45883" w14:textId="77777777" w:rsidR="00BD030E" w:rsidRPr="00D83A1F" w:rsidRDefault="00000000" w:rsidP="008C261E">
            <w:pPr>
              <w:jc w:val="left"/>
              <w:rPr>
                <w:rFonts w:eastAsia="SimSun" w:cs="Times New Roman"/>
              </w:rPr>
            </w:pPr>
            <w:r w:rsidRPr="00D83A1F">
              <w:rPr>
                <w:rFonts w:eastAsia="var(--dsw-font-markdown-table)" w:cs="Times New Roman"/>
                <w:kern w:val="0"/>
                <w:lang w:bidi="ar"/>
              </w:rPr>
              <w:t>Plasma total (</w:t>
            </w:r>
            <w:r w:rsidRPr="00D83A1F">
              <w:rPr>
                <w:rFonts w:eastAsia="SimSun" w:cs="Times New Roman"/>
              </w:rPr>
              <w:t>nmol/L)</w:t>
            </w:r>
          </w:p>
        </w:tc>
        <w:tc>
          <w:tcPr>
            <w:tcW w:w="1072" w:type="pct"/>
            <w:tcBorders>
              <w:top w:val="single" w:sz="4" w:space="0" w:color="auto"/>
              <w:left w:val="nil"/>
              <w:bottom w:val="nil"/>
              <w:right w:val="nil"/>
            </w:tcBorders>
            <w:tcMar>
              <w:top w:w="120" w:type="dxa"/>
              <w:left w:w="192" w:type="dxa"/>
              <w:bottom w:w="120" w:type="dxa"/>
              <w:right w:w="192" w:type="dxa"/>
            </w:tcMar>
          </w:tcPr>
          <w:p w14:paraId="70B45947"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727</w:t>
            </w:r>
          </w:p>
        </w:tc>
        <w:tc>
          <w:tcPr>
            <w:tcW w:w="991" w:type="pct"/>
            <w:tcBorders>
              <w:top w:val="single" w:sz="4" w:space="0" w:color="auto"/>
              <w:left w:val="nil"/>
              <w:bottom w:val="nil"/>
              <w:right w:val="nil"/>
            </w:tcBorders>
            <w:tcMar>
              <w:top w:w="120" w:type="dxa"/>
              <w:left w:w="192" w:type="dxa"/>
              <w:bottom w:w="120" w:type="dxa"/>
              <w:right w:w="192" w:type="dxa"/>
            </w:tcMar>
          </w:tcPr>
          <w:p w14:paraId="51D1E1C4"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522</w:t>
            </w:r>
          </w:p>
        </w:tc>
        <w:tc>
          <w:tcPr>
            <w:tcW w:w="1072" w:type="pct"/>
            <w:tcBorders>
              <w:top w:val="single" w:sz="4" w:space="0" w:color="auto"/>
              <w:left w:val="nil"/>
              <w:bottom w:val="nil"/>
              <w:right w:val="nil"/>
            </w:tcBorders>
            <w:tcMar>
              <w:top w:w="120" w:type="dxa"/>
              <w:left w:w="192" w:type="dxa"/>
              <w:bottom w:w="120" w:type="dxa"/>
              <w:right w:w="192" w:type="dxa"/>
            </w:tcMar>
          </w:tcPr>
          <w:p w14:paraId="7BCF0879"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687</w:t>
            </w:r>
          </w:p>
        </w:tc>
        <w:tc>
          <w:tcPr>
            <w:tcW w:w="991" w:type="pct"/>
            <w:tcBorders>
              <w:top w:val="single" w:sz="4" w:space="0" w:color="auto"/>
              <w:left w:val="nil"/>
              <w:bottom w:val="nil"/>
              <w:right w:val="nil"/>
            </w:tcBorders>
            <w:tcMar>
              <w:top w:w="120" w:type="dxa"/>
              <w:left w:w="192" w:type="dxa"/>
              <w:bottom w:w="120" w:type="dxa"/>
              <w:right w:w="-1" w:type="dxa"/>
            </w:tcMar>
          </w:tcPr>
          <w:p w14:paraId="5084F5DA"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396</w:t>
            </w:r>
          </w:p>
        </w:tc>
      </w:tr>
      <w:tr w:rsidR="00BD030E" w:rsidRPr="00D83A1F" w14:paraId="3630EBD0" w14:textId="77777777" w:rsidTr="008C261E">
        <w:trPr>
          <w:tblHeader/>
          <w:jc w:val="center"/>
        </w:trPr>
        <w:tc>
          <w:tcPr>
            <w:tcW w:w="874" w:type="pct"/>
            <w:tcBorders>
              <w:top w:val="nil"/>
              <w:left w:val="nil"/>
              <w:bottom w:val="nil"/>
              <w:right w:val="nil"/>
            </w:tcBorders>
            <w:tcMar>
              <w:top w:w="120" w:type="dxa"/>
              <w:left w:w="-1" w:type="dxa"/>
              <w:bottom w:w="120" w:type="dxa"/>
              <w:right w:w="192" w:type="dxa"/>
            </w:tcMar>
          </w:tcPr>
          <w:p w14:paraId="6BD6B3B1"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Plasma unbound (</w:t>
            </w:r>
            <w:r w:rsidRPr="00D83A1F">
              <w:rPr>
                <w:rFonts w:eastAsia="SimSun" w:cs="Times New Roman"/>
              </w:rPr>
              <w:t>nmol/L)</w:t>
            </w:r>
          </w:p>
        </w:tc>
        <w:tc>
          <w:tcPr>
            <w:tcW w:w="1072" w:type="pct"/>
            <w:tcBorders>
              <w:top w:val="nil"/>
              <w:left w:val="nil"/>
              <w:bottom w:val="nil"/>
              <w:right w:val="nil"/>
            </w:tcBorders>
            <w:tcMar>
              <w:top w:w="120" w:type="dxa"/>
              <w:left w:w="192" w:type="dxa"/>
              <w:bottom w:w="120" w:type="dxa"/>
              <w:right w:w="192" w:type="dxa"/>
            </w:tcMar>
          </w:tcPr>
          <w:p w14:paraId="26B88F74"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1.27</w:t>
            </w:r>
          </w:p>
        </w:tc>
        <w:tc>
          <w:tcPr>
            <w:tcW w:w="991" w:type="pct"/>
            <w:tcBorders>
              <w:top w:val="nil"/>
              <w:left w:val="nil"/>
              <w:bottom w:val="nil"/>
              <w:right w:val="nil"/>
            </w:tcBorders>
            <w:tcMar>
              <w:top w:w="120" w:type="dxa"/>
              <w:left w:w="192" w:type="dxa"/>
              <w:bottom w:w="120" w:type="dxa"/>
              <w:right w:w="192" w:type="dxa"/>
            </w:tcMar>
          </w:tcPr>
          <w:p w14:paraId="11641C40"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33.6</w:t>
            </w:r>
          </w:p>
        </w:tc>
        <w:tc>
          <w:tcPr>
            <w:tcW w:w="1072" w:type="pct"/>
            <w:tcBorders>
              <w:top w:val="nil"/>
              <w:left w:val="nil"/>
              <w:bottom w:val="nil"/>
              <w:right w:val="nil"/>
            </w:tcBorders>
            <w:tcMar>
              <w:top w:w="120" w:type="dxa"/>
              <w:left w:w="192" w:type="dxa"/>
              <w:bottom w:w="120" w:type="dxa"/>
              <w:right w:w="192" w:type="dxa"/>
            </w:tcMar>
          </w:tcPr>
          <w:p w14:paraId="489C8530"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0.670</w:t>
            </w:r>
          </w:p>
        </w:tc>
        <w:tc>
          <w:tcPr>
            <w:tcW w:w="991" w:type="pct"/>
            <w:tcBorders>
              <w:top w:val="nil"/>
              <w:left w:val="nil"/>
              <w:bottom w:val="nil"/>
              <w:right w:val="nil"/>
            </w:tcBorders>
            <w:tcMar>
              <w:top w:w="120" w:type="dxa"/>
              <w:left w:w="192" w:type="dxa"/>
              <w:bottom w:w="120" w:type="dxa"/>
              <w:right w:w="-1" w:type="dxa"/>
            </w:tcMar>
          </w:tcPr>
          <w:p w14:paraId="37AE5648"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22.3</w:t>
            </w:r>
          </w:p>
        </w:tc>
      </w:tr>
      <w:tr w:rsidR="00BD030E" w:rsidRPr="00D83A1F" w14:paraId="359AE825" w14:textId="77777777" w:rsidTr="008C261E">
        <w:trPr>
          <w:tblHeader/>
          <w:jc w:val="center"/>
        </w:trPr>
        <w:tc>
          <w:tcPr>
            <w:tcW w:w="874" w:type="pct"/>
            <w:tcBorders>
              <w:top w:val="nil"/>
              <w:left w:val="nil"/>
              <w:bottom w:val="nil"/>
              <w:right w:val="nil"/>
            </w:tcBorders>
            <w:tcMar>
              <w:top w:w="120" w:type="dxa"/>
              <w:left w:w="-1" w:type="dxa"/>
              <w:bottom w:w="120" w:type="dxa"/>
              <w:right w:w="192" w:type="dxa"/>
            </w:tcMar>
          </w:tcPr>
          <w:p w14:paraId="0DD3545F"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CSF total (</w:t>
            </w:r>
            <w:r w:rsidRPr="00D83A1F">
              <w:rPr>
                <w:rFonts w:eastAsia="SimSun" w:cs="Times New Roman"/>
              </w:rPr>
              <w:t>nmol/L)</w:t>
            </w:r>
          </w:p>
        </w:tc>
        <w:tc>
          <w:tcPr>
            <w:tcW w:w="1072" w:type="pct"/>
            <w:tcBorders>
              <w:top w:val="nil"/>
              <w:left w:val="nil"/>
              <w:bottom w:val="nil"/>
              <w:right w:val="nil"/>
            </w:tcBorders>
            <w:tcMar>
              <w:top w:w="120" w:type="dxa"/>
              <w:left w:w="192" w:type="dxa"/>
              <w:bottom w:w="120" w:type="dxa"/>
              <w:right w:w="192" w:type="dxa"/>
            </w:tcMar>
          </w:tcPr>
          <w:p w14:paraId="7F5870C3"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2.72</w:t>
            </w:r>
          </w:p>
        </w:tc>
        <w:tc>
          <w:tcPr>
            <w:tcW w:w="991" w:type="pct"/>
            <w:tcBorders>
              <w:top w:val="nil"/>
              <w:left w:val="nil"/>
              <w:bottom w:val="nil"/>
              <w:right w:val="nil"/>
            </w:tcBorders>
            <w:tcMar>
              <w:top w:w="120" w:type="dxa"/>
              <w:left w:w="192" w:type="dxa"/>
              <w:bottom w:w="120" w:type="dxa"/>
              <w:right w:w="192" w:type="dxa"/>
            </w:tcMar>
          </w:tcPr>
          <w:p w14:paraId="7EEAE824"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27.2</w:t>
            </w:r>
          </w:p>
        </w:tc>
        <w:tc>
          <w:tcPr>
            <w:tcW w:w="1072" w:type="pct"/>
            <w:tcBorders>
              <w:top w:val="nil"/>
              <w:left w:val="nil"/>
              <w:bottom w:val="nil"/>
              <w:right w:val="nil"/>
            </w:tcBorders>
            <w:tcMar>
              <w:top w:w="120" w:type="dxa"/>
              <w:left w:w="192" w:type="dxa"/>
              <w:bottom w:w="120" w:type="dxa"/>
              <w:right w:w="192" w:type="dxa"/>
            </w:tcMar>
          </w:tcPr>
          <w:p w14:paraId="14D89E4C"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3.29</w:t>
            </w:r>
          </w:p>
        </w:tc>
        <w:tc>
          <w:tcPr>
            <w:tcW w:w="991" w:type="pct"/>
            <w:tcBorders>
              <w:top w:val="nil"/>
              <w:left w:val="nil"/>
              <w:bottom w:val="nil"/>
              <w:right w:val="nil"/>
            </w:tcBorders>
            <w:tcMar>
              <w:top w:w="120" w:type="dxa"/>
              <w:left w:w="192" w:type="dxa"/>
              <w:bottom w:w="120" w:type="dxa"/>
              <w:right w:w="-1" w:type="dxa"/>
            </w:tcMar>
          </w:tcPr>
          <w:p w14:paraId="553D8EC4"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20.9</w:t>
            </w:r>
          </w:p>
        </w:tc>
      </w:tr>
      <w:tr w:rsidR="00BD030E" w:rsidRPr="00D83A1F" w14:paraId="1508A411" w14:textId="77777777" w:rsidTr="008C261E">
        <w:trPr>
          <w:tblHeader/>
          <w:jc w:val="center"/>
        </w:trPr>
        <w:tc>
          <w:tcPr>
            <w:tcW w:w="874" w:type="pct"/>
            <w:tcBorders>
              <w:top w:val="nil"/>
              <w:left w:val="nil"/>
              <w:bottom w:val="single" w:sz="12" w:space="0" w:color="auto"/>
              <w:right w:val="nil"/>
            </w:tcBorders>
            <w:tcMar>
              <w:top w:w="120" w:type="dxa"/>
              <w:left w:w="-1" w:type="dxa"/>
              <w:bottom w:w="120" w:type="dxa"/>
              <w:right w:w="192" w:type="dxa"/>
            </w:tcMar>
          </w:tcPr>
          <w:p w14:paraId="12C89F59" w14:textId="77777777" w:rsidR="00BD030E" w:rsidRPr="00D83A1F" w:rsidRDefault="00000000" w:rsidP="008C261E">
            <w:pPr>
              <w:jc w:val="left"/>
              <w:rPr>
                <w:rFonts w:eastAsia="var(--dsw-font-markdown-table)" w:cs="Times New Roman"/>
              </w:rPr>
            </w:pPr>
            <w:r w:rsidRPr="00D83A1F">
              <w:rPr>
                <w:rFonts w:eastAsia="var(--dsw-font-markdown-table)" w:cs="Times New Roman"/>
                <w:kern w:val="0"/>
                <w:lang w:bidi="ar"/>
              </w:rPr>
              <w:t>Fu (%)</w:t>
            </w:r>
          </w:p>
        </w:tc>
        <w:tc>
          <w:tcPr>
            <w:tcW w:w="1072" w:type="pct"/>
            <w:tcBorders>
              <w:top w:val="nil"/>
              <w:left w:val="nil"/>
              <w:bottom w:val="single" w:sz="12" w:space="0" w:color="auto"/>
              <w:right w:val="nil"/>
            </w:tcBorders>
            <w:tcMar>
              <w:top w:w="120" w:type="dxa"/>
              <w:left w:w="192" w:type="dxa"/>
              <w:bottom w:w="120" w:type="dxa"/>
              <w:right w:w="192" w:type="dxa"/>
            </w:tcMar>
          </w:tcPr>
          <w:p w14:paraId="3595CCE2"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0.282</w:t>
            </w:r>
          </w:p>
        </w:tc>
        <w:tc>
          <w:tcPr>
            <w:tcW w:w="991" w:type="pct"/>
            <w:tcBorders>
              <w:top w:val="nil"/>
              <w:left w:val="nil"/>
              <w:bottom w:val="single" w:sz="12" w:space="0" w:color="auto"/>
              <w:right w:val="nil"/>
            </w:tcBorders>
            <w:tcMar>
              <w:top w:w="120" w:type="dxa"/>
              <w:left w:w="192" w:type="dxa"/>
              <w:bottom w:w="120" w:type="dxa"/>
              <w:right w:w="192" w:type="dxa"/>
            </w:tcMar>
          </w:tcPr>
          <w:p w14:paraId="4EE1D2BE"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7.73</w:t>
            </w:r>
          </w:p>
        </w:tc>
        <w:tc>
          <w:tcPr>
            <w:tcW w:w="1072" w:type="pct"/>
            <w:tcBorders>
              <w:top w:val="nil"/>
              <w:left w:val="nil"/>
              <w:bottom w:val="single" w:sz="12" w:space="0" w:color="auto"/>
              <w:right w:val="nil"/>
            </w:tcBorders>
            <w:tcMar>
              <w:top w:w="120" w:type="dxa"/>
              <w:left w:w="192" w:type="dxa"/>
              <w:bottom w:w="120" w:type="dxa"/>
              <w:right w:w="192" w:type="dxa"/>
            </w:tcMar>
          </w:tcPr>
          <w:p w14:paraId="485E984B"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0.139</w:t>
            </w:r>
          </w:p>
        </w:tc>
        <w:tc>
          <w:tcPr>
            <w:tcW w:w="991" w:type="pct"/>
            <w:tcBorders>
              <w:top w:val="nil"/>
              <w:left w:val="nil"/>
              <w:bottom w:val="single" w:sz="12" w:space="0" w:color="auto"/>
              <w:right w:val="nil"/>
            </w:tcBorders>
            <w:tcMar>
              <w:top w:w="120" w:type="dxa"/>
              <w:left w:w="192" w:type="dxa"/>
              <w:bottom w:w="120" w:type="dxa"/>
              <w:right w:w="-1" w:type="dxa"/>
            </w:tcMar>
          </w:tcPr>
          <w:p w14:paraId="700543D8" w14:textId="77777777" w:rsidR="00BD030E" w:rsidRPr="00D83A1F" w:rsidRDefault="00000000" w:rsidP="008C261E">
            <w:pPr>
              <w:jc w:val="center"/>
              <w:rPr>
                <w:rFonts w:eastAsia="var(--dsw-font-markdown-table)" w:cs="Times New Roman"/>
              </w:rPr>
            </w:pPr>
            <w:r w:rsidRPr="00D83A1F">
              <w:rPr>
                <w:rFonts w:eastAsia="var(--dsw-font-markdown-table)" w:cs="Times New Roman"/>
                <w:kern w:val="0"/>
                <w:lang w:bidi="ar"/>
              </w:rPr>
              <w:t>7.95</w:t>
            </w:r>
          </w:p>
        </w:tc>
      </w:tr>
    </w:tbl>
    <w:p w14:paraId="078AD78D" w14:textId="77777777" w:rsidR="00BD030E" w:rsidRPr="00D83A1F" w:rsidRDefault="00000000" w:rsidP="008C261E">
      <w:pPr>
        <w:rPr>
          <w:rFonts w:eastAsia="Segoe UI" w:cs="Times New Roman"/>
          <w:shd w:val="clear" w:color="auto" w:fill="FFFFFF"/>
        </w:rPr>
      </w:pPr>
      <w:r w:rsidRPr="00D83A1F">
        <w:rPr>
          <w:rFonts w:cs="Times New Roman"/>
          <w:noProof/>
        </w:rPr>
        <w:drawing>
          <wp:inline distT="0" distB="0" distL="0" distR="0" wp14:anchorId="6AB793A4" wp14:editId="1FA7E14F">
            <wp:extent cx="4888230" cy="975995"/>
            <wp:effectExtent l="0" t="0" r="1270" b="1905"/>
            <wp:docPr id="17607935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93544" name="图片 1"/>
                    <pic:cNvPicPr>
                      <a:picLocks noChangeAspect="1"/>
                    </pic:cNvPicPr>
                  </pic:nvPicPr>
                  <pic:blipFill>
                    <a:blip r:embed="rId6"/>
                    <a:stretch>
                      <a:fillRect/>
                    </a:stretch>
                  </pic:blipFill>
                  <pic:spPr>
                    <a:xfrm>
                      <a:off x="0" y="0"/>
                      <a:ext cx="4888230" cy="975995"/>
                    </a:xfrm>
                    <a:prstGeom prst="rect">
                      <a:avLst/>
                    </a:prstGeom>
                  </pic:spPr>
                </pic:pic>
              </a:graphicData>
            </a:graphic>
          </wp:inline>
        </w:drawing>
      </w:r>
    </w:p>
    <w:p w14:paraId="747BF89D" w14:textId="77777777" w:rsidR="00BD030E" w:rsidRPr="00D83A1F" w:rsidRDefault="00BD030E" w:rsidP="00D83A1F">
      <w:pPr>
        <w:rPr>
          <w:rFonts w:eastAsia="SimSun" w:cs="Times New Roman"/>
          <w:b/>
          <w:bCs/>
          <w:shd w:val="clear" w:color="auto" w:fill="FFFFFF"/>
        </w:rPr>
      </w:pPr>
    </w:p>
    <w:p w14:paraId="52FD884F" w14:textId="77777777" w:rsidR="00BD030E" w:rsidRPr="00D83A1F" w:rsidRDefault="00000000" w:rsidP="00D83A1F">
      <w:pPr>
        <w:rPr>
          <w:rFonts w:eastAsia="SimSun" w:cs="Times New Roman"/>
          <w:b/>
          <w:bCs/>
          <w:shd w:val="clear" w:color="auto" w:fill="FFFFFF"/>
        </w:rPr>
      </w:pPr>
      <w:r w:rsidRPr="00D83A1F">
        <w:rPr>
          <w:rFonts w:eastAsia="SimSun" w:cs="Times New Roman"/>
          <w:b/>
          <w:bCs/>
          <w:shd w:val="clear" w:color="auto" w:fill="FFFFFF"/>
        </w:rPr>
        <w:t>4. Discussion</w:t>
      </w:r>
    </w:p>
    <w:p w14:paraId="6363207B" w14:textId="71059301" w:rsidR="00BD030E" w:rsidRPr="00D83A1F" w:rsidRDefault="00000000" w:rsidP="00D83A1F">
      <w:pPr>
        <w:rPr>
          <w:rFonts w:cs="Times New Roman"/>
        </w:rPr>
      </w:pPr>
      <w:r w:rsidRPr="00D83A1F">
        <w:rPr>
          <w:rFonts w:eastAsia="Segoe UI" w:cs="Times New Roman"/>
          <w:shd w:val="clear" w:color="auto" w:fill="FFFFFF"/>
        </w:rPr>
        <w:t xml:space="preserve">The combination of zorifertinib and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represents a rationally designed strategy to maximize CNS drug exposure through complementary mechanisms: zorifertinib provides near-complete BBB penetration, ensuring reliable CNS delivery, while </w:t>
      </w:r>
      <w:proofErr w:type="spellStart"/>
      <w:r w:rsidRPr="00D83A1F">
        <w:rPr>
          <w:rFonts w:eastAsia="Segoe UI" w:cs="Times New Roman"/>
          <w:shd w:val="clear" w:color="auto" w:fill="FFFFFF"/>
        </w:rPr>
        <w:t>almonertinib</w:t>
      </w:r>
      <w:proofErr w:type="spellEnd"/>
      <w:r w:rsidRPr="00D83A1F">
        <w:rPr>
          <w:rFonts w:eastAsia="Segoe UI" w:cs="Times New Roman"/>
          <w:shd w:val="clear" w:color="auto" w:fill="FFFFFF"/>
        </w:rPr>
        <w:t xml:space="preserve"> contributes potent third-generation EGFR-TKI activity with moderate CNS penetration, potentially offering additive or synergistic efficacy against leptomeningeal tumor cells. However, pharmacokinetic data on this combination specifically in patients with LM are lacking. </w:t>
      </w:r>
      <w:r w:rsidRPr="00D83A1F">
        <w:rPr>
          <w:rFonts w:cs="Times New Roman"/>
        </w:rPr>
        <w:t xml:space="preserve">This two-case report provides the first pharmacokinetic characterization of combined zorifertinib and </w:t>
      </w:r>
      <w:proofErr w:type="spellStart"/>
      <w:r w:rsidRPr="00D83A1F">
        <w:rPr>
          <w:rFonts w:cs="Times New Roman"/>
        </w:rPr>
        <w:t>almonertinib</w:t>
      </w:r>
      <w:proofErr w:type="spellEnd"/>
      <w:r w:rsidRPr="00D83A1F">
        <w:rPr>
          <w:rFonts w:cs="Times New Roman"/>
        </w:rPr>
        <w:t xml:space="preserve"> therapy in LM </w:t>
      </w:r>
      <w:r w:rsidRPr="00D83A1F">
        <w:rPr>
          <w:rFonts w:cs="Times New Roman"/>
        </w:rPr>
        <w:lastRenderedPageBreak/>
        <w:t>patients using Ommaya reservoir-based CSF sampling</w:t>
      </w:r>
      <w:r w:rsidR="00FF10D7">
        <w:rPr>
          <w:rFonts w:cs="Times New Roman"/>
        </w:rPr>
        <w:t xml:space="preserve"> </w:t>
      </w:r>
      <w:r w:rsidRPr="00D83A1F">
        <w:rPr>
          <w:rFonts w:cs="Times New Roman"/>
          <w:vertAlign w:val="superscript"/>
        </w:rPr>
        <w:t>[12]</w:t>
      </w:r>
      <w:r w:rsidRPr="00D83A1F">
        <w:rPr>
          <w:rFonts w:cs="Times New Roman"/>
        </w:rPr>
        <w:t xml:space="preserve">. </w:t>
      </w:r>
    </w:p>
    <w:p w14:paraId="6CE1EA18" w14:textId="0CC83C4A" w:rsidR="00BD030E" w:rsidRPr="00D83A1F" w:rsidRDefault="00000000" w:rsidP="008C261E">
      <w:pPr>
        <w:ind w:firstLine="420"/>
        <w:rPr>
          <w:rFonts w:cs="Times New Roman"/>
        </w:rPr>
      </w:pPr>
      <w:r w:rsidRPr="00D83A1F">
        <w:rPr>
          <w:rFonts w:cs="Times New Roman"/>
        </w:rPr>
        <w:t xml:space="preserve">The elevated CSF-to-plasma unbound concentration ratios for </w:t>
      </w:r>
      <w:proofErr w:type="spellStart"/>
      <w:r w:rsidRPr="00D83A1F">
        <w:rPr>
          <w:rFonts w:cs="Times New Roman"/>
        </w:rPr>
        <w:t>almonertinib</w:t>
      </w:r>
      <w:proofErr w:type="spellEnd"/>
      <w:r w:rsidRPr="00D83A1F">
        <w:rPr>
          <w:rFonts w:cs="Times New Roman"/>
        </w:rPr>
        <w:t xml:space="preserve"> (2.14-4.91) exceeded the typical 0.8-1.2 range. This likely reflects blood-CSF barrier disruption and impaired active drug transport. Under normal physiological conditions, CSF drug concentrations do not substantially exceed their peripheral counterparts. However, given the low free fraction of </w:t>
      </w:r>
      <w:proofErr w:type="spellStart"/>
      <w:r w:rsidRPr="00D83A1F">
        <w:rPr>
          <w:rFonts w:cs="Times New Roman"/>
        </w:rPr>
        <w:t>almonertinib</w:t>
      </w:r>
      <w:proofErr w:type="spellEnd"/>
      <w:r w:rsidRPr="00D83A1F">
        <w:rPr>
          <w:rFonts w:cs="Times New Roman"/>
        </w:rPr>
        <w:t>, the proportion of unbound drug within the CSF remains to be clarified in further investigations. Zorifertinib maintained CSF-to-plasma unbound ratios of 0.81–0.94, consistent with its unique property of near-complete BBB penetration. This property, attributed to its Fu of 5.63% and 6.44% and non-substrate status for P-</w:t>
      </w:r>
      <w:proofErr w:type="spellStart"/>
      <w:r w:rsidRPr="00D83A1F">
        <w:rPr>
          <w:rFonts w:cs="Times New Roman"/>
        </w:rPr>
        <w:t>gp</w:t>
      </w:r>
      <w:proofErr w:type="spellEnd"/>
      <w:r w:rsidRPr="00D83A1F">
        <w:rPr>
          <w:rFonts w:cs="Times New Roman"/>
        </w:rPr>
        <w:t xml:space="preserve"> and BCRP efflux transporters, ensures consistent CNS drug exposure regardless of barrier integrity </w:t>
      </w:r>
      <w:r w:rsidRPr="00D83A1F">
        <w:rPr>
          <w:rFonts w:cs="Times New Roman"/>
          <w:vertAlign w:val="superscript"/>
        </w:rPr>
        <w:t>[7]</w:t>
      </w:r>
      <w:r w:rsidRPr="00D83A1F">
        <w:rPr>
          <w:rFonts w:cs="Times New Roman"/>
        </w:rPr>
        <w:t xml:space="preserve">. In the responding patient (Z006), adequate zorifertinib exposure was associated with progressive reduction and eventual normalization of CSF malignant cell counts, supporting the correlation between therapeutic drug levels and cytological response.   </w:t>
      </w:r>
    </w:p>
    <w:p w14:paraId="31DE8BA3" w14:textId="64F9C7D5" w:rsidR="00BD030E" w:rsidRPr="00D83A1F" w:rsidRDefault="00000000" w:rsidP="008C261E">
      <w:pPr>
        <w:ind w:firstLine="420"/>
        <w:rPr>
          <w:rFonts w:cs="Times New Roman"/>
        </w:rPr>
      </w:pPr>
      <w:bookmarkStart w:id="1" w:name="OLE_LINK1"/>
      <w:r w:rsidRPr="00D83A1F">
        <w:rPr>
          <w:rFonts w:cs="Times New Roman"/>
        </w:rPr>
        <w:t xml:space="preserve">All CSF samples were obtained via Ommaya reservoir, which enabled reliable, repeated ventricular CSF sampling with minimal procedural variability </w:t>
      </w:r>
      <w:r w:rsidRPr="00D83A1F">
        <w:rPr>
          <w:rFonts w:cs="Times New Roman"/>
          <w:vertAlign w:val="superscript"/>
        </w:rPr>
        <w:t>[10]</w:t>
      </w:r>
      <w:r w:rsidRPr="00D83A1F">
        <w:rPr>
          <w:rFonts w:cs="Times New Roman"/>
        </w:rPr>
        <w:t>. Importantly, consistent concordance was observed between MRI results, cerebrospinal fluid cytology and neurological manifestations in both patients, demonstrating that multimodal assessment combining neurological examination, CSF testing and imaging enables more refined clinical management of patients with leptomeningeal metastasis</w:t>
      </w:r>
      <w:r w:rsidR="00EE3908">
        <w:rPr>
          <w:rFonts w:cs="Times New Roman"/>
        </w:rPr>
        <w:t xml:space="preserve"> </w:t>
      </w:r>
      <w:r w:rsidRPr="00D83A1F">
        <w:rPr>
          <w:rFonts w:cs="Times New Roman"/>
          <w:vertAlign w:val="superscript"/>
        </w:rPr>
        <w:t>[11]</w:t>
      </w:r>
      <w:r w:rsidRPr="00D83A1F">
        <w:rPr>
          <w:rFonts w:cs="Times New Roman"/>
        </w:rPr>
        <w:t>. Both patients maintained stable intracranial and extracranial lesions, which indicates that the efficacy of combination therapy exhibits central nervous system-specific characteristics and is associated with multiple factors including drug penetration, intrinsic tumor biology, and resistance mechanisms. Resistance alterations such as MET amplification and C797 mutations frequently emerge in patients with leptomeningeal metastasis who progress on EGFR-TKIs, which can be further validated via cerebrospinal fluid-based genetic sequencing in future studies.</w:t>
      </w:r>
    </w:p>
    <w:bookmarkEnd w:id="1"/>
    <w:p w14:paraId="419FBBDD" w14:textId="77777777" w:rsidR="00BD030E" w:rsidRPr="00D83A1F" w:rsidRDefault="00000000" w:rsidP="008C261E">
      <w:pPr>
        <w:ind w:firstLine="420"/>
        <w:rPr>
          <w:rFonts w:cs="Times New Roman"/>
        </w:rPr>
      </w:pPr>
      <w:r w:rsidRPr="00D83A1F">
        <w:rPr>
          <w:rFonts w:cs="Times New Roman"/>
        </w:rPr>
        <w:t>Several limitations warrant acknowledgment: the absence of precise drug administration-to-sampling time intervals, small sample size (n=2), lack of P-</w:t>
      </w:r>
      <w:proofErr w:type="spellStart"/>
      <w:r w:rsidRPr="00D83A1F">
        <w:rPr>
          <w:rFonts w:cs="Times New Roman"/>
        </w:rPr>
        <w:t>gp</w:t>
      </w:r>
      <w:proofErr w:type="spellEnd"/>
      <w:r w:rsidRPr="00D83A1F">
        <w:rPr>
          <w:rFonts w:cs="Times New Roman"/>
        </w:rPr>
        <w:t>/BCRP expression data, and short follow-up (5–6 months). The CSF total concentration was used as a surrogate for unbound CSF concentration, assuming negligible CSF protein binding—a reasonable approximation requiring future verification.</w:t>
      </w:r>
    </w:p>
    <w:p w14:paraId="27F6EA59" w14:textId="77777777" w:rsidR="00BD030E" w:rsidRPr="00D83A1F" w:rsidRDefault="00BD030E" w:rsidP="008C261E">
      <w:pPr>
        <w:rPr>
          <w:rFonts w:eastAsia="var(--dsw-font-markdown-h2)" w:cs="Times New Roman"/>
          <w:shd w:val="clear" w:color="auto" w:fill="FFFFFF"/>
        </w:rPr>
      </w:pPr>
    </w:p>
    <w:p w14:paraId="468922BC" w14:textId="77777777" w:rsidR="00BD030E" w:rsidRPr="008C261E" w:rsidRDefault="00000000" w:rsidP="008C261E">
      <w:pPr>
        <w:rPr>
          <w:rFonts w:eastAsia="var(--dsw-font-markdown-h2)" w:cs="Times New Roman"/>
          <w:b/>
          <w:bCs/>
        </w:rPr>
      </w:pPr>
      <w:r w:rsidRPr="008C261E">
        <w:rPr>
          <w:rFonts w:cs="Times New Roman"/>
          <w:b/>
          <w:bCs/>
          <w:shd w:val="clear" w:color="auto" w:fill="FFFFFF"/>
        </w:rPr>
        <w:t xml:space="preserve">5. </w:t>
      </w:r>
      <w:r w:rsidRPr="008C261E">
        <w:rPr>
          <w:rFonts w:eastAsia="var(--dsw-font-markdown-h2)" w:cs="Times New Roman"/>
          <w:b/>
          <w:bCs/>
          <w:shd w:val="clear" w:color="auto" w:fill="FFFFFF"/>
        </w:rPr>
        <w:t>Conclusion</w:t>
      </w:r>
    </w:p>
    <w:p w14:paraId="16066E4D" w14:textId="77777777" w:rsidR="00BD030E" w:rsidRPr="00D83A1F" w:rsidRDefault="00000000" w:rsidP="00D83A1F">
      <w:pPr>
        <w:rPr>
          <w:rFonts w:cs="Times New Roman"/>
        </w:rPr>
      </w:pPr>
      <w:r w:rsidRPr="00D83A1F">
        <w:rPr>
          <w:rFonts w:cs="Times New Roman"/>
        </w:rPr>
        <w:t xml:space="preserve">In this two-case report, zorifertinib achieved stable and nearly complete penetration into cerebrospinal fluid (CSF), achieving roughly consistent drug concentrations intracranially and extracranially. The consistent concordance between MRI scans, CSF examinations, neurological evaluations, and ex vivo ALI culture assays </w:t>
      </w:r>
      <w:proofErr w:type="gramStart"/>
      <w:r w:rsidRPr="00D83A1F">
        <w:rPr>
          <w:rFonts w:cs="Times New Roman"/>
        </w:rPr>
        <w:t>indicates</w:t>
      </w:r>
      <w:proofErr w:type="gramEnd"/>
      <w:r w:rsidRPr="00D83A1F">
        <w:rPr>
          <w:rFonts w:cs="Times New Roman"/>
        </w:rPr>
        <w:t xml:space="preserve"> that this dual-TKI combination regimen can produce durable intracranial disease control. Multimodal monitoring based on Ommaya reservoirs helps accurately evaluate intracranial lesions and track treatment response, further validating the important clinical value of therapeutic drug monitoring for patients with leptomeningeal metastasis.</w:t>
      </w:r>
    </w:p>
    <w:p w14:paraId="0FC237F3" w14:textId="77777777" w:rsidR="00BD030E" w:rsidRPr="00D83A1F" w:rsidRDefault="00BD030E" w:rsidP="00D83A1F">
      <w:pPr>
        <w:rPr>
          <w:rFonts w:cs="Times New Roman"/>
        </w:rPr>
      </w:pPr>
    </w:p>
    <w:p w14:paraId="28E90CB1" w14:textId="77777777" w:rsidR="00BD030E" w:rsidRPr="00D83A1F" w:rsidRDefault="00000000" w:rsidP="008C261E">
      <w:pPr>
        <w:rPr>
          <w:rFonts w:cs="Times New Roman"/>
          <w:b/>
          <w:bCs/>
        </w:rPr>
      </w:pPr>
      <w:bookmarkStart w:id="2" w:name="_Hlk181689731"/>
      <w:r w:rsidRPr="00D83A1F">
        <w:rPr>
          <w:rFonts w:cs="Times New Roman"/>
          <w:b/>
          <w:bCs/>
        </w:rPr>
        <w:t>Disclosure statement</w:t>
      </w:r>
    </w:p>
    <w:p w14:paraId="0F98AA9C" w14:textId="77777777" w:rsidR="00BD030E" w:rsidRPr="00D83A1F" w:rsidRDefault="00000000" w:rsidP="008C261E">
      <w:pPr>
        <w:rPr>
          <w:rFonts w:cs="Times New Roman"/>
        </w:rPr>
      </w:pPr>
      <w:r w:rsidRPr="00D83A1F">
        <w:rPr>
          <w:rFonts w:cs="Times New Roman"/>
        </w:rPr>
        <w:t xml:space="preserve">The authors declare no conflict of interest. </w:t>
      </w:r>
    </w:p>
    <w:bookmarkEnd w:id="2"/>
    <w:p w14:paraId="6ED5E102" w14:textId="77777777" w:rsidR="00BD030E" w:rsidRPr="00D83A1F" w:rsidRDefault="00BD030E" w:rsidP="00D83A1F">
      <w:pPr>
        <w:rPr>
          <w:rFonts w:cs="Times New Roman"/>
        </w:rPr>
      </w:pPr>
    </w:p>
    <w:p w14:paraId="1E260EBA" w14:textId="77777777" w:rsidR="00BD030E" w:rsidRDefault="00000000" w:rsidP="00D83A1F">
      <w:pPr>
        <w:rPr>
          <w:rFonts w:eastAsia="var(--dsw-font-markdown-h2)" w:cs="Times New Roman"/>
          <w:b/>
          <w:bCs/>
          <w:shd w:val="clear" w:color="auto" w:fill="FFFFFF"/>
        </w:rPr>
      </w:pPr>
      <w:r w:rsidRPr="008C261E">
        <w:rPr>
          <w:rFonts w:eastAsia="var(--dsw-font-markdown-h2)" w:cs="Times New Roman"/>
          <w:b/>
          <w:bCs/>
          <w:shd w:val="clear" w:color="auto" w:fill="FFFFFF"/>
        </w:rPr>
        <w:t>References</w:t>
      </w:r>
    </w:p>
    <w:p w14:paraId="0B33B75E" w14:textId="1476AA4C" w:rsidR="00D83A1F" w:rsidRDefault="00D83A1F" w:rsidP="00D83A1F">
      <w:pPr>
        <w:ind w:left="454" w:hanging="454"/>
      </w:pPr>
      <w:bookmarkStart w:id="3" w:name="_Hlk185327419"/>
      <w:r>
        <w:t>[1]</w:t>
      </w:r>
      <w:r>
        <w:tab/>
      </w:r>
      <w:r>
        <w:t>Remon J, Le Rhun E, Besse B, 2017, Leptomeningeal Carcinomatosis in Non-Small Cell Lung Cancer Patients: A Continuing Challenge in the Personalized Treatment Era. Cancer Treat Rev, 53: 128–137.</w:t>
      </w:r>
    </w:p>
    <w:p w14:paraId="6F408D3F" w14:textId="1174C26F" w:rsidR="00D83A1F" w:rsidRDefault="00D83A1F" w:rsidP="00D83A1F">
      <w:pPr>
        <w:ind w:left="454" w:hanging="454"/>
      </w:pPr>
      <w:r>
        <w:t>[2]</w:t>
      </w:r>
      <w:r>
        <w:tab/>
      </w:r>
      <w:r>
        <w:t xml:space="preserve">Lin G, Wang Y, Xin T, </w:t>
      </w:r>
      <w:r>
        <w:t>et al.</w:t>
      </w:r>
      <w:r>
        <w:t xml:space="preserve">, 2025, Chinese Expert Consensus on Leptomeningeal Metastases of Lung Cancer. </w:t>
      </w:r>
      <w:proofErr w:type="spellStart"/>
      <w:r>
        <w:t>Thorac</w:t>
      </w:r>
      <w:proofErr w:type="spellEnd"/>
      <w:r>
        <w:t xml:space="preserve"> Cancer, 16(11): e70088.</w:t>
      </w:r>
    </w:p>
    <w:p w14:paraId="76F0FDB6" w14:textId="443FE2A2" w:rsidR="00D83A1F" w:rsidRDefault="00D83A1F" w:rsidP="00D83A1F">
      <w:pPr>
        <w:ind w:left="454" w:hanging="454"/>
      </w:pPr>
      <w:r>
        <w:t>[3]</w:t>
      </w:r>
      <w:r>
        <w:tab/>
      </w:r>
      <w:r>
        <w:t xml:space="preserve">Cheng H, Perez-Soler R, 2018, Leptomeningeal Metastases in Non-Small-Cell Lung Cancer. </w:t>
      </w:r>
      <w:r>
        <w:lastRenderedPageBreak/>
        <w:t>Lancet Oncol, 19(1): e43–e55.</w:t>
      </w:r>
    </w:p>
    <w:p w14:paraId="007238C1" w14:textId="221815D5" w:rsidR="00D83A1F" w:rsidRDefault="00D83A1F" w:rsidP="00D83A1F">
      <w:pPr>
        <w:ind w:left="454" w:hanging="454"/>
      </w:pPr>
      <w:r>
        <w:t>[4]</w:t>
      </w:r>
      <w:r>
        <w:tab/>
      </w:r>
      <w:r>
        <w:t xml:space="preserve">Piper-Vallillo AJ, </w:t>
      </w:r>
      <w:proofErr w:type="spellStart"/>
      <w:r>
        <w:t>Rotow</w:t>
      </w:r>
      <w:proofErr w:type="spellEnd"/>
      <w:r>
        <w:t xml:space="preserve"> JK, </w:t>
      </w:r>
      <w:proofErr w:type="spellStart"/>
      <w:r>
        <w:t>Aredo</w:t>
      </w:r>
      <w:proofErr w:type="spellEnd"/>
      <w:r>
        <w:t xml:space="preserve"> JV, </w:t>
      </w:r>
      <w:r>
        <w:t>et al.</w:t>
      </w:r>
      <w:r>
        <w:t>, 2022, High-Dose Osimertinib for CNS Progression in EGFR+ NSCLC: A Multi-Institutional Experience. JTO Clin Res Rep, 3(6): 100328.</w:t>
      </w:r>
    </w:p>
    <w:p w14:paraId="1C8BC5E7" w14:textId="7D9AB237" w:rsidR="00D83A1F" w:rsidRDefault="00D83A1F" w:rsidP="00D83A1F">
      <w:pPr>
        <w:ind w:left="454" w:hanging="454"/>
      </w:pPr>
      <w:r>
        <w:t>[5]</w:t>
      </w:r>
      <w:r>
        <w:tab/>
      </w:r>
      <w:r>
        <w:t xml:space="preserve">Rodier T, </w:t>
      </w:r>
      <w:proofErr w:type="spellStart"/>
      <w:r>
        <w:t>Puszkiel</w:t>
      </w:r>
      <w:proofErr w:type="spellEnd"/>
      <w:r>
        <w:t xml:space="preserve"> A, Cardoso E, Balakirouchenane D, </w:t>
      </w:r>
      <w:r>
        <w:t>et al.</w:t>
      </w:r>
      <w:r>
        <w:t>, 2022, Exposure-Response Analysis of Osimertinib in Patients with Advanced Non-Small-Cell Lung Cancer. Pharmaceutics, 14(9): 1844.</w:t>
      </w:r>
    </w:p>
    <w:p w14:paraId="163651BB" w14:textId="553CB65C" w:rsidR="00D83A1F" w:rsidRDefault="00D83A1F" w:rsidP="00D83A1F">
      <w:pPr>
        <w:ind w:left="454" w:hanging="454"/>
      </w:pPr>
      <w:r>
        <w:t>[6]</w:t>
      </w:r>
      <w:r>
        <w:tab/>
      </w:r>
      <w:r>
        <w:t xml:space="preserve">Yang JCH, Kim SW, Kim DW, </w:t>
      </w:r>
      <w:r>
        <w:t>et al.</w:t>
      </w:r>
      <w:r>
        <w:t xml:space="preserve">, 2020, Osimertinib in Patients </w:t>
      </w:r>
      <w:proofErr w:type="gramStart"/>
      <w:r>
        <w:t>With</w:t>
      </w:r>
      <w:proofErr w:type="gramEnd"/>
      <w:r>
        <w:t xml:space="preserve"> Epidermal Growth Factor Receptor Mutation-Positive Non-Small-Cell Lung Cancer and Leptomeningeal Metastases: The BLOOM Study. J Clin Oncol, 38(6): 538–547.</w:t>
      </w:r>
    </w:p>
    <w:p w14:paraId="7C8E6A4C" w14:textId="7E17AD65" w:rsidR="00D83A1F" w:rsidRDefault="00D83A1F" w:rsidP="00D83A1F">
      <w:pPr>
        <w:ind w:left="454" w:hanging="454"/>
      </w:pPr>
      <w:r>
        <w:t>[7]</w:t>
      </w:r>
      <w:r>
        <w:tab/>
      </w:r>
      <w:r>
        <w:t xml:space="preserve">Yang Z, Guo Q, Wang Y, </w:t>
      </w:r>
      <w:r>
        <w:t>et al.</w:t>
      </w:r>
      <w:r>
        <w:t xml:space="preserve">, 2016, AZD3759, a BBB-Penetrating EGFR Inhibitor for the Treatment of EGFR Mutant NSCLC with CNS Metastases. Sci </w:t>
      </w:r>
      <w:proofErr w:type="spellStart"/>
      <w:r>
        <w:t>Transl</w:t>
      </w:r>
      <w:proofErr w:type="spellEnd"/>
      <w:r>
        <w:t xml:space="preserve"> Med, 8(368): 368ra172.</w:t>
      </w:r>
    </w:p>
    <w:p w14:paraId="17E9ED05" w14:textId="39B73048" w:rsidR="00D83A1F" w:rsidRDefault="00D83A1F" w:rsidP="00D83A1F">
      <w:pPr>
        <w:ind w:left="454" w:hanging="454"/>
      </w:pPr>
      <w:r>
        <w:t>[8]</w:t>
      </w:r>
      <w:r>
        <w:tab/>
      </w:r>
      <w:r>
        <w:t xml:space="preserve">Zhou Q, Yu Y, Xing L, </w:t>
      </w:r>
      <w:r>
        <w:t>et al.</w:t>
      </w:r>
      <w:r>
        <w:t>, 2025, First Line Zorifertinib for EGFR Mutant Non-Small Cell Lung Cancer with Central Nervous System Metastases: The Phase 3 EVEREST Trial. Med, 6(1): 100513.</w:t>
      </w:r>
    </w:p>
    <w:p w14:paraId="3C40A474" w14:textId="335C2500" w:rsidR="00D83A1F" w:rsidRDefault="00D83A1F" w:rsidP="00D83A1F">
      <w:pPr>
        <w:ind w:left="454" w:hanging="454"/>
      </w:pPr>
      <w:r>
        <w:t>[9]</w:t>
      </w:r>
      <w:r>
        <w:tab/>
      </w:r>
      <w:r>
        <w:t xml:space="preserve">Lu S, Dong X, Jian H, et al., 2022, AENEAS: A Randomized Phase III Trial of </w:t>
      </w:r>
      <w:proofErr w:type="spellStart"/>
      <w:r>
        <w:t>Aumolertinib</w:t>
      </w:r>
      <w:proofErr w:type="spellEnd"/>
      <w:r>
        <w:t xml:space="preserve"> Versus Gefitinib as First-Line Therapy for Locally Advanced or Metastatic Non-Small-Cell Lung Cancer </w:t>
      </w:r>
      <w:proofErr w:type="gramStart"/>
      <w:r>
        <w:t>With</w:t>
      </w:r>
      <w:proofErr w:type="gramEnd"/>
      <w:r>
        <w:t xml:space="preserve"> EGFR Exon 19 Deletion or L858R Mutations. J Clin Oncol, 40(27): 3162–3171.</w:t>
      </w:r>
    </w:p>
    <w:p w14:paraId="53913B34" w14:textId="034E79D9" w:rsidR="00D83A1F" w:rsidRDefault="00D83A1F" w:rsidP="00D83A1F">
      <w:pPr>
        <w:ind w:left="454" w:hanging="454"/>
      </w:pPr>
      <w:r>
        <w:t>[10]</w:t>
      </w:r>
      <w:r>
        <w:tab/>
      </w:r>
      <w:r>
        <w:t xml:space="preserve">Sandberg DI, Bilsky MH, </w:t>
      </w:r>
      <w:proofErr w:type="spellStart"/>
      <w:r>
        <w:t>Souweidane</w:t>
      </w:r>
      <w:proofErr w:type="spellEnd"/>
      <w:r>
        <w:t xml:space="preserve"> MM, </w:t>
      </w:r>
      <w:r>
        <w:t>et al.</w:t>
      </w:r>
      <w:r>
        <w:t>, 2000, Ommaya Reservoirs for the Treatment of Leptomeningeal Metastases. Neurosurgery, 47(1): 49–54; discussion 54–55.</w:t>
      </w:r>
    </w:p>
    <w:p w14:paraId="5CD5FBC2" w14:textId="5583E2AF" w:rsidR="00D83A1F" w:rsidRDefault="00D83A1F" w:rsidP="00D83A1F">
      <w:pPr>
        <w:ind w:left="454" w:hanging="454"/>
      </w:pPr>
      <w:r>
        <w:t>[11]</w:t>
      </w:r>
      <w:r>
        <w:tab/>
      </w:r>
      <w:r>
        <w:t xml:space="preserve">Le Rhun E, Devos P, </w:t>
      </w:r>
      <w:proofErr w:type="spellStart"/>
      <w:r>
        <w:t>Winklhofer</w:t>
      </w:r>
      <w:proofErr w:type="spellEnd"/>
      <w:r>
        <w:t xml:space="preserve"> S, et al., 2022, Prospective Validation of a New Imaging Scorecard to Assess Leptomeningeal Metastasis: A Joint EORTC BTG and RANO Effort. Neuro Oncol, 24(10): 1726–1735.</w:t>
      </w:r>
    </w:p>
    <w:p w14:paraId="013E9725" w14:textId="3DFB39CF" w:rsidR="00D83A1F" w:rsidRDefault="00D83A1F" w:rsidP="00D83A1F">
      <w:pPr>
        <w:ind w:left="454" w:hanging="454"/>
      </w:pPr>
      <w:r>
        <w:t>[12]</w:t>
      </w:r>
      <w:r>
        <w:tab/>
      </w:r>
      <w:r>
        <w:t xml:space="preserve">Wang Y, Yang X, Li NJ, </w:t>
      </w:r>
      <w:r>
        <w:t>et al.</w:t>
      </w:r>
      <w:r>
        <w:t>, 2022, Leptomeningeal Metastases in Non-Small Cell Lung Cancer: Diagnosis and Treatment. Lung Cancer, 174: 1–13.</w:t>
      </w:r>
    </w:p>
    <w:p w14:paraId="2B26000F" w14:textId="77777777" w:rsidR="00D83A1F" w:rsidRDefault="00D83A1F" w:rsidP="00D83A1F"/>
    <w:p w14:paraId="6BDD183D" w14:textId="77777777" w:rsidR="00D83A1F" w:rsidRDefault="00D83A1F" w:rsidP="00D83A1F">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1BF7BF5E" w14:textId="77777777" w:rsidR="00D83A1F" w:rsidRDefault="00D83A1F" w:rsidP="00D83A1F">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3"/>
    <w:p w14:paraId="2FAFF47B" w14:textId="77777777" w:rsidR="00D83A1F" w:rsidRDefault="00D83A1F" w:rsidP="00D83A1F">
      <w:pPr>
        <w:rPr>
          <w:rFonts w:eastAsia="var(--dsw-font-markdown-h2)" w:cs="Times New Roman"/>
          <w:b/>
          <w:bCs/>
          <w:shd w:val="clear" w:color="auto" w:fill="FFFFFF"/>
        </w:rPr>
      </w:pPr>
    </w:p>
    <w:p w14:paraId="552CDAF1" w14:textId="77777777" w:rsidR="00BD030E" w:rsidRPr="00D83A1F" w:rsidRDefault="00BD030E" w:rsidP="00D83A1F">
      <w:pPr>
        <w:rPr>
          <w:rFonts w:cs="Times New Roman"/>
        </w:rPr>
      </w:pPr>
    </w:p>
    <w:sectPr w:rsidR="00BD030E" w:rsidRPr="00D83A1F" w:rsidSect="008C261E">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240F48A-8F72-48D6-9ADC-621083CC3038}"/>
    <w:embedBold r:id="rId2" w:fontKey="{2BA5E892-1E05-4A4C-A379-C9912C7BE29F}"/>
    <w:embedItalic r:id="rId3" w:fontKey="{474B9A8F-BCB2-4130-9691-F985CC8BE2C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B139A2D3-68CD-4C16-BCB0-65E35B416891}"/>
    <w:embedBold r:id="rId5" w:fontKey="{E9D3059F-2DE8-49AC-843E-7700D61286EF}"/>
  </w:font>
  <w:font w:name="var(--dsw-font-markdown-h2)">
    <w:altName w:val="Segoe Print"/>
    <w:charset w:val="00"/>
    <w:family w:val="auto"/>
    <w:pitch w:val="default"/>
    <w:embedRegular r:id="rId6" w:fontKey="{9216B7D1-09B2-4D49-B717-123E28359204}"/>
    <w:embedBold r:id="rId7" w:fontKey="{8307AD95-B2EC-4104-A1C2-FD81E2DBF1FE}"/>
  </w:font>
  <w:font w:name="Segoe UI">
    <w:panose1 w:val="020B0502040204020203"/>
    <w:charset w:val="00"/>
    <w:family w:val="swiss"/>
    <w:pitch w:val="variable"/>
    <w:sig w:usb0="E4002EFF" w:usb1="C000E47F" w:usb2="00000009" w:usb3="00000000" w:csb0="000001FF" w:csb1="00000000"/>
    <w:embedRegular r:id="rId8" w:fontKey="{B160964A-ACB5-4EFC-BF03-5AE2FF4AA8A2}"/>
    <w:embedBold r:id="rId9" w:fontKey="{3B52C42D-24EA-478E-9478-DE42959363BD}"/>
    <w:embedItalic r:id="rId10" w:fontKey="{CB4B0EBE-660B-4AB7-9F57-28CD8B245037}"/>
  </w:font>
  <w:font w:name="var(--dsw-font-markdown-h3)">
    <w:altName w:val="Segoe Print"/>
    <w:charset w:val="00"/>
    <w:family w:val="auto"/>
    <w:pitch w:val="default"/>
    <w:embedRegular r:id="rId11" w:fontKey="{F1D6CE22-8039-47C7-B2C5-CAA5B2D06B79}"/>
    <w:embedBold r:id="rId12" w:fontKey="{C74ED029-4204-4DF0-A6D1-C9F26851EA25}"/>
  </w:font>
  <w:font w:name="Microsoft YaHei">
    <w:panose1 w:val="020B0503020204020204"/>
    <w:charset w:val="86"/>
    <w:family w:val="swiss"/>
    <w:pitch w:val="variable"/>
    <w:sig w:usb0="80000287" w:usb1="2ACF3C50" w:usb2="00000016" w:usb3="00000000" w:csb0="0004001F" w:csb1="00000000"/>
  </w:font>
  <w:font w:name="var(--dsw-font-markdown-table-h">
    <w:altName w:val="Segoe Print"/>
    <w:charset w:val="00"/>
    <w:family w:val="auto"/>
    <w:pitch w:val="default"/>
    <w:embedBold r:id="rId13" w:fontKey="{E2A76773-B695-4F6A-B403-7B89F989CCA8}"/>
  </w:font>
  <w:font w:name="var(--dsw-font-markdown-table)">
    <w:altName w:val="Segoe Print"/>
    <w:charset w:val="00"/>
    <w:family w:val="auto"/>
    <w:pitch w:val="default"/>
    <w:embedRegular r:id="rId14" w:fontKey="{16205173-1E02-429A-A5C0-6D3D2D03DD5D}"/>
    <w:embedBold r:id="rId15" w:fontKey="{135F7B3A-DCA2-42C2-B999-E424E86BF63A}"/>
  </w:font>
  <w:font w:name="Calibri Light">
    <w:panose1 w:val="020F0302020204030204"/>
    <w:charset w:val="00"/>
    <w:family w:val="swiss"/>
    <w:pitch w:val="variable"/>
    <w:sig w:usb0="E4002EFF" w:usb1="C200247B" w:usb2="00000009" w:usb3="00000000" w:csb0="000001FF" w:csb1="00000000"/>
    <w:embedRegular r:id="rId16" w:fontKey="{2AA849BB-3434-4D3A-8B45-D8D1D98F9C1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A1C1754"/>
    <w:rsid w:val="00003585"/>
    <w:rsid w:val="00003C7B"/>
    <w:rsid w:val="00031CFA"/>
    <w:rsid w:val="00036D08"/>
    <w:rsid w:val="00085BF1"/>
    <w:rsid w:val="000B7296"/>
    <w:rsid w:val="001148DC"/>
    <w:rsid w:val="00195643"/>
    <w:rsid w:val="001A5B47"/>
    <w:rsid w:val="00225D13"/>
    <w:rsid w:val="00227CC5"/>
    <w:rsid w:val="00237A00"/>
    <w:rsid w:val="0025323F"/>
    <w:rsid w:val="00285A8D"/>
    <w:rsid w:val="00285BD7"/>
    <w:rsid w:val="002D7EDD"/>
    <w:rsid w:val="002E6A8B"/>
    <w:rsid w:val="002F6171"/>
    <w:rsid w:val="00311777"/>
    <w:rsid w:val="0037121C"/>
    <w:rsid w:val="00387899"/>
    <w:rsid w:val="003F1B03"/>
    <w:rsid w:val="004248E9"/>
    <w:rsid w:val="004747A0"/>
    <w:rsid w:val="004A142C"/>
    <w:rsid w:val="004A1F0E"/>
    <w:rsid w:val="00576847"/>
    <w:rsid w:val="00592DFA"/>
    <w:rsid w:val="005C71FF"/>
    <w:rsid w:val="005D50FE"/>
    <w:rsid w:val="006325BE"/>
    <w:rsid w:val="006C5A39"/>
    <w:rsid w:val="007214B9"/>
    <w:rsid w:val="0073370B"/>
    <w:rsid w:val="00792BE8"/>
    <w:rsid w:val="007F4844"/>
    <w:rsid w:val="008C261E"/>
    <w:rsid w:val="009B04D8"/>
    <w:rsid w:val="009D1BAF"/>
    <w:rsid w:val="009E0D49"/>
    <w:rsid w:val="00A11BA9"/>
    <w:rsid w:val="00A156F6"/>
    <w:rsid w:val="00A2752C"/>
    <w:rsid w:val="00A27C08"/>
    <w:rsid w:val="00A470BB"/>
    <w:rsid w:val="00AF1E36"/>
    <w:rsid w:val="00B13906"/>
    <w:rsid w:val="00B33287"/>
    <w:rsid w:val="00B826E3"/>
    <w:rsid w:val="00BC78C5"/>
    <w:rsid w:val="00BD030E"/>
    <w:rsid w:val="00C414B3"/>
    <w:rsid w:val="00C44E73"/>
    <w:rsid w:val="00CB389A"/>
    <w:rsid w:val="00CC0573"/>
    <w:rsid w:val="00D40DAD"/>
    <w:rsid w:val="00D709AA"/>
    <w:rsid w:val="00D83A1F"/>
    <w:rsid w:val="00DB6800"/>
    <w:rsid w:val="00E20681"/>
    <w:rsid w:val="00E30734"/>
    <w:rsid w:val="00EA5F65"/>
    <w:rsid w:val="00EC1305"/>
    <w:rsid w:val="00EE3908"/>
    <w:rsid w:val="00F41582"/>
    <w:rsid w:val="00F70134"/>
    <w:rsid w:val="00F821A6"/>
    <w:rsid w:val="00FF10D7"/>
    <w:rsid w:val="04D8694E"/>
    <w:rsid w:val="05962A91"/>
    <w:rsid w:val="06071298"/>
    <w:rsid w:val="08585DDB"/>
    <w:rsid w:val="0B994E16"/>
    <w:rsid w:val="0C0571ED"/>
    <w:rsid w:val="0EB949B3"/>
    <w:rsid w:val="10195736"/>
    <w:rsid w:val="102F7D69"/>
    <w:rsid w:val="104E5D16"/>
    <w:rsid w:val="129245E0"/>
    <w:rsid w:val="13310DB3"/>
    <w:rsid w:val="142676D5"/>
    <w:rsid w:val="14A8633C"/>
    <w:rsid w:val="184C5231"/>
    <w:rsid w:val="199724DC"/>
    <w:rsid w:val="19CC6629"/>
    <w:rsid w:val="1AB86BAD"/>
    <w:rsid w:val="1B813443"/>
    <w:rsid w:val="1BA11DBE"/>
    <w:rsid w:val="1D532BBD"/>
    <w:rsid w:val="1DA82F09"/>
    <w:rsid w:val="1EE24A39"/>
    <w:rsid w:val="20B8113C"/>
    <w:rsid w:val="2187050F"/>
    <w:rsid w:val="222D60D3"/>
    <w:rsid w:val="23827D58"/>
    <w:rsid w:val="246758CC"/>
    <w:rsid w:val="25096983"/>
    <w:rsid w:val="25341526"/>
    <w:rsid w:val="25C24D84"/>
    <w:rsid w:val="25FA2F5D"/>
    <w:rsid w:val="28355CE1"/>
    <w:rsid w:val="286640ED"/>
    <w:rsid w:val="289724F8"/>
    <w:rsid w:val="2A6C5D2A"/>
    <w:rsid w:val="2BB172BB"/>
    <w:rsid w:val="2E5F5866"/>
    <w:rsid w:val="2E6C623A"/>
    <w:rsid w:val="340A6274"/>
    <w:rsid w:val="360A4309"/>
    <w:rsid w:val="386C12AB"/>
    <w:rsid w:val="38F35529"/>
    <w:rsid w:val="390E2362"/>
    <w:rsid w:val="39BF540B"/>
    <w:rsid w:val="39C46EC5"/>
    <w:rsid w:val="39CD5D7A"/>
    <w:rsid w:val="39DA0497"/>
    <w:rsid w:val="3A4B3142"/>
    <w:rsid w:val="3B5D312D"/>
    <w:rsid w:val="3C830972"/>
    <w:rsid w:val="3D1E68EC"/>
    <w:rsid w:val="3D471A96"/>
    <w:rsid w:val="3E4B3711"/>
    <w:rsid w:val="408E5B37"/>
    <w:rsid w:val="41B617E9"/>
    <w:rsid w:val="43E048FB"/>
    <w:rsid w:val="46FD7572"/>
    <w:rsid w:val="4C4C303E"/>
    <w:rsid w:val="4CD15729"/>
    <w:rsid w:val="4FAB48F5"/>
    <w:rsid w:val="527B24DD"/>
    <w:rsid w:val="52CD6993"/>
    <w:rsid w:val="537312E8"/>
    <w:rsid w:val="54244390"/>
    <w:rsid w:val="55110DB9"/>
    <w:rsid w:val="55774444"/>
    <w:rsid w:val="57F10A2D"/>
    <w:rsid w:val="59A3044D"/>
    <w:rsid w:val="5A52348C"/>
    <w:rsid w:val="5A650992"/>
    <w:rsid w:val="5A9A1850"/>
    <w:rsid w:val="5B8322E4"/>
    <w:rsid w:val="5CAC7619"/>
    <w:rsid w:val="5EC0115A"/>
    <w:rsid w:val="5EF552A7"/>
    <w:rsid w:val="5F8E3006"/>
    <w:rsid w:val="607D5554"/>
    <w:rsid w:val="621B3277"/>
    <w:rsid w:val="627B3D15"/>
    <w:rsid w:val="66E32558"/>
    <w:rsid w:val="671D539B"/>
    <w:rsid w:val="679D5209"/>
    <w:rsid w:val="688558EE"/>
    <w:rsid w:val="69676DA1"/>
    <w:rsid w:val="6A99742E"/>
    <w:rsid w:val="6A9E67F3"/>
    <w:rsid w:val="6CA125CA"/>
    <w:rsid w:val="6E027099"/>
    <w:rsid w:val="706202C3"/>
    <w:rsid w:val="715B3690"/>
    <w:rsid w:val="71EC253A"/>
    <w:rsid w:val="73D2750D"/>
    <w:rsid w:val="76DE441B"/>
    <w:rsid w:val="78D131C3"/>
    <w:rsid w:val="79921C19"/>
    <w:rsid w:val="79E47F9A"/>
    <w:rsid w:val="7A1C1754"/>
    <w:rsid w:val="7B4927AB"/>
    <w:rsid w:val="7B643141"/>
    <w:rsid w:val="7C305AF7"/>
    <w:rsid w:val="7C6158D2"/>
    <w:rsid w:val="7EB32F6C"/>
    <w:rsid w:val="7F2F1CB8"/>
    <w:rsid w:val="7F343772"/>
    <w:rsid w:val="CD5FF57F"/>
    <w:rsid w:val="FDF5B2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55D142"/>
  <w15:docId w15:val="{63A20EF1-3FDB-47F6-993E-9F97AD9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A1F"/>
    <w:pPr>
      <w:widowControl w:val="0"/>
      <w:suppressAutoHyphens/>
      <w:adjustRightInd w:val="0"/>
      <w:snapToGrid w:val="0"/>
      <w:jc w:val="both"/>
    </w:pPr>
    <w:rPr>
      <w:rFonts w:eastAsiaTheme="minorEastAsia" w:cstheme="minorBidi"/>
      <w:kern w:val="2"/>
      <w:sz w:val="24"/>
      <w:szCs w:val="24"/>
      <w:lang w:val="en-US"/>
    </w:rPr>
  </w:style>
  <w:style w:type="paragraph" w:styleId="Heading1">
    <w:name w:val="heading 1"/>
    <w:basedOn w:val="Normal"/>
    <w:next w:val="Normal"/>
    <w:qFormat/>
    <w:pPr>
      <w:spacing w:beforeAutospacing="1" w:afterAutospacing="1"/>
      <w:jc w:val="left"/>
      <w:outlineLvl w:val="0"/>
    </w:pPr>
    <w:rPr>
      <w:rFonts w:ascii="SimSun" w:eastAsia="SimSun" w:hAnsi="SimSun" w:cs="Times New Roman" w:hint="eastAsia"/>
      <w:b/>
      <w:bCs/>
      <w:kern w:val="44"/>
      <w:sz w:val="48"/>
      <w:szCs w:val="48"/>
    </w:rPr>
  </w:style>
  <w:style w:type="paragraph" w:styleId="Heading2">
    <w:name w:val="heading 2"/>
    <w:basedOn w:val="Normal"/>
    <w:next w:val="Normal"/>
    <w:semiHidden/>
    <w:unhideWhenUsed/>
    <w:qFormat/>
    <w:pPr>
      <w:spacing w:beforeAutospacing="1" w:afterAutospacing="1"/>
      <w:jc w:val="left"/>
      <w:outlineLvl w:val="1"/>
    </w:pPr>
    <w:rPr>
      <w:rFonts w:ascii="SimSun" w:eastAsia="SimSun" w:hAnsi="SimSun" w:cs="Times New Roman" w:hint="eastAsia"/>
      <w:b/>
      <w:bCs/>
      <w:kern w:val="0"/>
      <w:sz w:val="36"/>
      <w:szCs w:val="36"/>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Footer">
    <w:name w:val="footer"/>
    <w:basedOn w:val="Normal"/>
    <w:qFormat/>
    <w:pPr>
      <w:tabs>
        <w:tab w:val="center" w:pos="4153"/>
        <w:tab w:val="right" w:pos="8306"/>
      </w:tabs>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pPr>
    <w:rPr>
      <w:sz w:val="18"/>
    </w:rPr>
  </w:style>
  <w:style w:type="paragraph" w:styleId="NormalWeb">
    <w:name w:val="Normal (Web)"/>
    <w:basedOn w:val="Normal"/>
    <w:qFormat/>
  </w:style>
  <w:style w:type="paragraph" w:styleId="CommentSubject">
    <w:name w:val="annotation subject"/>
    <w:basedOn w:val="CommentText"/>
    <w:next w:val="CommentText"/>
    <w:link w:val="CommentSubjectChar"/>
    <w:qFormat/>
    <w:rPr>
      <w:b/>
      <w:bCs/>
    </w:rPr>
  </w:style>
  <w:style w:type="character" w:styleId="CommentReference">
    <w:name w:val="annotation reference"/>
    <w:basedOn w:val="DefaultParagraphFont"/>
    <w:qFormat/>
    <w:rPr>
      <w:sz w:val="21"/>
      <w:szCs w:val="21"/>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paragraph" w:customStyle="1" w:styleId="1">
    <w:name w:val="修订1"/>
    <w:hidden/>
    <w:uiPriority w:val="99"/>
    <w:unhideWhenUsed/>
    <w:qFormat/>
    <w:rPr>
      <w:rFonts w:asciiTheme="minorHAnsi" w:eastAsiaTheme="minorEastAsia" w:hAnsiTheme="minorHAnsi" w:cstheme="minorBidi"/>
      <w:kern w:val="2"/>
      <w:sz w:val="21"/>
      <w:szCs w:val="24"/>
      <w:lang w:val="en-US"/>
    </w:rPr>
  </w:style>
  <w:style w:type="paragraph" w:customStyle="1" w:styleId="Revision1">
    <w:name w:val="Revision1"/>
    <w:hidden/>
    <w:uiPriority w:val="99"/>
    <w:unhideWhenUsed/>
    <w:qFormat/>
    <w:rPr>
      <w:rFonts w:asciiTheme="minorHAnsi" w:eastAsiaTheme="minorEastAsia" w:hAnsiTheme="minorHAnsi" w:cstheme="minorBidi"/>
      <w:kern w:val="2"/>
      <w:sz w:val="21"/>
      <w:szCs w:val="24"/>
      <w:lang w:val="en-US"/>
    </w:rPr>
  </w:style>
  <w:style w:type="paragraph" w:styleId="Revision">
    <w:name w:val="Revision"/>
    <w:hidden/>
    <w:uiPriority w:val="99"/>
    <w:unhideWhenUsed/>
    <w:rsid w:val="00D83A1F"/>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86155</dc:creator>
  <cp:lastModifiedBy>Editor J</cp:lastModifiedBy>
  <cp:revision>2</cp:revision>
  <cp:lastPrinted>2026-08-06T09:49:00Z</cp:lastPrinted>
  <dcterms:created xsi:type="dcterms:W3CDTF">2026-09-21T08:00:00Z</dcterms:created>
  <dcterms:modified xsi:type="dcterms:W3CDTF">2026-09-21T08:00:00Z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B504BEDD435F489C8E570A814BB424C3_13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dedcb3f3-55cd-471c-8efb-b1f164199bc8</vt:lpwstr>
  </property>
</Properties>
</file>