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CE71E" w14:textId="77777777" w:rsidR="000F4313" w:rsidRPr="008108C9" w:rsidRDefault="00000000" w:rsidP="008108C9">
      <w:pPr>
        <w:jc w:val="left"/>
        <w:rPr>
          <w:b/>
          <w:bCs/>
          <w:sz w:val="44"/>
          <w:szCs w:val="44"/>
        </w:rPr>
      </w:pPr>
      <w:r w:rsidRPr="008108C9">
        <w:rPr>
          <w:b/>
          <w:bCs/>
          <w:sz w:val="44"/>
          <w:szCs w:val="44"/>
        </w:rPr>
        <w:t>Effects of Enemas with Short-Peptide-Based Enteral Nutritional Formulas of Different Osmotic Pressures on the Structure and Immune Barrier of the Excluded Ileum in Patients with Colorectal Cancer</w:t>
      </w:r>
    </w:p>
    <w:p w14:paraId="733B393F" w14:textId="77777777" w:rsidR="000F4313" w:rsidRPr="008108C9" w:rsidRDefault="00000000" w:rsidP="008108C9">
      <w:pPr>
        <w:rPr>
          <w:b/>
          <w:bCs/>
          <w:vertAlign w:val="superscript"/>
        </w:rPr>
      </w:pPr>
      <w:proofErr w:type="spellStart"/>
      <w:r w:rsidRPr="008108C9">
        <w:rPr>
          <w:b/>
          <w:bCs/>
        </w:rPr>
        <w:t>Shijia</w:t>
      </w:r>
      <w:proofErr w:type="spellEnd"/>
      <w:r w:rsidRPr="008108C9">
        <w:rPr>
          <w:b/>
          <w:bCs/>
        </w:rPr>
        <w:t xml:space="preserve"> Fan</w:t>
      </w:r>
      <w:r w:rsidRPr="008108C9">
        <w:rPr>
          <w:b/>
          <w:bCs/>
          <w:vertAlign w:val="superscript"/>
        </w:rPr>
        <w:t>1</w:t>
      </w:r>
      <w:r w:rsidRPr="008108C9">
        <w:rPr>
          <w:b/>
          <w:bCs/>
        </w:rPr>
        <w:t xml:space="preserve">, </w:t>
      </w:r>
      <w:proofErr w:type="spellStart"/>
      <w:r w:rsidRPr="008108C9">
        <w:rPr>
          <w:b/>
          <w:bCs/>
        </w:rPr>
        <w:t>Chaowu</w:t>
      </w:r>
      <w:proofErr w:type="spellEnd"/>
      <w:r w:rsidRPr="008108C9">
        <w:rPr>
          <w:b/>
          <w:bCs/>
        </w:rPr>
        <w:t xml:space="preserve"> Chen</w:t>
      </w:r>
      <w:r w:rsidRPr="008108C9">
        <w:rPr>
          <w:b/>
          <w:bCs/>
          <w:vertAlign w:val="superscript"/>
        </w:rPr>
        <w:t>2</w:t>
      </w:r>
      <w:r w:rsidRPr="008108C9">
        <w:rPr>
          <w:b/>
          <w:bCs/>
        </w:rPr>
        <w:t xml:space="preserve">*, </w:t>
      </w:r>
      <w:proofErr w:type="spellStart"/>
      <w:r w:rsidRPr="008108C9">
        <w:rPr>
          <w:b/>
          <w:bCs/>
        </w:rPr>
        <w:t>Yuzhi</w:t>
      </w:r>
      <w:proofErr w:type="spellEnd"/>
      <w:r w:rsidRPr="008108C9">
        <w:rPr>
          <w:b/>
          <w:bCs/>
        </w:rPr>
        <w:t xml:space="preserve"> Wan</w:t>
      </w:r>
      <w:r w:rsidRPr="008108C9">
        <w:rPr>
          <w:b/>
          <w:bCs/>
          <w:vertAlign w:val="superscript"/>
        </w:rPr>
        <w:t>1</w:t>
      </w:r>
      <w:r w:rsidRPr="008108C9">
        <w:rPr>
          <w:b/>
          <w:bCs/>
        </w:rPr>
        <w:t>, Feng Xiao</w:t>
      </w:r>
      <w:r w:rsidRPr="008108C9">
        <w:rPr>
          <w:b/>
          <w:bCs/>
          <w:vertAlign w:val="superscript"/>
        </w:rPr>
        <w:t>1</w:t>
      </w:r>
      <w:r w:rsidRPr="008108C9">
        <w:rPr>
          <w:b/>
          <w:bCs/>
        </w:rPr>
        <w:t xml:space="preserve">, </w:t>
      </w:r>
      <w:proofErr w:type="spellStart"/>
      <w:r w:rsidRPr="008108C9">
        <w:rPr>
          <w:b/>
          <w:bCs/>
        </w:rPr>
        <w:t>Chenglong</w:t>
      </w:r>
      <w:proofErr w:type="spellEnd"/>
      <w:r w:rsidRPr="008108C9">
        <w:rPr>
          <w:b/>
          <w:bCs/>
        </w:rPr>
        <w:t xml:space="preserve"> Li</w:t>
      </w:r>
      <w:r w:rsidRPr="008108C9">
        <w:rPr>
          <w:b/>
          <w:bCs/>
          <w:vertAlign w:val="superscript"/>
        </w:rPr>
        <w:t>1</w:t>
      </w:r>
    </w:p>
    <w:p w14:paraId="42100D70" w14:textId="77777777" w:rsidR="000F4313" w:rsidRDefault="00000000" w:rsidP="008108C9">
      <w:r>
        <w:rPr>
          <w:vertAlign w:val="superscript"/>
        </w:rPr>
        <w:t>1</w:t>
      </w:r>
      <w:r>
        <w:t>Department of Gastrointestinal Surgery, Hunan Provincial People’s Hospital, Changsha 410002, Hunan, China</w:t>
      </w:r>
    </w:p>
    <w:p w14:paraId="7CE05CB9" w14:textId="77777777" w:rsidR="000F4313" w:rsidRDefault="00000000" w:rsidP="008108C9">
      <w:r>
        <w:rPr>
          <w:vertAlign w:val="superscript"/>
        </w:rPr>
        <w:t>2</w:t>
      </w:r>
      <w:r>
        <w:t>Department of General Surgery, Hunan Provincial People’s Hospital, Changsha 410002, Hunan, China</w:t>
      </w:r>
    </w:p>
    <w:p w14:paraId="465219A5" w14:textId="77777777" w:rsidR="000F4313" w:rsidRDefault="00000000" w:rsidP="00D6775A">
      <w:r w:rsidRPr="008108C9">
        <w:rPr>
          <w:b/>
          <w:bCs/>
        </w:rPr>
        <w:t>*</w:t>
      </w:r>
      <w:r w:rsidRPr="008108C9">
        <w:rPr>
          <w:b/>
          <w:bCs/>
          <w:i/>
          <w:iCs/>
        </w:rPr>
        <w:t>Corresponding author</w:t>
      </w:r>
      <w:r w:rsidRPr="008108C9">
        <w:rPr>
          <w:b/>
          <w:bCs/>
        </w:rPr>
        <w:t>:</w:t>
      </w:r>
      <w:r>
        <w:t xml:space="preserve"> </w:t>
      </w:r>
      <w:proofErr w:type="spellStart"/>
      <w:r>
        <w:t>Chaowu</w:t>
      </w:r>
      <w:proofErr w:type="spellEnd"/>
      <w:r>
        <w:t xml:space="preserve"> Chen, chenchaowu1986@126.com</w:t>
      </w:r>
    </w:p>
    <w:p w14:paraId="56AEB345" w14:textId="77777777" w:rsidR="000F4313" w:rsidRDefault="000F4313" w:rsidP="00D6775A"/>
    <w:p w14:paraId="3A05DC7F" w14:textId="77777777" w:rsidR="00D6775A" w:rsidRDefault="00D6775A" w:rsidP="00D6775A">
      <w:pPr>
        <w:widowControl/>
        <w:autoSpaceDE w:val="0"/>
        <w:autoSpaceDN w:val="0"/>
        <w:snapToGrid/>
        <w:rPr>
          <w:rFonts w:eastAsia="SimSun"/>
          <w:kern w:val="0"/>
          <w:sz w:val="20"/>
          <w:szCs w:val="20"/>
          <w:lang w:eastAsia="en-US"/>
        </w:rPr>
      </w:pPr>
      <w:bookmarkStart w:id="0" w:name="_Hlk185327433"/>
      <w:r>
        <w:rPr>
          <w:rFonts w:eastAsia="SimSun"/>
          <w:b/>
          <w:bCs/>
          <w:kern w:val="0"/>
          <w:sz w:val="20"/>
          <w:szCs w:val="20"/>
          <w:lang w:eastAsia="en-US"/>
        </w:rPr>
        <w:t xml:space="preserve">Copyright: </w:t>
      </w:r>
      <w:r>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69DFD5C4" w14:textId="77777777" w:rsidR="00D6775A" w:rsidRDefault="00D6775A" w:rsidP="008108C9"/>
    <w:p w14:paraId="0720403A" w14:textId="77777777" w:rsidR="000F4313" w:rsidRDefault="00000000" w:rsidP="008108C9">
      <w:r w:rsidRPr="008108C9">
        <w:rPr>
          <w:b/>
          <w:bCs/>
        </w:rPr>
        <w:t>Abstract:</w:t>
      </w:r>
      <w:r>
        <w:t xml:space="preserve"> This study investigated the effects of isosmotic and hyperosmotic short-peptide enteral nutritional formula enemas on the structure and immune barrier of the excluded ileum in patients with colorectal cancer. Eighty-six patients with preventive terminal ileum double-barrel stomas were randomized to receive isosmotic formula, hyperosmotic formula, or normal saline for 2 weeks. Ileal mucosal tissues were collected before enema and at ileostomy reversal. Villus height (VH), crypt depth (CD), VH/CD ratio, histopathology, and MAdCAM-1, CD4</w:t>
      </w:r>
      <w:r>
        <w:rPr>
          <w:rFonts w:ascii="Cambria Math" w:hAnsi="Cambria Math" w:cs="Cambria Math"/>
        </w:rPr>
        <w:t>⁺</w:t>
      </w:r>
      <w:r>
        <w:t>, and CD8</w:t>
      </w:r>
      <w:r>
        <w:rPr>
          <w:rFonts w:ascii="Cambria Math" w:hAnsi="Cambria Math" w:cs="Cambria Math"/>
        </w:rPr>
        <w:t>⁺</w:t>
      </w:r>
      <w:r>
        <w:t xml:space="preserve"> expression </w:t>
      </w:r>
      <w:proofErr w:type="gramStart"/>
      <w:r>
        <w:t>were</w:t>
      </w:r>
      <w:proofErr w:type="gramEnd"/>
      <w:r>
        <w:t xml:space="preserve"> assessed. VH and CD increased after enema, with greater improvements in the isosmotic group than in the hyperosmotic and control groups, whereas VH/CD showed no significant between-group difference after treatment. MAdCAM-1, CD4</w:t>
      </w:r>
      <w:r>
        <w:rPr>
          <w:rFonts w:ascii="Cambria Math" w:hAnsi="Cambria Math" w:cs="Cambria Math"/>
        </w:rPr>
        <w:t>⁺</w:t>
      </w:r>
      <w:r>
        <w:t>, and CD8</w:t>
      </w:r>
      <w:r>
        <w:rPr>
          <w:rFonts w:ascii="Cambria Math" w:hAnsi="Cambria Math" w:cs="Cambria Math"/>
        </w:rPr>
        <w:t>⁺</w:t>
      </w:r>
      <w:r>
        <w:t xml:space="preserve"> expression also increased after enema; pairwise comparisons showed greater increases in MAdCAM-1 and CD8</w:t>
      </w:r>
      <w:r>
        <w:rPr>
          <w:rFonts w:ascii="Cambria Math" w:hAnsi="Cambria Math" w:cs="Cambria Math"/>
        </w:rPr>
        <w:t>⁺</w:t>
      </w:r>
      <w:r>
        <w:t xml:space="preserve"> levels in the isosmotic group than in the hyperosmotic and control groups. These findings suggest that short-peptide formula enemas may support repair of the excluded ileal mucosa and partial recovery of mucosal immune activity, with the isosmotic formula showing more favorable effects on mucosal structure and selected immune markers.</w:t>
      </w:r>
    </w:p>
    <w:p w14:paraId="7B4CA298" w14:textId="77777777" w:rsidR="000F4313" w:rsidRDefault="00000000" w:rsidP="008108C9">
      <w:r w:rsidRPr="008108C9">
        <w:rPr>
          <w:b/>
          <w:bCs/>
        </w:rPr>
        <w:t>Keywords:</w:t>
      </w:r>
      <w:r>
        <w:t xml:space="preserve"> Colorectal cancer; Isosmotic small peptide formula; Enemas; Excluded ileum</w:t>
      </w:r>
    </w:p>
    <w:p w14:paraId="4606A3E5" w14:textId="77777777" w:rsidR="000F4313" w:rsidRDefault="000F4313" w:rsidP="00D6775A"/>
    <w:p w14:paraId="32A9A38C" w14:textId="02470C01" w:rsidR="00D6775A" w:rsidRPr="008108C9" w:rsidRDefault="00D6775A" w:rsidP="008108C9">
      <w:pPr>
        <w:rPr>
          <w:b/>
          <w:bCs/>
        </w:rPr>
      </w:pPr>
      <w:r>
        <w:rPr>
          <w:b/>
          <w:bCs/>
        </w:rPr>
        <w:t>Online publication:</w:t>
      </w:r>
    </w:p>
    <w:p w14:paraId="07CA59A4" w14:textId="77777777" w:rsidR="000F4313" w:rsidRDefault="000F4313" w:rsidP="008108C9"/>
    <w:p w14:paraId="78DDAD0F" w14:textId="77777777" w:rsidR="000F4313" w:rsidRPr="008108C9" w:rsidRDefault="00000000" w:rsidP="008108C9">
      <w:pPr>
        <w:rPr>
          <w:b/>
          <w:bCs/>
        </w:rPr>
      </w:pPr>
      <w:r w:rsidRPr="008108C9">
        <w:rPr>
          <w:b/>
          <w:bCs/>
        </w:rPr>
        <w:t>1. Introduction</w:t>
      </w:r>
    </w:p>
    <w:p w14:paraId="6B451966" w14:textId="77777777" w:rsidR="000F4313" w:rsidRDefault="00000000" w:rsidP="008108C9">
      <w:r>
        <w:t xml:space="preserve">The intestinal mucosal barrier maintains nutrient absorption, immune homeostasis, and protection against luminal pathogens and toxins </w:t>
      </w:r>
      <w:r>
        <w:rPr>
          <w:vertAlign w:val="superscript"/>
        </w:rPr>
        <w:t>[1,2]</w:t>
      </w:r>
      <w:r>
        <w:t>. Barrier injury caused by intestinal disease, major surgery, shock, or inadequate enteral stimulation may impair absorption, promote inflammation and bacterial translocation, and worsen clinical outcomes</w:t>
      </w:r>
      <w:r>
        <w:rPr>
          <w:vertAlign w:val="superscript"/>
        </w:rPr>
        <w:t xml:space="preserve"> [3-6]</w:t>
      </w:r>
      <w:r>
        <w:t>. Therefore, preserving or restoring mucosal barrier function is important in patients with impaired gastrointestinal function</w:t>
      </w:r>
      <w:r>
        <w:rPr>
          <w:vertAlign w:val="superscript"/>
        </w:rPr>
        <w:t xml:space="preserve"> [7,8]</w:t>
      </w:r>
      <w:r>
        <w:t>.</w:t>
      </w:r>
    </w:p>
    <w:p w14:paraId="54EC4F1F" w14:textId="77777777" w:rsidR="000F4313" w:rsidRDefault="00000000" w:rsidP="008108C9">
      <w:pPr>
        <w:ind w:firstLine="420"/>
      </w:pPr>
      <w:r>
        <w:t xml:space="preserve">In colorectal cancer surgery, preventive terminal ileostomy can reduce the clinical consequences of anastomotic leakage but leaves the distal segment without luminal nutrients or mechanical stimulation </w:t>
      </w:r>
      <w:r>
        <w:rPr>
          <w:vertAlign w:val="superscript"/>
        </w:rPr>
        <w:t>[9,10]</w:t>
      </w:r>
      <w:r>
        <w:t>, which may lead to diversion colitis, mucosal atrophy, and immune barrier dysfunction</w:t>
      </w:r>
      <w:r>
        <w:rPr>
          <w:vertAlign w:val="superscript"/>
        </w:rPr>
        <w:t xml:space="preserve"> [5,6,11-13]</w:t>
      </w:r>
      <w:r>
        <w:t>. Enema through the stoma may help maintain intestinal function before stoma closure.</w:t>
      </w:r>
    </w:p>
    <w:p w14:paraId="08A435DA" w14:textId="77777777" w:rsidR="000F4313" w:rsidRDefault="00000000" w:rsidP="008108C9">
      <w:pPr>
        <w:ind w:firstLine="420"/>
      </w:pPr>
      <w:r>
        <w:lastRenderedPageBreak/>
        <w:t xml:space="preserve">Short-peptide enteral formulas are readily absorbed and may provide nutritional support for injured mucosa with limited digestive burden </w:t>
      </w:r>
      <w:r>
        <w:rPr>
          <w:vertAlign w:val="superscript"/>
        </w:rPr>
        <w:t>[14,15]</w:t>
      </w:r>
      <w:r>
        <w:t>. This study compared isosmotic and hyperosmotic short-peptide formula enemas with normal saline in patients undergoing preventive terminal ileum double-barrel stoma to evaluate their effects on ileal mucosal structure and immune-related markers.</w:t>
      </w:r>
    </w:p>
    <w:p w14:paraId="1EB29AA7" w14:textId="77777777" w:rsidR="000F4313" w:rsidRDefault="000F4313" w:rsidP="008108C9"/>
    <w:p w14:paraId="44E3C3D2" w14:textId="77777777" w:rsidR="000F4313" w:rsidRPr="008108C9" w:rsidRDefault="00000000" w:rsidP="008108C9">
      <w:pPr>
        <w:rPr>
          <w:b/>
          <w:bCs/>
        </w:rPr>
      </w:pPr>
      <w:r w:rsidRPr="008108C9">
        <w:rPr>
          <w:b/>
          <w:bCs/>
        </w:rPr>
        <w:t xml:space="preserve">2. Materials and </w:t>
      </w:r>
      <w:r w:rsidRPr="008108C9">
        <w:rPr>
          <w:rFonts w:hint="eastAsia"/>
          <w:b/>
          <w:bCs/>
        </w:rPr>
        <w:t>m</w:t>
      </w:r>
      <w:r w:rsidRPr="008108C9">
        <w:rPr>
          <w:b/>
          <w:bCs/>
        </w:rPr>
        <w:t>ethods</w:t>
      </w:r>
    </w:p>
    <w:p w14:paraId="70DC303E" w14:textId="77777777" w:rsidR="000F4313" w:rsidRPr="008108C9" w:rsidRDefault="00000000" w:rsidP="008108C9">
      <w:pPr>
        <w:rPr>
          <w:b/>
          <w:bCs/>
        </w:rPr>
      </w:pPr>
      <w:r w:rsidRPr="008108C9">
        <w:rPr>
          <w:b/>
          <w:bCs/>
        </w:rPr>
        <w:t>2.1. General information</w:t>
      </w:r>
    </w:p>
    <w:p w14:paraId="4A33BC60" w14:textId="2782242A" w:rsidR="000F4313" w:rsidRDefault="00000000" w:rsidP="008108C9">
      <w:r>
        <w:t>Eighty-six patients who underwent preventive terminal ileum double-barrel stoma for colorectal malignancy between October 2021 and January 2024 were randomized into the isosmotic short-peptide formula group (n</w:t>
      </w:r>
      <w:r w:rsidR="00DE5E8B">
        <w:t xml:space="preserve"> </w:t>
      </w:r>
      <w:r>
        <w:t>=</w:t>
      </w:r>
      <w:r w:rsidR="00DE5E8B">
        <w:t xml:space="preserve"> </w:t>
      </w:r>
      <w:r>
        <w:t>30), hyperosmotic short-peptide formula group (n=27), or normal saline control group (n</w:t>
      </w:r>
      <w:r w:rsidR="00DE5E8B">
        <w:t xml:space="preserve"> </w:t>
      </w:r>
      <w:r>
        <w:t>=</w:t>
      </w:r>
      <w:r w:rsidR="00DE5E8B">
        <w:t xml:space="preserve"> </w:t>
      </w:r>
      <w:r>
        <w:t>29). Baseline age, sex, body mass index, and intestinal exclusion time were comparable among groups (</w:t>
      </w:r>
      <w:r>
        <w:rPr>
          <w:i/>
          <w:iCs/>
        </w:rPr>
        <w:t>P</w:t>
      </w:r>
      <w:r w:rsidR="00DE5E8B">
        <w:rPr>
          <w:i/>
          <w:iCs/>
        </w:rPr>
        <w:t xml:space="preserve"> </w:t>
      </w:r>
      <w:r>
        <w:t>&gt;</w:t>
      </w:r>
      <w:r w:rsidR="00DE5E8B">
        <w:t xml:space="preserve"> </w:t>
      </w:r>
      <w:r>
        <w:t>0.05).</w:t>
      </w:r>
    </w:p>
    <w:p w14:paraId="3DCE8079" w14:textId="6296B74C" w:rsidR="000F4313" w:rsidRDefault="00000000" w:rsidP="008108C9">
      <w:pPr>
        <w:ind w:firstLine="420"/>
      </w:pPr>
      <w:r>
        <w:t xml:space="preserve">Eligible patients had colorectal malignancy treated with </w:t>
      </w:r>
      <w:r w:rsidR="00F55418">
        <w:t xml:space="preserve">a </w:t>
      </w:r>
      <w:r>
        <w:t>preventive terminal ileum double-barrel stoma, planned stoma closure 3–6 months after surgery, no severe cardiovascular disease or diabetes, and consented to enema with a short-peptide formula or saline. Patients were excluded for postoperative recurrence, severe complications such as anastomotic fistula or stenosis, allergy to enema preparations, or irregular or terminated enema.</w:t>
      </w:r>
    </w:p>
    <w:p w14:paraId="32223FF7" w14:textId="77777777" w:rsidR="00DE5E8B" w:rsidRDefault="00DE5E8B" w:rsidP="00D6775A"/>
    <w:p w14:paraId="36237461" w14:textId="464A7974" w:rsidR="000F4313" w:rsidRPr="008108C9" w:rsidRDefault="00000000" w:rsidP="008108C9">
      <w:pPr>
        <w:rPr>
          <w:b/>
          <w:bCs/>
        </w:rPr>
      </w:pPr>
      <w:r w:rsidRPr="008108C9">
        <w:rPr>
          <w:b/>
          <w:bCs/>
        </w:rPr>
        <w:t>2.2. Enema procedure</w:t>
      </w:r>
    </w:p>
    <w:p w14:paraId="09347F97" w14:textId="7A81A319" w:rsidR="000F4313" w:rsidRDefault="00000000" w:rsidP="008108C9">
      <w:r>
        <w:t xml:space="preserve">All patients returned 3–6 months after stoma creation. Before enema, ileal mucosal tissue from the distal stoma segment was collected by electronic colonoscopy without bowel preparation. Patients then received antegrade enema through a 16F double-lumen catheter placed approximately 6 cm into the distal ileum. The assigned solution was infused by </w:t>
      </w:r>
      <w:r w:rsidR="00F55418">
        <w:t xml:space="preserve">an </w:t>
      </w:r>
      <w:r>
        <w:t>enteral nutrition pump from 30 mL/h to 125 mL/h at room temperature, 500 mL/day for 2 weeks, followed by 50 mL normal saline flushing. Enema was discontinued if intolerance occurred. At ileostomy reversal, proximal and distal stoma segments were resected and processed for hematoxylin-eosin staining and immunohistochemistry.</w:t>
      </w:r>
    </w:p>
    <w:p w14:paraId="3E0F68DF" w14:textId="77777777" w:rsidR="000F4313" w:rsidRDefault="000F4313" w:rsidP="008108C9"/>
    <w:p w14:paraId="70370282" w14:textId="77777777" w:rsidR="000F4313" w:rsidRPr="008108C9" w:rsidRDefault="00000000" w:rsidP="008108C9">
      <w:pPr>
        <w:rPr>
          <w:b/>
          <w:bCs/>
        </w:rPr>
      </w:pPr>
      <w:r w:rsidRPr="008108C9">
        <w:rPr>
          <w:b/>
          <w:bCs/>
        </w:rPr>
        <w:t>2.3. Enema solutions</w:t>
      </w:r>
    </w:p>
    <w:p w14:paraId="09682AB8" w14:textId="77777777" w:rsidR="000F4313" w:rsidRDefault="00000000" w:rsidP="008108C9">
      <w:r>
        <w:t xml:space="preserve">The isosmotic group received a short-peptide formula from Fresenius Kabi SSPC Pharmaceutical Co., Ltd. (500 mL; 300 </w:t>
      </w:r>
      <w:proofErr w:type="spellStart"/>
      <w:r>
        <w:t>mOsm</w:t>
      </w:r>
      <w:proofErr w:type="spellEnd"/>
      <w:r>
        <w:t xml:space="preserve">/L; </w:t>
      </w:r>
      <w:proofErr w:type="spellStart"/>
      <w:proofErr w:type="gramStart"/>
      <w:r>
        <w:t>protein:fat</w:t>
      </w:r>
      <w:proofErr w:type="gramEnd"/>
      <w:r>
        <w:t>:carbohydrate</w:t>
      </w:r>
      <w:proofErr w:type="spellEnd"/>
      <w:r>
        <w:t xml:space="preserve"> approximately 18%:25%:57%). The hyperosmotic group received a short-peptide formula from Nutricia Pharmaceutical Co., Ltd. (500 mL; 440 </w:t>
      </w:r>
      <w:proofErr w:type="spellStart"/>
      <w:r>
        <w:t>mOsm</w:t>
      </w:r>
      <w:proofErr w:type="spellEnd"/>
      <w:r>
        <w:t xml:space="preserve">/L; </w:t>
      </w:r>
      <w:proofErr w:type="spellStart"/>
      <w:proofErr w:type="gramStart"/>
      <w:r>
        <w:t>protein:fat</w:t>
      </w:r>
      <w:proofErr w:type="gramEnd"/>
      <w:r>
        <w:t>:carbohydrate</w:t>
      </w:r>
      <w:proofErr w:type="spellEnd"/>
      <w:r>
        <w:t xml:space="preserve"> approximately 16%:15%:69%). The control group received 0.9% sodium chloride injection (500 mL; 308 </w:t>
      </w:r>
      <w:proofErr w:type="spellStart"/>
      <w:r>
        <w:t>mOsm</w:t>
      </w:r>
      <w:proofErr w:type="spellEnd"/>
      <w:r>
        <w:t>/L).</w:t>
      </w:r>
    </w:p>
    <w:p w14:paraId="7C3B811F" w14:textId="77777777" w:rsidR="000F4313" w:rsidRDefault="000F4313" w:rsidP="008108C9"/>
    <w:p w14:paraId="11D58FE1" w14:textId="77777777" w:rsidR="000F4313" w:rsidRPr="008108C9" w:rsidRDefault="00000000" w:rsidP="008108C9">
      <w:pPr>
        <w:rPr>
          <w:b/>
          <w:bCs/>
        </w:rPr>
      </w:pPr>
      <w:r w:rsidRPr="008108C9">
        <w:rPr>
          <w:b/>
          <w:bCs/>
        </w:rPr>
        <w:t>2.4. Observation indicators</w:t>
      </w:r>
    </w:p>
    <w:p w14:paraId="48FD69E7" w14:textId="77777777" w:rsidR="000F4313" w:rsidRDefault="00000000" w:rsidP="008108C9">
      <w:r>
        <w:t>VH, CD, and VH/CD were measured from five intact villi and adjacent crypts in three randomly selected 40× fields using ImageJ. Lymphocyte infiltration was graded from 0 to 4. MAdCAM-1, CD4</w:t>
      </w:r>
      <w:r>
        <w:rPr>
          <w:rFonts w:ascii="Cambria Math" w:hAnsi="Cambria Math" w:cs="Cambria Math"/>
        </w:rPr>
        <w:t>⁺</w:t>
      </w:r>
      <w:r>
        <w:t>, and CD8</w:t>
      </w:r>
      <w:r>
        <w:rPr>
          <w:rFonts w:ascii="Cambria Math" w:hAnsi="Cambria Math" w:cs="Cambria Math"/>
        </w:rPr>
        <w:t>⁺</w:t>
      </w:r>
      <w:r>
        <w:t xml:space="preserve"> expression was assessed by immunohistochemistry in three 400</w:t>
      </w:r>
      <w:r>
        <w:rPr>
          <w:rFonts w:ascii="DengXian" w:eastAsia="DengXian" w:hAnsi="DengXian" w:cs="DengXian" w:hint="eastAsia"/>
        </w:rPr>
        <w:t>×</w:t>
      </w:r>
      <w:r>
        <w:t xml:space="preserve"> fields and quantified as average optical density.</w:t>
      </w:r>
    </w:p>
    <w:p w14:paraId="3CD4A17A" w14:textId="77777777" w:rsidR="000F4313" w:rsidRDefault="000F4313" w:rsidP="008108C9"/>
    <w:p w14:paraId="4443A800" w14:textId="77777777" w:rsidR="000F4313" w:rsidRPr="008108C9" w:rsidRDefault="00000000" w:rsidP="008108C9">
      <w:pPr>
        <w:rPr>
          <w:b/>
          <w:bCs/>
        </w:rPr>
      </w:pPr>
      <w:r w:rsidRPr="008108C9">
        <w:rPr>
          <w:b/>
          <w:bCs/>
        </w:rPr>
        <w:t>2.5. Statistical analysis</w:t>
      </w:r>
    </w:p>
    <w:p w14:paraId="7290EA4E" w14:textId="5481CCAC" w:rsidR="000F4313" w:rsidRDefault="00000000" w:rsidP="008108C9">
      <w:r>
        <w:t xml:space="preserve">SPSS 26.0 was used for statistical analysis. Count data were expressed as n (%), and measurement data as mean ± </w:t>
      </w:r>
      <w:r w:rsidR="00DE5E8B">
        <w:t>standard deviation (</w:t>
      </w:r>
      <w:r>
        <w:t>SD</w:t>
      </w:r>
      <w:r w:rsidR="00DE5E8B">
        <w:t>)</w:t>
      </w:r>
      <w:r>
        <w:t xml:space="preserve">. Between-group comparisons used chi-square tests or analysis of variance, as appropriate; paired t-tests were used for pre- and post-enema comparisons within groups. Non-normally distributed data were analyzed using Fisher’s exact test or rank-sum tests. </w:t>
      </w:r>
      <w:r>
        <w:rPr>
          <w:i/>
          <w:iCs/>
        </w:rPr>
        <w:t xml:space="preserve">P </w:t>
      </w:r>
      <w:r>
        <w:t>&lt; 0.05 was considered statistically significant.</w:t>
      </w:r>
    </w:p>
    <w:p w14:paraId="3C79982A" w14:textId="77777777" w:rsidR="000F4313" w:rsidRDefault="000F4313" w:rsidP="008108C9"/>
    <w:p w14:paraId="1FCF5768" w14:textId="77777777" w:rsidR="000F4313" w:rsidRPr="008108C9" w:rsidRDefault="00000000" w:rsidP="008108C9">
      <w:pPr>
        <w:rPr>
          <w:b/>
          <w:bCs/>
        </w:rPr>
      </w:pPr>
      <w:r w:rsidRPr="008108C9">
        <w:rPr>
          <w:b/>
          <w:bCs/>
        </w:rPr>
        <w:t>3. Results</w:t>
      </w:r>
    </w:p>
    <w:p w14:paraId="7058E394" w14:textId="77777777" w:rsidR="000F4313" w:rsidRDefault="00000000" w:rsidP="008108C9">
      <w:pPr>
        <w:rPr>
          <w:rFonts w:eastAsia="DengXian"/>
        </w:rPr>
      </w:pPr>
      <w:r>
        <w:rPr>
          <w:rFonts w:eastAsia="DengXian"/>
        </w:rPr>
        <w:t xml:space="preserve">No significant differences were observed in VH, CD, VH/CD ratio, or immunological indexes </w:t>
      </w:r>
      <w:r>
        <w:rPr>
          <w:rFonts w:eastAsia="DengXian"/>
        </w:rPr>
        <w:lastRenderedPageBreak/>
        <w:t>among the three patient groups at enrollment (</w:t>
      </w:r>
      <w:r>
        <w:rPr>
          <w:rFonts w:eastAsia="DengXian"/>
          <w:i/>
          <w:iCs/>
        </w:rPr>
        <w:t>P</w:t>
      </w:r>
      <w:r>
        <w:rPr>
          <w:rFonts w:eastAsia="DengXian"/>
        </w:rPr>
        <w:t xml:space="preserve"> &gt; 0.05; </w:t>
      </w:r>
      <w:r w:rsidRPr="008108C9">
        <w:rPr>
          <w:rFonts w:eastAsia="DengXian"/>
          <w:b/>
          <w:bCs/>
        </w:rPr>
        <w:t>Table 1</w:t>
      </w:r>
      <w:r>
        <w:rPr>
          <w:rFonts w:eastAsia="DengXian"/>
        </w:rPr>
        <w:t>).</w:t>
      </w:r>
    </w:p>
    <w:p w14:paraId="1D1FAAD1" w14:textId="77777777" w:rsidR="000F4313" w:rsidRDefault="000F4313" w:rsidP="008108C9"/>
    <w:p w14:paraId="62E8C5C0" w14:textId="77777777" w:rsidR="000F4313" w:rsidRPr="008108C9" w:rsidRDefault="00000000" w:rsidP="008108C9">
      <w:pPr>
        <w:rPr>
          <w:b/>
          <w:bCs/>
        </w:rPr>
      </w:pPr>
      <w:r w:rsidRPr="008108C9">
        <w:rPr>
          <w:b/>
          <w:bCs/>
        </w:rPr>
        <w:t>3.1. Comparison of ileal tissue structure</w:t>
      </w:r>
    </w:p>
    <w:p w14:paraId="16F74EF0" w14:textId="77777777" w:rsidR="000F4313" w:rsidRDefault="00000000" w:rsidP="008108C9">
      <w:r>
        <w:t>Distal ileal VH and CD increased after enema, with greater improvements in the isosmotic group than in the hyperosmotic and control groups. VH/CD showed no significant between-group difference after treatment (</w:t>
      </w:r>
      <w:r w:rsidRPr="008108C9">
        <w:rPr>
          <w:b/>
          <w:bCs/>
        </w:rPr>
        <w:t>Table 2</w:t>
      </w:r>
      <w:r>
        <w:t xml:space="preserve">; </w:t>
      </w:r>
      <w:r w:rsidRPr="008108C9">
        <w:rPr>
          <w:b/>
          <w:bCs/>
        </w:rPr>
        <w:t>Figure 1</w:t>
      </w:r>
      <w:r>
        <w:t>).</w:t>
      </w:r>
    </w:p>
    <w:p w14:paraId="46B9A530" w14:textId="77777777" w:rsidR="00DE5E8B" w:rsidRDefault="00DE5E8B" w:rsidP="00D6775A"/>
    <w:p w14:paraId="289C0E27" w14:textId="2828F7DD" w:rsidR="000F4313" w:rsidRPr="008108C9" w:rsidRDefault="00000000" w:rsidP="008108C9">
      <w:pPr>
        <w:jc w:val="center"/>
        <w:rPr>
          <w:sz w:val="20"/>
          <w:szCs w:val="20"/>
        </w:rPr>
      </w:pPr>
      <w:r w:rsidRPr="008108C9">
        <w:rPr>
          <w:noProof/>
          <w:sz w:val="20"/>
          <w:szCs w:val="20"/>
          <w14:ligatures w14:val="none"/>
        </w:rPr>
        <w:drawing>
          <wp:inline distT="0" distB="0" distL="0" distR="0" wp14:anchorId="58F493F7" wp14:editId="39DD5342">
            <wp:extent cx="4762500" cy="2207895"/>
            <wp:effectExtent l="0" t="0" r="0" b="1905"/>
            <wp:docPr id="7164979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497941" name="图片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769722" cy="2211320"/>
                    </a:xfrm>
                    <a:prstGeom prst="rect">
                      <a:avLst/>
                    </a:prstGeom>
                  </pic:spPr>
                </pic:pic>
              </a:graphicData>
            </a:graphic>
          </wp:inline>
        </w:drawing>
      </w:r>
    </w:p>
    <w:p w14:paraId="3F2708AC" w14:textId="5CE6D8DB" w:rsidR="000F4313" w:rsidRPr="008108C9" w:rsidRDefault="00000000" w:rsidP="008108C9">
      <w:pPr>
        <w:jc w:val="center"/>
        <w:rPr>
          <w:sz w:val="20"/>
          <w:szCs w:val="20"/>
        </w:rPr>
      </w:pPr>
      <w:r w:rsidRPr="008108C9">
        <w:rPr>
          <w:b/>
          <w:bCs/>
          <w:sz w:val="20"/>
          <w:szCs w:val="20"/>
        </w:rPr>
        <w:t>Figure 1.</w:t>
      </w:r>
      <w:r w:rsidR="00DE5E8B" w:rsidRPr="008108C9">
        <w:rPr>
          <w:b/>
          <w:bCs/>
          <w:sz w:val="20"/>
          <w:szCs w:val="20"/>
        </w:rPr>
        <w:t xml:space="preserve"> </w:t>
      </w:r>
      <w:r w:rsidRPr="008108C9">
        <w:rPr>
          <w:sz w:val="20"/>
          <w:szCs w:val="20"/>
        </w:rPr>
        <w:t>Distal ileum tissue at the stoma (40×)</w:t>
      </w:r>
      <w:r w:rsidR="00DE5E8B" w:rsidRPr="008108C9">
        <w:rPr>
          <w:sz w:val="20"/>
          <w:szCs w:val="20"/>
        </w:rPr>
        <w:t xml:space="preserve">. </w:t>
      </w:r>
      <w:r w:rsidRPr="008108C9">
        <w:rPr>
          <w:sz w:val="20"/>
          <w:szCs w:val="20"/>
        </w:rPr>
        <w:t>A–C: pre-enema samples from the isosmotic, hyperosmotic, and control groups; D–F: corresponding post-enema samples.</w:t>
      </w:r>
    </w:p>
    <w:p w14:paraId="44FEDD57" w14:textId="77777777" w:rsidR="00DE5E8B" w:rsidRDefault="00DE5E8B" w:rsidP="00D6775A"/>
    <w:p w14:paraId="5784736B" w14:textId="77777777" w:rsidR="00DE5E8B" w:rsidRDefault="00DE5E8B" w:rsidP="008108C9">
      <w:pPr>
        <w:sectPr w:rsidR="00DE5E8B" w:rsidSect="008108C9">
          <w:type w:val="nextPage"/>
          <w:pgSz w:w="11906" w:h="16838"/>
          <w:pgMar w:top="1134" w:right="1418" w:bottom="1134" w:left="1418" w:header="851" w:footer="992" w:gutter="0"/>
          <w:cols w:space="425"/>
          <w:docGrid w:type="lines" w:linePitch="326"/>
        </w:sectPr>
      </w:pPr>
    </w:p>
    <w:p w14:paraId="0F4CADE9" w14:textId="77777777" w:rsidR="000F4313" w:rsidRDefault="00000000" w:rsidP="008108C9">
      <w:r w:rsidRPr="008108C9">
        <w:rPr>
          <w:b/>
          <w:bCs/>
        </w:rPr>
        <w:lastRenderedPageBreak/>
        <w:t>Table 1.</w:t>
      </w:r>
      <w:r>
        <w:t xml:space="preserve"> Comparison of various indicators among the three patient groups at enrollment</w:t>
      </w:r>
    </w:p>
    <w:tbl>
      <w:tblPr>
        <w:tblW w:w="5000" w:type="pct"/>
        <w:jc w:val="center"/>
        <w:tblLook w:val="04A0" w:firstRow="1" w:lastRow="0" w:firstColumn="1" w:lastColumn="0" w:noHBand="0" w:noVBand="1"/>
      </w:tblPr>
      <w:tblGrid>
        <w:gridCol w:w="970"/>
        <w:gridCol w:w="739"/>
        <w:gridCol w:w="704"/>
        <w:gridCol w:w="740"/>
        <w:gridCol w:w="705"/>
        <w:gridCol w:w="740"/>
        <w:gridCol w:w="705"/>
        <w:gridCol w:w="740"/>
        <w:gridCol w:w="705"/>
        <w:gridCol w:w="740"/>
        <w:gridCol w:w="705"/>
        <w:gridCol w:w="740"/>
        <w:gridCol w:w="705"/>
      </w:tblGrid>
      <w:tr w:rsidR="000F4313" w14:paraId="1B0B5491" w14:textId="77777777" w:rsidTr="008108C9">
        <w:trPr>
          <w:tblHeader/>
          <w:jc w:val="center"/>
        </w:trPr>
        <w:tc>
          <w:tcPr>
            <w:tcW w:w="445" w:type="pct"/>
            <w:vMerge w:val="restart"/>
            <w:tcBorders>
              <w:top w:val="single" w:sz="12" w:space="0" w:color="auto"/>
            </w:tcBorders>
          </w:tcPr>
          <w:p w14:paraId="0BB8758D" w14:textId="77777777" w:rsidR="000F4313" w:rsidRPr="008108C9" w:rsidRDefault="00000000" w:rsidP="008108C9">
            <w:pPr>
              <w:jc w:val="left"/>
              <w:rPr>
                <w:b/>
                <w:bCs/>
              </w:rPr>
            </w:pPr>
            <w:bookmarkStart w:id="1" w:name="OLE_LINK4"/>
            <w:r w:rsidRPr="008108C9">
              <w:rPr>
                <w:b/>
                <w:bCs/>
                <w:spacing w:val="8"/>
              </w:rPr>
              <w:t>Group</w:t>
            </w:r>
          </w:p>
        </w:tc>
        <w:tc>
          <w:tcPr>
            <w:tcW w:w="877" w:type="pct"/>
            <w:gridSpan w:val="2"/>
            <w:tcBorders>
              <w:top w:val="single" w:sz="12" w:space="0" w:color="auto"/>
              <w:bottom w:val="single" w:sz="4" w:space="0" w:color="auto"/>
            </w:tcBorders>
          </w:tcPr>
          <w:p w14:paraId="3E8254A6" w14:textId="77777777" w:rsidR="000F4313" w:rsidRPr="008108C9" w:rsidRDefault="00000000" w:rsidP="008108C9">
            <w:pPr>
              <w:jc w:val="center"/>
              <w:rPr>
                <w:b/>
                <w:bCs/>
                <w:lang w:bidi="ar"/>
              </w:rPr>
            </w:pPr>
            <w:r w:rsidRPr="008108C9">
              <w:rPr>
                <w:b/>
                <w:bCs/>
                <w:lang w:bidi="ar"/>
              </w:rPr>
              <w:t>Villus Height (</w:t>
            </w:r>
            <w:proofErr w:type="spellStart"/>
            <w:r w:rsidRPr="008108C9">
              <w:rPr>
                <w:b/>
                <w:bCs/>
                <w:lang w:bidi="ar"/>
              </w:rPr>
              <w:t>μm</w:t>
            </w:r>
            <w:proofErr w:type="spellEnd"/>
            <w:r w:rsidRPr="008108C9">
              <w:rPr>
                <w:b/>
                <w:bCs/>
                <w:lang w:bidi="ar"/>
              </w:rPr>
              <w:t>)</w:t>
            </w:r>
          </w:p>
        </w:tc>
        <w:tc>
          <w:tcPr>
            <w:tcW w:w="873" w:type="pct"/>
            <w:gridSpan w:val="2"/>
            <w:tcBorders>
              <w:top w:val="single" w:sz="12" w:space="0" w:color="auto"/>
              <w:bottom w:val="single" w:sz="4" w:space="0" w:color="auto"/>
            </w:tcBorders>
          </w:tcPr>
          <w:p w14:paraId="28F64783" w14:textId="77777777" w:rsidR="000F4313" w:rsidRPr="008108C9" w:rsidRDefault="00000000" w:rsidP="008108C9">
            <w:pPr>
              <w:jc w:val="center"/>
              <w:rPr>
                <w:b/>
                <w:bCs/>
                <w:lang w:bidi="ar"/>
              </w:rPr>
            </w:pPr>
            <w:r w:rsidRPr="008108C9">
              <w:rPr>
                <w:b/>
                <w:bCs/>
                <w:lang w:bidi="ar"/>
              </w:rPr>
              <w:t>Crypt Depth (</w:t>
            </w:r>
            <w:proofErr w:type="spellStart"/>
            <w:r w:rsidRPr="008108C9">
              <w:rPr>
                <w:b/>
                <w:bCs/>
                <w:lang w:bidi="ar"/>
              </w:rPr>
              <w:t>μm</w:t>
            </w:r>
            <w:proofErr w:type="spellEnd"/>
            <w:r w:rsidRPr="008108C9">
              <w:rPr>
                <w:b/>
                <w:bCs/>
                <w:lang w:bidi="ar"/>
              </w:rPr>
              <w:t>)</w:t>
            </w:r>
          </w:p>
        </w:tc>
        <w:tc>
          <w:tcPr>
            <w:tcW w:w="701" w:type="pct"/>
            <w:gridSpan w:val="2"/>
            <w:tcBorders>
              <w:top w:val="single" w:sz="12" w:space="0" w:color="auto"/>
              <w:bottom w:val="single" w:sz="4" w:space="0" w:color="auto"/>
            </w:tcBorders>
          </w:tcPr>
          <w:p w14:paraId="0B2232F3" w14:textId="77777777" w:rsidR="000F4313" w:rsidRPr="008108C9" w:rsidRDefault="00000000" w:rsidP="008108C9">
            <w:pPr>
              <w:jc w:val="center"/>
              <w:rPr>
                <w:b/>
                <w:bCs/>
                <w:lang w:bidi="ar"/>
              </w:rPr>
            </w:pPr>
            <w:r w:rsidRPr="008108C9">
              <w:rPr>
                <w:b/>
                <w:bCs/>
                <w:lang w:bidi="ar"/>
              </w:rPr>
              <w:t>VH/CD</w:t>
            </w:r>
          </w:p>
        </w:tc>
        <w:tc>
          <w:tcPr>
            <w:tcW w:w="701" w:type="pct"/>
            <w:gridSpan w:val="2"/>
            <w:tcBorders>
              <w:top w:val="single" w:sz="12" w:space="0" w:color="auto"/>
              <w:bottom w:val="single" w:sz="4" w:space="0" w:color="auto"/>
            </w:tcBorders>
          </w:tcPr>
          <w:p w14:paraId="3A095D42" w14:textId="77777777" w:rsidR="000F4313" w:rsidRPr="008108C9" w:rsidRDefault="00000000" w:rsidP="008108C9">
            <w:pPr>
              <w:jc w:val="center"/>
              <w:rPr>
                <w:b/>
                <w:bCs/>
                <w:lang w:bidi="ar"/>
              </w:rPr>
            </w:pPr>
            <w:r w:rsidRPr="008108C9">
              <w:rPr>
                <w:b/>
                <w:bCs/>
                <w:lang w:bidi="ar"/>
              </w:rPr>
              <w:t>MAdCAM-1 level</w:t>
            </w:r>
          </w:p>
        </w:tc>
        <w:tc>
          <w:tcPr>
            <w:tcW w:w="701" w:type="pct"/>
            <w:gridSpan w:val="2"/>
            <w:tcBorders>
              <w:top w:val="single" w:sz="12" w:space="0" w:color="auto"/>
              <w:bottom w:val="single" w:sz="4" w:space="0" w:color="auto"/>
            </w:tcBorders>
          </w:tcPr>
          <w:p w14:paraId="144B83AC" w14:textId="77777777" w:rsidR="000F4313" w:rsidRPr="008108C9" w:rsidRDefault="00000000" w:rsidP="008108C9">
            <w:pPr>
              <w:jc w:val="center"/>
              <w:rPr>
                <w:b/>
                <w:bCs/>
                <w:lang w:bidi="ar"/>
              </w:rPr>
            </w:pPr>
            <w:r w:rsidRPr="008108C9">
              <w:rPr>
                <w:b/>
                <w:bCs/>
                <w:lang w:bidi="ar"/>
              </w:rPr>
              <w:t>CD4+</w:t>
            </w:r>
          </w:p>
        </w:tc>
        <w:tc>
          <w:tcPr>
            <w:tcW w:w="701" w:type="pct"/>
            <w:gridSpan w:val="2"/>
            <w:tcBorders>
              <w:top w:val="single" w:sz="12" w:space="0" w:color="auto"/>
              <w:bottom w:val="single" w:sz="4" w:space="0" w:color="auto"/>
            </w:tcBorders>
          </w:tcPr>
          <w:p w14:paraId="30071708" w14:textId="77777777" w:rsidR="000F4313" w:rsidRPr="008108C9" w:rsidRDefault="00000000" w:rsidP="008108C9">
            <w:pPr>
              <w:jc w:val="center"/>
              <w:rPr>
                <w:b/>
                <w:bCs/>
                <w:lang w:bidi="ar"/>
              </w:rPr>
            </w:pPr>
            <w:r w:rsidRPr="008108C9">
              <w:rPr>
                <w:b/>
                <w:bCs/>
                <w:lang w:bidi="ar"/>
              </w:rPr>
              <w:t>CD8+</w:t>
            </w:r>
          </w:p>
        </w:tc>
      </w:tr>
      <w:tr w:rsidR="000F4313" w14:paraId="20E3056A" w14:textId="77777777" w:rsidTr="008108C9">
        <w:trPr>
          <w:tblHeader/>
          <w:jc w:val="center"/>
        </w:trPr>
        <w:tc>
          <w:tcPr>
            <w:tcW w:w="445" w:type="pct"/>
            <w:vMerge/>
            <w:tcBorders>
              <w:bottom w:val="single" w:sz="4" w:space="0" w:color="auto"/>
            </w:tcBorders>
          </w:tcPr>
          <w:p w14:paraId="1CB7FD2B" w14:textId="77777777" w:rsidR="000F4313" w:rsidRPr="008108C9" w:rsidRDefault="000F4313" w:rsidP="008108C9">
            <w:pPr>
              <w:jc w:val="left"/>
              <w:rPr>
                <w:b/>
                <w:bCs/>
              </w:rPr>
            </w:pPr>
          </w:p>
        </w:tc>
        <w:tc>
          <w:tcPr>
            <w:tcW w:w="438" w:type="pct"/>
            <w:tcBorders>
              <w:top w:val="single" w:sz="4" w:space="0" w:color="auto"/>
              <w:bottom w:val="single" w:sz="4" w:space="0" w:color="auto"/>
            </w:tcBorders>
          </w:tcPr>
          <w:p w14:paraId="597820D4" w14:textId="77777777" w:rsidR="000F4313" w:rsidRPr="008108C9" w:rsidRDefault="00000000" w:rsidP="008108C9">
            <w:pPr>
              <w:jc w:val="center"/>
              <w:rPr>
                <w:b/>
                <w:bCs/>
              </w:rPr>
            </w:pPr>
            <w:r w:rsidRPr="008108C9">
              <w:rPr>
                <w:b/>
                <w:bCs/>
                <w:lang w:bidi="ar"/>
              </w:rPr>
              <w:t>Proximal Segment</w:t>
            </w:r>
          </w:p>
        </w:tc>
        <w:tc>
          <w:tcPr>
            <w:tcW w:w="438" w:type="pct"/>
            <w:tcBorders>
              <w:top w:val="single" w:sz="4" w:space="0" w:color="auto"/>
              <w:bottom w:val="single" w:sz="4" w:space="0" w:color="auto"/>
            </w:tcBorders>
          </w:tcPr>
          <w:p w14:paraId="7090466B" w14:textId="77777777" w:rsidR="000F4313" w:rsidRPr="008108C9" w:rsidRDefault="00000000" w:rsidP="008108C9">
            <w:pPr>
              <w:jc w:val="center"/>
              <w:rPr>
                <w:b/>
                <w:bCs/>
              </w:rPr>
            </w:pPr>
            <w:r w:rsidRPr="008108C9">
              <w:rPr>
                <w:b/>
                <w:bCs/>
                <w:lang w:bidi="ar"/>
              </w:rPr>
              <w:t>Distal Segment Before Enema</w:t>
            </w:r>
          </w:p>
        </w:tc>
        <w:tc>
          <w:tcPr>
            <w:tcW w:w="438" w:type="pct"/>
            <w:tcBorders>
              <w:top w:val="single" w:sz="4" w:space="0" w:color="auto"/>
              <w:bottom w:val="single" w:sz="4" w:space="0" w:color="auto"/>
            </w:tcBorders>
          </w:tcPr>
          <w:p w14:paraId="69EA7C2B" w14:textId="77777777" w:rsidR="000F4313" w:rsidRPr="008108C9" w:rsidRDefault="00000000" w:rsidP="008108C9">
            <w:pPr>
              <w:jc w:val="center"/>
              <w:rPr>
                <w:b/>
                <w:bCs/>
              </w:rPr>
            </w:pPr>
            <w:r w:rsidRPr="008108C9">
              <w:rPr>
                <w:b/>
                <w:bCs/>
                <w:lang w:bidi="ar"/>
              </w:rPr>
              <w:t>Proximal Segment</w:t>
            </w:r>
          </w:p>
        </w:tc>
        <w:tc>
          <w:tcPr>
            <w:tcW w:w="434" w:type="pct"/>
            <w:tcBorders>
              <w:top w:val="single" w:sz="4" w:space="0" w:color="auto"/>
              <w:bottom w:val="single" w:sz="4" w:space="0" w:color="auto"/>
            </w:tcBorders>
          </w:tcPr>
          <w:p w14:paraId="63AA5CDA" w14:textId="77777777" w:rsidR="000F4313" w:rsidRPr="008108C9" w:rsidRDefault="00000000" w:rsidP="008108C9">
            <w:pPr>
              <w:jc w:val="center"/>
              <w:rPr>
                <w:b/>
                <w:bCs/>
              </w:rPr>
            </w:pPr>
            <w:r w:rsidRPr="008108C9">
              <w:rPr>
                <w:b/>
                <w:bCs/>
                <w:lang w:bidi="ar"/>
              </w:rPr>
              <w:t>Distal Segment Before Enema</w:t>
            </w:r>
          </w:p>
        </w:tc>
        <w:tc>
          <w:tcPr>
            <w:tcW w:w="351" w:type="pct"/>
            <w:tcBorders>
              <w:top w:val="single" w:sz="4" w:space="0" w:color="auto"/>
              <w:bottom w:val="single" w:sz="4" w:space="0" w:color="auto"/>
            </w:tcBorders>
          </w:tcPr>
          <w:p w14:paraId="19B9123B" w14:textId="77777777" w:rsidR="000F4313" w:rsidRPr="008108C9" w:rsidRDefault="00000000" w:rsidP="008108C9">
            <w:pPr>
              <w:jc w:val="center"/>
              <w:rPr>
                <w:b/>
                <w:bCs/>
              </w:rPr>
            </w:pPr>
            <w:r w:rsidRPr="008108C9">
              <w:rPr>
                <w:b/>
                <w:bCs/>
                <w:lang w:bidi="ar"/>
              </w:rPr>
              <w:t>Proximal Segment</w:t>
            </w:r>
          </w:p>
        </w:tc>
        <w:tc>
          <w:tcPr>
            <w:tcW w:w="351" w:type="pct"/>
            <w:tcBorders>
              <w:top w:val="single" w:sz="4" w:space="0" w:color="auto"/>
              <w:bottom w:val="single" w:sz="4" w:space="0" w:color="auto"/>
            </w:tcBorders>
          </w:tcPr>
          <w:p w14:paraId="6BFD1EA6" w14:textId="77777777" w:rsidR="000F4313" w:rsidRPr="008108C9" w:rsidRDefault="00000000" w:rsidP="008108C9">
            <w:pPr>
              <w:jc w:val="center"/>
              <w:rPr>
                <w:b/>
                <w:bCs/>
              </w:rPr>
            </w:pPr>
            <w:r w:rsidRPr="008108C9">
              <w:rPr>
                <w:b/>
                <w:bCs/>
                <w:lang w:bidi="ar"/>
              </w:rPr>
              <w:t>Distal Segment Before Enema</w:t>
            </w:r>
          </w:p>
        </w:tc>
        <w:tc>
          <w:tcPr>
            <w:tcW w:w="351" w:type="pct"/>
            <w:tcBorders>
              <w:top w:val="single" w:sz="4" w:space="0" w:color="auto"/>
              <w:bottom w:val="single" w:sz="4" w:space="0" w:color="auto"/>
            </w:tcBorders>
          </w:tcPr>
          <w:p w14:paraId="688DAF80" w14:textId="77777777" w:rsidR="000F4313" w:rsidRPr="008108C9" w:rsidRDefault="00000000" w:rsidP="008108C9">
            <w:pPr>
              <w:jc w:val="center"/>
              <w:rPr>
                <w:b/>
                <w:bCs/>
                <w:lang w:bidi="ar"/>
              </w:rPr>
            </w:pPr>
            <w:r w:rsidRPr="008108C9">
              <w:rPr>
                <w:b/>
                <w:bCs/>
                <w:lang w:bidi="ar"/>
              </w:rPr>
              <w:t>Proximal Segment</w:t>
            </w:r>
          </w:p>
        </w:tc>
        <w:tc>
          <w:tcPr>
            <w:tcW w:w="351" w:type="pct"/>
            <w:tcBorders>
              <w:top w:val="single" w:sz="4" w:space="0" w:color="auto"/>
              <w:bottom w:val="single" w:sz="4" w:space="0" w:color="auto"/>
            </w:tcBorders>
          </w:tcPr>
          <w:p w14:paraId="1E92C29B" w14:textId="77777777" w:rsidR="000F4313" w:rsidRPr="008108C9" w:rsidRDefault="00000000" w:rsidP="008108C9">
            <w:pPr>
              <w:jc w:val="center"/>
              <w:rPr>
                <w:b/>
                <w:bCs/>
                <w:lang w:bidi="ar"/>
              </w:rPr>
            </w:pPr>
            <w:r w:rsidRPr="008108C9">
              <w:rPr>
                <w:b/>
                <w:bCs/>
                <w:lang w:bidi="ar"/>
              </w:rPr>
              <w:t>Distal Segment Before Enema</w:t>
            </w:r>
          </w:p>
        </w:tc>
        <w:tc>
          <w:tcPr>
            <w:tcW w:w="351" w:type="pct"/>
            <w:tcBorders>
              <w:top w:val="single" w:sz="4" w:space="0" w:color="auto"/>
              <w:bottom w:val="single" w:sz="4" w:space="0" w:color="auto"/>
            </w:tcBorders>
          </w:tcPr>
          <w:p w14:paraId="7F406682" w14:textId="77777777" w:rsidR="000F4313" w:rsidRPr="008108C9" w:rsidRDefault="00000000" w:rsidP="008108C9">
            <w:pPr>
              <w:jc w:val="center"/>
              <w:rPr>
                <w:b/>
                <w:bCs/>
                <w:lang w:bidi="ar"/>
              </w:rPr>
            </w:pPr>
            <w:r w:rsidRPr="008108C9">
              <w:rPr>
                <w:b/>
                <w:bCs/>
                <w:lang w:bidi="ar"/>
              </w:rPr>
              <w:t>Proximal Segment</w:t>
            </w:r>
          </w:p>
        </w:tc>
        <w:tc>
          <w:tcPr>
            <w:tcW w:w="351" w:type="pct"/>
            <w:tcBorders>
              <w:top w:val="single" w:sz="4" w:space="0" w:color="auto"/>
              <w:bottom w:val="single" w:sz="4" w:space="0" w:color="auto"/>
            </w:tcBorders>
          </w:tcPr>
          <w:p w14:paraId="64A97DE3" w14:textId="77777777" w:rsidR="000F4313" w:rsidRPr="008108C9" w:rsidRDefault="00000000" w:rsidP="008108C9">
            <w:pPr>
              <w:jc w:val="center"/>
              <w:rPr>
                <w:b/>
                <w:bCs/>
                <w:lang w:bidi="ar"/>
              </w:rPr>
            </w:pPr>
            <w:r w:rsidRPr="008108C9">
              <w:rPr>
                <w:b/>
                <w:bCs/>
                <w:lang w:bidi="ar"/>
              </w:rPr>
              <w:t>Distal Segment Before Enema</w:t>
            </w:r>
          </w:p>
        </w:tc>
        <w:tc>
          <w:tcPr>
            <w:tcW w:w="351" w:type="pct"/>
            <w:tcBorders>
              <w:top w:val="single" w:sz="4" w:space="0" w:color="auto"/>
              <w:bottom w:val="single" w:sz="4" w:space="0" w:color="auto"/>
            </w:tcBorders>
          </w:tcPr>
          <w:p w14:paraId="554F669F" w14:textId="77777777" w:rsidR="000F4313" w:rsidRPr="008108C9" w:rsidRDefault="00000000" w:rsidP="008108C9">
            <w:pPr>
              <w:jc w:val="center"/>
              <w:rPr>
                <w:b/>
                <w:bCs/>
                <w:lang w:bidi="ar"/>
              </w:rPr>
            </w:pPr>
            <w:r w:rsidRPr="008108C9">
              <w:rPr>
                <w:b/>
                <w:bCs/>
                <w:lang w:bidi="ar"/>
              </w:rPr>
              <w:t>Proximal Segment</w:t>
            </w:r>
          </w:p>
        </w:tc>
        <w:tc>
          <w:tcPr>
            <w:tcW w:w="351" w:type="pct"/>
            <w:tcBorders>
              <w:top w:val="single" w:sz="4" w:space="0" w:color="auto"/>
              <w:bottom w:val="single" w:sz="4" w:space="0" w:color="auto"/>
            </w:tcBorders>
          </w:tcPr>
          <w:p w14:paraId="6220D6F3" w14:textId="77777777" w:rsidR="000F4313" w:rsidRPr="008108C9" w:rsidRDefault="00000000" w:rsidP="008108C9">
            <w:pPr>
              <w:jc w:val="center"/>
              <w:rPr>
                <w:b/>
                <w:bCs/>
                <w:lang w:bidi="ar"/>
              </w:rPr>
            </w:pPr>
            <w:r w:rsidRPr="008108C9">
              <w:rPr>
                <w:b/>
                <w:bCs/>
                <w:lang w:bidi="ar"/>
              </w:rPr>
              <w:t>Distal Segment Before Enema</w:t>
            </w:r>
          </w:p>
        </w:tc>
      </w:tr>
      <w:tr w:rsidR="000F4313" w14:paraId="728E1AC9" w14:textId="77777777" w:rsidTr="008108C9">
        <w:trPr>
          <w:tblHeader/>
          <w:jc w:val="center"/>
        </w:trPr>
        <w:tc>
          <w:tcPr>
            <w:tcW w:w="445" w:type="pct"/>
            <w:tcBorders>
              <w:top w:val="single" w:sz="4" w:space="0" w:color="auto"/>
            </w:tcBorders>
          </w:tcPr>
          <w:p w14:paraId="405384E1" w14:textId="16050905" w:rsidR="000F4313" w:rsidRDefault="00000000" w:rsidP="008108C9">
            <w:pPr>
              <w:jc w:val="left"/>
            </w:pPr>
            <w:r>
              <w:t>Isosmotic group</w:t>
            </w:r>
          </w:p>
        </w:tc>
        <w:tc>
          <w:tcPr>
            <w:tcW w:w="438" w:type="pct"/>
            <w:tcBorders>
              <w:top w:val="single" w:sz="4" w:space="0" w:color="auto"/>
            </w:tcBorders>
          </w:tcPr>
          <w:p w14:paraId="5F1D8F9E" w14:textId="4EC8BF8F" w:rsidR="000F4313" w:rsidRDefault="00000000" w:rsidP="008108C9">
            <w:pPr>
              <w:jc w:val="center"/>
            </w:pPr>
            <w:r>
              <w:rPr>
                <w:lang w:bidi="ar"/>
              </w:rPr>
              <w:t>468.38</w:t>
            </w:r>
            <w:r w:rsidR="00DE5E8B">
              <w:rPr>
                <w:lang w:bidi="ar"/>
              </w:rPr>
              <w:t xml:space="preserve"> </w:t>
            </w:r>
            <w:r>
              <w:rPr>
                <w:kern w:val="0"/>
                <w:lang w:bidi="ar"/>
              </w:rPr>
              <w:sym w:font="Symbol" w:char="00B1"/>
            </w:r>
            <w:r w:rsidR="00DE5E8B">
              <w:rPr>
                <w:kern w:val="0"/>
                <w:lang w:bidi="ar"/>
              </w:rPr>
              <w:t xml:space="preserve"> </w:t>
            </w:r>
            <w:r>
              <w:rPr>
                <w:lang w:bidi="ar"/>
              </w:rPr>
              <w:t>34.28</w:t>
            </w:r>
          </w:p>
        </w:tc>
        <w:tc>
          <w:tcPr>
            <w:tcW w:w="438" w:type="pct"/>
            <w:tcBorders>
              <w:top w:val="single" w:sz="4" w:space="0" w:color="auto"/>
            </w:tcBorders>
          </w:tcPr>
          <w:p w14:paraId="0C1B7F1C" w14:textId="70919B19" w:rsidR="000F4313" w:rsidRDefault="00000000" w:rsidP="008108C9">
            <w:pPr>
              <w:jc w:val="center"/>
            </w:pPr>
            <w:r>
              <w:rPr>
                <w:lang w:bidi="ar"/>
              </w:rPr>
              <w:t>330.08</w:t>
            </w:r>
            <w:r w:rsidR="00DE5E8B">
              <w:rPr>
                <w:lang w:bidi="ar"/>
              </w:rPr>
              <w:t xml:space="preserve"> </w:t>
            </w:r>
            <w:r>
              <w:rPr>
                <w:kern w:val="0"/>
                <w:lang w:bidi="ar"/>
              </w:rPr>
              <w:sym w:font="Symbol" w:char="00B1"/>
            </w:r>
            <w:r w:rsidR="00DE5E8B">
              <w:rPr>
                <w:kern w:val="0"/>
                <w:lang w:bidi="ar"/>
              </w:rPr>
              <w:t xml:space="preserve"> </w:t>
            </w:r>
            <w:r>
              <w:rPr>
                <w:lang w:bidi="ar"/>
              </w:rPr>
              <w:t>26.81</w:t>
            </w:r>
          </w:p>
        </w:tc>
        <w:tc>
          <w:tcPr>
            <w:tcW w:w="438" w:type="pct"/>
            <w:tcBorders>
              <w:top w:val="single" w:sz="4" w:space="0" w:color="auto"/>
            </w:tcBorders>
          </w:tcPr>
          <w:p w14:paraId="15E81F6E" w14:textId="782A48A3" w:rsidR="000F4313" w:rsidRDefault="00000000" w:rsidP="008108C9">
            <w:pPr>
              <w:jc w:val="center"/>
            </w:pPr>
            <w:r>
              <w:rPr>
                <w:lang w:bidi="ar"/>
              </w:rPr>
              <w:t>150.69</w:t>
            </w:r>
            <w:r w:rsidR="00DE5E8B">
              <w:rPr>
                <w:lang w:bidi="ar"/>
              </w:rPr>
              <w:t xml:space="preserve"> </w:t>
            </w:r>
            <w:r>
              <w:rPr>
                <w:kern w:val="0"/>
                <w:lang w:bidi="ar"/>
              </w:rPr>
              <w:sym w:font="Symbol" w:char="00B1"/>
            </w:r>
            <w:r w:rsidR="00DE5E8B">
              <w:rPr>
                <w:kern w:val="0"/>
                <w:lang w:bidi="ar"/>
              </w:rPr>
              <w:t xml:space="preserve"> </w:t>
            </w:r>
            <w:r>
              <w:rPr>
                <w:lang w:bidi="ar"/>
              </w:rPr>
              <w:t>8.29</w:t>
            </w:r>
          </w:p>
        </w:tc>
        <w:tc>
          <w:tcPr>
            <w:tcW w:w="434" w:type="pct"/>
            <w:tcBorders>
              <w:top w:val="single" w:sz="4" w:space="0" w:color="auto"/>
            </w:tcBorders>
          </w:tcPr>
          <w:p w14:paraId="050A72AA" w14:textId="709665FD" w:rsidR="000F4313" w:rsidRDefault="00000000" w:rsidP="008108C9">
            <w:pPr>
              <w:jc w:val="center"/>
            </w:pPr>
            <w:r>
              <w:rPr>
                <w:lang w:bidi="ar"/>
              </w:rPr>
              <w:t>111.39</w:t>
            </w:r>
            <w:r w:rsidR="00DE5E8B">
              <w:rPr>
                <w:lang w:bidi="ar"/>
              </w:rPr>
              <w:t xml:space="preserve"> </w:t>
            </w:r>
            <w:r>
              <w:rPr>
                <w:kern w:val="0"/>
                <w:lang w:bidi="ar"/>
              </w:rPr>
              <w:sym w:font="Symbol" w:char="00B1"/>
            </w:r>
            <w:r w:rsidR="00DE5E8B">
              <w:rPr>
                <w:kern w:val="0"/>
                <w:lang w:bidi="ar"/>
              </w:rPr>
              <w:t xml:space="preserve"> </w:t>
            </w:r>
            <w:r>
              <w:rPr>
                <w:lang w:bidi="ar"/>
              </w:rPr>
              <w:t>11.61</w:t>
            </w:r>
          </w:p>
        </w:tc>
        <w:tc>
          <w:tcPr>
            <w:tcW w:w="351" w:type="pct"/>
            <w:tcBorders>
              <w:top w:val="single" w:sz="4" w:space="0" w:color="auto"/>
            </w:tcBorders>
          </w:tcPr>
          <w:p w14:paraId="7CDDA3F8" w14:textId="480AB146" w:rsidR="000F4313" w:rsidRDefault="00000000" w:rsidP="008108C9">
            <w:pPr>
              <w:jc w:val="center"/>
            </w:pPr>
            <w:r>
              <w:rPr>
                <w:lang w:bidi="ar"/>
              </w:rPr>
              <w:t>3.11</w:t>
            </w:r>
            <w:r w:rsidR="00DE5E8B">
              <w:rPr>
                <w:lang w:bidi="ar"/>
              </w:rPr>
              <w:t xml:space="preserve"> </w:t>
            </w:r>
            <w:r>
              <w:rPr>
                <w:kern w:val="0"/>
                <w:lang w:bidi="ar"/>
              </w:rPr>
              <w:sym w:font="Symbol" w:char="00B1"/>
            </w:r>
            <w:r w:rsidR="00DE5E8B">
              <w:rPr>
                <w:kern w:val="0"/>
                <w:lang w:bidi="ar"/>
              </w:rPr>
              <w:t xml:space="preserve"> </w:t>
            </w:r>
            <w:r>
              <w:rPr>
                <w:lang w:bidi="ar"/>
              </w:rPr>
              <w:t>0.14</w:t>
            </w:r>
          </w:p>
        </w:tc>
        <w:tc>
          <w:tcPr>
            <w:tcW w:w="351" w:type="pct"/>
            <w:tcBorders>
              <w:top w:val="single" w:sz="4" w:space="0" w:color="auto"/>
            </w:tcBorders>
          </w:tcPr>
          <w:p w14:paraId="5DE8547B" w14:textId="031B6E43" w:rsidR="000F4313" w:rsidRDefault="00000000" w:rsidP="008108C9">
            <w:pPr>
              <w:jc w:val="center"/>
            </w:pPr>
            <w:r>
              <w:rPr>
                <w:kern w:val="0"/>
                <w:lang w:bidi="ar"/>
              </w:rPr>
              <w:t>2.99</w:t>
            </w:r>
            <w:r w:rsidR="00DE5E8B">
              <w:rPr>
                <w:kern w:val="0"/>
                <w:lang w:bidi="ar"/>
              </w:rPr>
              <w:t xml:space="preserve"> </w:t>
            </w:r>
            <w:r>
              <w:rPr>
                <w:kern w:val="0"/>
                <w:lang w:bidi="ar"/>
              </w:rPr>
              <w:sym w:font="Symbol" w:char="00B1"/>
            </w:r>
            <w:r w:rsidR="00DE5E8B">
              <w:rPr>
                <w:kern w:val="0"/>
                <w:lang w:bidi="ar"/>
              </w:rPr>
              <w:t xml:space="preserve"> </w:t>
            </w:r>
            <w:r>
              <w:rPr>
                <w:lang w:bidi="ar"/>
              </w:rPr>
              <w:t>0.35</w:t>
            </w:r>
          </w:p>
        </w:tc>
        <w:tc>
          <w:tcPr>
            <w:tcW w:w="351" w:type="pct"/>
            <w:tcBorders>
              <w:top w:val="single" w:sz="4" w:space="0" w:color="auto"/>
            </w:tcBorders>
          </w:tcPr>
          <w:p w14:paraId="34FDE866" w14:textId="79CE959C" w:rsidR="000F4313" w:rsidRDefault="00000000" w:rsidP="008108C9">
            <w:pPr>
              <w:jc w:val="center"/>
              <w:rPr>
                <w:kern w:val="0"/>
                <w:lang w:bidi="ar"/>
              </w:rPr>
            </w:pPr>
            <w:r>
              <w:rPr>
                <w:kern w:val="0"/>
                <w:lang w:bidi="ar"/>
              </w:rPr>
              <w:t>0.65</w:t>
            </w:r>
            <w:r w:rsidR="00DE5E8B">
              <w:rPr>
                <w:kern w:val="0"/>
                <w:lang w:bidi="ar"/>
              </w:rPr>
              <w:t xml:space="preserve"> </w:t>
            </w:r>
            <w:r>
              <w:rPr>
                <w:kern w:val="0"/>
                <w:lang w:bidi="ar"/>
              </w:rPr>
              <w:sym w:font="Symbol" w:char="00B1"/>
            </w:r>
            <w:r w:rsidR="00DE5E8B">
              <w:rPr>
                <w:kern w:val="0"/>
                <w:lang w:bidi="ar"/>
              </w:rPr>
              <w:t xml:space="preserve"> </w:t>
            </w:r>
            <w:r>
              <w:rPr>
                <w:kern w:val="0"/>
                <w:lang w:bidi="ar"/>
              </w:rPr>
              <w:t>0.06</w:t>
            </w:r>
          </w:p>
        </w:tc>
        <w:tc>
          <w:tcPr>
            <w:tcW w:w="351" w:type="pct"/>
            <w:tcBorders>
              <w:top w:val="single" w:sz="4" w:space="0" w:color="auto"/>
            </w:tcBorders>
          </w:tcPr>
          <w:p w14:paraId="0BC9523F" w14:textId="5883E17F" w:rsidR="000F4313" w:rsidRDefault="00000000" w:rsidP="008108C9">
            <w:pPr>
              <w:jc w:val="center"/>
              <w:rPr>
                <w:kern w:val="0"/>
                <w:lang w:bidi="ar"/>
              </w:rPr>
            </w:pPr>
            <w:r>
              <w:rPr>
                <w:kern w:val="0"/>
                <w:lang w:bidi="ar"/>
              </w:rPr>
              <w:t>0.35</w:t>
            </w:r>
            <w:r w:rsidR="00DE5E8B">
              <w:rPr>
                <w:kern w:val="0"/>
                <w:lang w:bidi="ar"/>
              </w:rPr>
              <w:t xml:space="preserve"> </w:t>
            </w:r>
            <w:r>
              <w:rPr>
                <w:kern w:val="0"/>
                <w:lang w:bidi="ar"/>
              </w:rPr>
              <w:sym w:font="Symbol" w:char="00B1"/>
            </w:r>
            <w:r w:rsidR="00DE5E8B">
              <w:rPr>
                <w:kern w:val="0"/>
                <w:lang w:bidi="ar"/>
              </w:rPr>
              <w:t xml:space="preserve"> </w:t>
            </w:r>
            <w:r>
              <w:rPr>
                <w:kern w:val="0"/>
                <w:lang w:bidi="ar"/>
              </w:rPr>
              <w:t>0.05</w:t>
            </w:r>
          </w:p>
        </w:tc>
        <w:tc>
          <w:tcPr>
            <w:tcW w:w="351" w:type="pct"/>
            <w:tcBorders>
              <w:top w:val="single" w:sz="4" w:space="0" w:color="auto"/>
            </w:tcBorders>
          </w:tcPr>
          <w:p w14:paraId="4564EF69" w14:textId="3E1AB4A7" w:rsidR="000F4313" w:rsidRDefault="00000000" w:rsidP="008108C9">
            <w:pPr>
              <w:jc w:val="center"/>
              <w:rPr>
                <w:kern w:val="0"/>
                <w:lang w:bidi="ar"/>
              </w:rPr>
            </w:pPr>
            <w:r>
              <w:rPr>
                <w:kern w:val="0"/>
                <w:lang w:bidi="ar"/>
              </w:rPr>
              <w:t>0.48</w:t>
            </w:r>
            <w:r w:rsidR="00DE5E8B">
              <w:rPr>
                <w:kern w:val="0"/>
                <w:lang w:bidi="ar"/>
              </w:rPr>
              <w:t xml:space="preserve"> </w:t>
            </w:r>
            <w:r>
              <w:rPr>
                <w:kern w:val="0"/>
                <w:lang w:bidi="ar"/>
              </w:rPr>
              <w:sym w:font="Symbol" w:char="00B1"/>
            </w:r>
            <w:r w:rsidR="00DE5E8B">
              <w:rPr>
                <w:kern w:val="0"/>
                <w:lang w:bidi="ar"/>
              </w:rPr>
              <w:t xml:space="preserve"> </w:t>
            </w:r>
            <w:r>
              <w:rPr>
                <w:kern w:val="0"/>
                <w:lang w:bidi="ar"/>
              </w:rPr>
              <w:t>0.03</w:t>
            </w:r>
          </w:p>
        </w:tc>
        <w:tc>
          <w:tcPr>
            <w:tcW w:w="351" w:type="pct"/>
            <w:tcBorders>
              <w:top w:val="single" w:sz="4" w:space="0" w:color="auto"/>
            </w:tcBorders>
          </w:tcPr>
          <w:p w14:paraId="4C4175A5" w14:textId="02FFFC1E" w:rsidR="000F4313" w:rsidRDefault="00000000" w:rsidP="008108C9">
            <w:pPr>
              <w:jc w:val="center"/>
              <w:rPr>
                <w:kern w:val="0"/>
                <w:lang w:bidi="ar"/>
              </w:rPr>
            </w:pPr>
            <w:r>
              <w:rPr>
                <w:kern w:val="0"/>
                <w:lang w:bidi="ar"/>
              </w:rPr>
              <w:t>0.31</w:t>
            </w:r>
            <w:r w:rsidR="00DE5E8B">
              <w:rPr>
                <w:kern w:val="0"/>
                <w:lang w:bidi="ar"/>
              </w:rPr>
              <w:t xml:space="preserve"> </w:t>
            </w:r>
            <w:r>
              <w:rPr>
                <w:kern w:val="0"/>
                <w:lang w:bidi="ar"/>
              </w:rPr>
              <w:sym w:font="Symbol" w:char="00B1"/>
            </w:r>
            <w:r w:rsidR="00DE5E8B">
              <w:rPr>
                <w:kern w:val="0"/>
                <w:lang w:bidi="ar"/>
              </w:rPr>
              <w:t xml:space="preserve"> </w:t>
            </w:r>
            <w:r>
              <w:rPr>
                <w:kern w:val="0"/>
                <w:lang w:bidi="ar"/>
              </w:rPr>
              <w:t>0.03</w:t>
            </w:r>
          </w:p>
        </w:tc>
        <w:tc>
          <w:tcPr>
            <w:tcW w:w="351" w:type="pct"/>
            <w:tcBorders>
              <w:top w:val="single" w:sz="4" w:space="0" w:color="auto"/>
            </w:tcBorders>
          </w:tcPr>
          <w:p w14:paraId="064B275E" w14:textId="24560DB4" w:rsidR="000F4313" w:rsidRDefault="00000000" w:rsidP="008108C9">
            <w:pPr>
              <w:jc w:val="center"/>
              <w:rPr>
                <w:kern w:val="0"/>
                <w:lang w:bidi="ar"/>
              </w:rPr>
            </w:pPr>
            <w:r>
              <w:rPr>
                <w:kern w:val="0"/>
                <w:lang w:bidi="ar"/>
              </w:rPr>
              <w:t>0.41</w:t>
            </w:r>
            <w:r w:rsidR="00DE5E8B">
              <w:rPr>
                <w:kern w:val="0"/>
                <w:lang w:bidi="ar"/>
              </w:rPr>
              <w:t xml:space="preserve"> </w:t>
            </w:r>
            <w:r>
              <w:rPr>
                <w:kern w:val="0"/>
                <w:lang w:bidi="ar"/>
              </w:rPr>
              <w:sym w:font="Symbol" w:char="00B1"/>
            </w:r>
            <w:r w:rsidR="00DE5E8B">
              <w:rPr>
                <w:kern w:val="0"/>
                <w:lang w:bidi="ar"/>
              </w:rPr>
              <w:t xml:space="preserve"> </w:t>
            </w:r>
            <w:r>
              <w:rPr>
                <w:kern w:val="0"/>
                <w:lang w:bidi="ar"/>
              </w:rPr>
              <w:t>0.04</w:t>
            </w:r>
          </w:p>
        </w:tc>
        <w:tc>
          <w:tcPr>
            <w:tcW w:w="351" w:type="pct"/>
            <w:tcBorders>
              <w:top w:val="single" w:sz="4" w:space="0" w:color="auto"/>
            </w:tcBorders>
          </w:tcPr>
          <w:p w14:paraId="0C31EE42" w14:textId="23314A16" w:rsidR="000F4313" w:rsidRDefault="00000000" w:rsidP="008108C9">
            <w:pPr>
              <w:jc w:val="center"/>
              <w:rPr>
                <w:kern w:val="0"/>
                <w:lang w:bidi="ar"/>
              </w:rPr>
            </w:pPr>
            <w:r>
              <w:rPr>
                <w:kern w:val="0"/>
                <w:lang w:bidi="ar"/>
              </w:rPr>
              <w:t>0.27</w:t>
            </w:r>
            <w:r w:rsidR="00DE5E8B">
              <w:rPr>
                <w:kern w:val="0"/>
                <w:lang w:bidi="ar"/>
              </w:rPr>
              <w:t xml:space="preserve"> </w:t>
            </w:r>
            <w:r>
              <w:rPr>
                <w:kern w:val="0"/>
                <w:lang w:bidi="ar"/>
              </w:rPr>
              <w:sym w:font="Symbol" w:char="00B1"/>
            </w:r>
            <w:r w:rsidR="00DE5E8B">
              <w:rPr>
                <w:kern w:val="0"/>
                <w:lang w:bidi="ar"/>
              </w:rPr>
              <w:t xml:space="preserve"> </w:t>
            </w:r>
            <w:r>
              <w:rPr>
                <w:kern w:val="0"/>
                <w:lang w:bidi="ar"/>
              </w:rPr>
              <w:t>0.03</w:t>
            </w:r>
          </w:p>
        </w:tc>
      </w:tr>
      <w:tr w:rsidR="000F4313" w14:paraId="3A568C5A" w14:textId="77777777" w:rsidTr="008108C9">
        <w:trPr>
          <w:tblHeader/>
          <w:jc w:val="center"/>
        </w:trPr>
        <w:tc>
          <w:tcPr>
            <w:tcW w:w="445" w:type="pct"/>
          </w:tcPr>
          <w:p w14:paraId="50A695CB" w14:textId="77777777" w:rsidR="000F4313" w:rsidRDefault="00000000" w:rsidP="008108C9">
            <w:pPr>
              <w:jc w:val="left"/>
            </w:pPr>
            <w:r>
              <w:t>Hyperosmotic group</w:t>
            </w:r>
          </w:p>
        </w:tc>
        <w:tc>
          <w:tcPr>
            <w:tcW w:w="438" w:type="pct"/>
          </w:tcPr>
          <w:p w14:paraId="21CD617E" w14:textId="6140E304" w:rsidR="000F4313" w:rsidRDefault="00000000" w:rsidP="008108C9">
            <w:pPr>
              <w:jc w:val="center"/>
            </w:pPr>
            <w:r>
              <w:rPr>
                <w:lang w:bidi="ar"/>
              </w:rPr>
              <w:t>472.70</w:t>
            </w:r>
            <w:r w:rsidR="00DE5E8B">
              <w:rPr>
                <w:lang w:bidi="ar"/>
              </w:rPr>
              <w:t xml:space="preserve"> </w:t>
            </w:r>
            <w:r>
              <w:rPr>
                <w:kern w:val="0"/>
                <w:lang w:bidi="ar"/>
              </w:rPr>
              <w:sym w:font="Symbol" w:char="00B1"/>
            </w:r>
            <w:r w:rsidR="00DE5E8B">
              <w:rPr>
                <w:kern w:val="0"/>
                <w:lang w:bidi="ar"/>
              </w:rPr>
              <w:t xml:space="preserve"> </w:t>
            </w:r>
            <w:r>
              <w:rPr>
                <w:lang w:bidi="ar"/>
              </w:rPr>
              <w:t>27.70</w:t>
            </w:r>
          </w:p>
        </w:tc>
        <w:tc>
          <w:tcPr>
            <w:tcW w:w="438" w:type="pct"/>
          </w:tcPr>
          <w:p w14:paraId="5F21E2F5" w14:textId="137FA538" w:rsidR="000F4313" w:rsidRDefault="00000000" w:rsidP="008108C9">
            <w:pPr>
              <w:jc w:val="center"/>
            </w:pPr>
            <w:r>
              <w:rPr>
                <w:lang w:bidi="ar"/>
              </w:rPr>
              <w:t>325.98</w:t>
            </w:r>
            <w:r w:rsidR="00DE5E8B">
              <w:rPr>
                <w:lang w:bidi="ar"/>
              </w:rPr>
              <w:t xml:space="preserve"> </w:t>
            </w:r>
            <w:r>
              <w:rPr>
                <w:kern w:val="0"/>
                <w:lang w:bidi="ar"/>
              </w:rPr>
              <w:sym w:font="Symbol" w:char="00B1"/>
            </w:r>
            <w:r w:rsidR="00DE5E8B">
              <w:rPr>
                <w:kern w:val="0"/>
                <w:lang w:bidi="ar"/>
              </w:rPr>
              <w:t xml:space="preserve"> </w:t>
            </w:r>
            <w:r>
              <w:rPr>
                <w:lang w:bidi="ar"/>
              </w:rPr>
              <w:t>28.83</w:t>
            </w:r>
          </w:p>
        </w:tc>
        <w:tc>
          <w:tcPr>
            <w:tcW w:w="438" w:type="pct"/>
          </w:tcPr>
          <w:p w14:paraId="320CB615" w14:textId="1ECBEA3C" w:rsidR="000F4313" w:rsidRDefault="00000000" w:rsidP="008108C9">
            <w:pPr>
              <w:jc w:val="center"/>
            </w:pPr>
            <w:r>
              <w:rPr>
                <w:lang w:bidi="ar"/>
              </w:rPr>
              <w:t>147.72</w:t>
            </w:r>
            <w:r w:rsidR="00DE5E8B">
              <w:rPr>
                <w:lang w:bidi="ar"/>
              </w:rPr>
              <w:t xml:space="preserve"> </w:t>
            </w:r>
            <w:r>
              <w:rPr>
                <w:kern w:val="0"/>
                <w:lang w:bidi="ar"/>
              </w:rPr>
              <w:sym w:font="Symbol" w:char="00B1"/>
            </w:r>
            <w:r w:rsidR="00DE5E8B">
              <w:rPr>
                <w:kern w:val="0"/>
                <w:lang w:bidi="ar"/>
              </w:rPr>
              <w:t xml:space="preserve"> </w:t>
            </w:r>
            <w:r>
              <w:rPr>
                <w:kern w:val="0"/>
                <w:lang w:bidi="ar"/>
              </w:rPr>
              <w:t>10.00</w:t>
            </w:r>
          </w:p>
        </w:tc>
        <w:tc>
          <w:tcPr>
            <w:tcW w:w="434" w:type="pct"/>
          </w:tcPr>
          <w:p w14:paraId="2CB21EBE" w14:textId="52A4FC78" w:rsidR="000F4313" w:rsidRDefault="00000000" w:rsidP="008108C9">
            <w:pPr>
              <w:jc w:val="center"/>
            </w:pPr>
            <w:r>
              <w:rPr>
                <w:lang w:bidi="ar"/>
              </w:rPr>
              <w:t>111.47</w:t>
            </w:r>
            <w:r w:rsidR="00DE5E8B">
              <w:rPr>
                <w:lang w:bidi="ar"/>
              </w:rPr>
              <w:t xml:space="preserve"> </w:t>
            </w:r>
            <w:r>
              <w:rPr>
                <w:kern w:val="0"/>
                <w:lang w:bidi="ar"/>
              </w:rPr>
              <w:sym w:font="Symbol" w:char="00B1"/>
            </w:r>
            <w:r w:rsidR="00DE5E8B">
              <w:rPr>
                <w:kern w:val="0"/>
                <w:lang w:bidi="ar"/>
              </w:rPr>
              <w:t xml:space="preserve"> </w:t>
            </w:r>
            <w:r>
              <w:rPr>
                <w:lang w:bidi="ar"/>
              </w:rPr>
              <w:t>13.25</w:t>
            </w:r>
          </w:p>
        </w:tc>
        <w:tc>
          <w:tcPr>
            <w:tcW w:w="351" w:type="pct"/>
          </w:tcPr>
          <w:p w14:paraId="48523411" w14:textId="7687F0A6" w:rsidR="000F4313" w:rsidRDefault="00000000" w:rsidP="008108C9">
            <w:pPr>
              <w:jc w:val="center"/>
            </w:pPr>
            <w:r>
              <w:rPr>
                <w:lang w:bidi="ar"/>
              </w:rPr>
              <w:t>3.21</w:t>
            </w:r>
            <w:r w:rsidR="00DE5E8B">
              <w:rPr>
                <w:lang w:bidi="ar"/>
              </w:rPr>
              <w:t xml:space="preserve"> </w:t>
            </w:r>
            <w:r>
              <w:rPr>
                <w:kern w:val="0"/>
                <w:lang w:bidi="ar"/>
              </w:rPr>
              <w:sym w:font="Symbol" w:char="00B1"/>
            </w:r>
            <w:r w:rsidR="00DE5E8B">
              <w:rPr>
                <w:kern w:val="0"/>
                <w:lang w:bidi="ar"/>
              </w:rPr>
              <w:t xml:space="preserve"> </w:t>
            </w:r>
            <w:r>
              <w:rPr>
                <w:lang w:bidi="ar"/>
              </w:rPr>
              <w:t>0.15</w:t>
            </w:r>
          </w:p>
        </w:tc>
        <w:tc>
          <w:tcPr>
            <w:tcW w:w="351" w:type="pct"/>
          </w:tcPr>
          <w:p w14:paraId="14A4503D" w14:textId="14B771F5" w:rsidR="000F4313" w:rsidRDefault="00000000" w:rsidP="008108C9">
            <w:pPr>
              <w:jc w:val="center"/>
            </w:pPr>
            <w:r>
              <w:rPr>
                <w:lang w:bidi="ar"/>
              </w:rPr>
              <w:t>2.96</w:t>
            </w:r>
            <w:r w:rsidR="00DE5E8B">
              <w:rPr>
                <w:lang w:bidi="ar"/>
              </w:rPr>
              <w:t xml:space="preserve"> </w:t>
            </w:r>
            <w:r>
              <w:rPr>
                <w:kern w:val="0"/>
                <w:lang w:bidi="ar"/>
              </w:rPr>
              <w:sym w:font="Symbol" w:char="00B1"/>
            </w:r>
            <w:r w:rsidR="00DE5E8B">
              <w:rPr>
                <w:kern w:val="0"/>
                <w:lang w:bidi="ar"/>
              </w:rPr>
              <w:t xml:space="preserve"> </w:t>
            </w:r>
            <w:r>
              <w:rPr>
                <w:lang w:bidi="ar"/>
              </w:rPr>
              <w:t>0.43</w:t>
            </w:r>
          </w:p>
        </w:tc>
        <w:tc>
          <w:tcPr>
            <w:tcW w:w="351" w:type="pct"/>
          </w:tcPr>
          <w:p w14:paraId="7EA6E263" w14:textId="017D13B0" w:rsidR="000F4313" w:rsidRDefault="00000000" w:rsidP="008108C9">
            <w:pPr>
              <w:jc w:val="center"/>
              <w:rPr>
                <w:lang w:bidi="ar"/>
              </w:rPr>
            </w:pPr>
            <w:r>
              <w:rPr>
                <w:kern w:val="0"/>
                <w:lang w:bidi="ar"/>
              </w:rPr>
              <w:t>0.66</w:t>
            </w:r>
            <w:r w:rsidR="00DE5E8B">
              <w:rPr>
                <w:kern w:val="0"/>
                <w:lang w:bidi="ar"/>
              </w:rPr>
              <w:t xml:space="preserve"> </w:t>
            </w:r>
            <w:r>
              <w:rPr>
                <w:kern w:val="0"/>
                <w:lang w:bidi="ar"/>
              </w:rPr>
              <w:sym w:font="Symbol" w:char="00B1"/>
            </w:r>
            <w:r w:rsidR="00DE5E8B">
              <w:rPr>
                <w:kern w:val="0"/>
                <w:lang w:bidi="ar"/>
              </w:rPr>
              <w:t xml:space="preserve"> </w:t>
            </w:r>
            <w:r>
              <w:rPr>
                <w:kern w:val="0"/>
                <w:lang w:bidi="ar"/>
              </w:rPr>
              <w:t>0.49</w:t>
            </w:r>
          </w:p>
        </w:tc>
        <w:tc>
          <w:tcPr>
            <w:tcW w:w="351" w:type="pct"/>
          </w:tcPr>
          <w:p w14:paraId="6347F2F0" w14:textId="40E49912" w:rsidR="000F4313" w:rsidRDefault="00000000" w:rsidP="008108C9">
            <w:pPr>
              <w:jc w:val="center"/>
              <w:rPr>
                <w:lang w:bidi="ar"/>
              </w:rPr>
            </w:pPr>
            <w:r>
              <w:rPr>
                <w:kern w:val="0"/>
                <w:lang w:bidi="ar"/>
              </w:rPr>
              <w:t>0.34</w:t>
            </w:r>
            <w:r w:rsidR="00DE5E8B">
              <w:rPr>
                <w:kern w:val="0"/>
                <w:lang w:bidi="ar"/>
              </w:rPr>
              <w:t xml:space="preserve"> </w:t>
            </w:r>
            <w:r>
              <w:rPr>
                <w:kern w:val="0"/>
                <w:lang w:bidi="ar"/>
              </w:rPr>
              <w:sym w:font="Symbol" w:char="00B1"/>
            </w:r>
            <w:r w:rsidR="00DE5E8B">
              <w:rPr>
                <w:kern w:val="0"/>
                <w:lang w:bidi="ar"/>
              </w:rPr>
              <w:t xml:space="preserve"> </w:t>
            </w:r>
            <w:r>
              <w:rPr>
                <w:kern w:val="0"/>
                <w:lang w:bidi="ar"/>
              </w:rPr>
              <w:t>0.05</w:t>
            </w:r>
          </w:p>
        </w:tc>
        <w:tc>
          <w:tcPr>
            <w:tcW w:w="351" w:type="pct"/>
          </w:tcPr>
          <w:p w14:paraId="5A3FCE82" w14:textId="7972669A" w:rsidR="000F4313" w:rsidRDefault="00000000" w:rsidP="008108C9">
            <w:pPr>
              <w:jc w:val="center"/>
              <w:rPr>
                <w:lang w:bidi="ar"/>
              </w:rPr>
            </w:pPr>
            <w:r>
              <w:rPr>
                <w:kern w:val="0"/>
                <w:lang w:bidi="ar"/>
              </w:rPr>
              <w:t>0.50</w:t>
            </w:r>
            <w:r w:rsidR="00DE5E8B">
              <w:rPr>
                <w:kern w:val="0"/>
                <w:lang w:bidi="ar"/>
              </w:rPr>
              <w:t xml:space="preserve"> </w:t>
            </w:r>
            <w:r>
              <w:rPr>
                <w:kern w:val="0"/>
                <w:lang w:bidi="ar"/>
              </w:rPr>
              <w:sym w:font="Symbol" w:char="00B1"/>
            </w:r>
            <w:r w:rsidR="00DE5E8B">
              <w:rPr>
                <w:kern w:val="0"/>
                <w:lang w:bidi="ar"/>
              </w:rPr>
              <w:t xml:space="preserve"> </w:t>
            </w:r>
            <w:r>
              <w:rPr>
                <w:kern w:val="0"/>
                <w:lang w:bidi="ar"/>
              </w:rPr>
              <w:t>0.03</w:t>
            </w:r>
          </w:p>
        </w:tc>
        <w:tc>
          <w:tcPr>
            <w:tcW w:w="351" w:type="pct"/>
          </w:tcPr>
          <w:p w14:paraId="5CE22B97" w14:textId="796AD8DA" w:rsidR="000F4313" w:rsidRDefault="00000000" w:rsidP="008108C9">
            <w:pPr>
              <w:jc w:val="center"/>
              <w:rPr>
                <w:lang w:bidi="ar"/>
              </w:rPr>
            </w:pPr>
            <w:r>
              <w:rPr>
                <w:kern w:val="0"/>
                <w:lang w:bidi="ar"/>
              </w:rPr>
              <w:t>0.32</w:t>
            </w:r>
            <w:r w:rsidR="00DE5E8B">
              <w:rPr>
                <w:kern w:val="0"/>
                <w:lang w:bidi="ar"/>
              </w:rPr>
              <w:t xml:space="preserve"> </w:t>
            </w:r>
            <w:r>
              <w:rPr>
                <w:kern w:val="0"/>
                <w:lang w:bidi="ar"/>
              </w:rPr>
              <w:sym w:font="Symbol" w:char="00B1"/>
            </w:r>
            <w:r w:rsidR="00DE5E8B">
              <w:rPr>
                <w:kern w:val="0"/>
                <w:lang w:bidi="ar"/>
              </w:rPr>
              <w:t xml:space="preserve"> </w:t>
            </w:r>
            <w:r>
              <w:rPr>
                <w:kern w:val="0"/>
                <w:lang w:bidi="ar"/>
              </w:rPr>
              <w:t>0.02</w:t>
            </w:r>
          </w:p>
        </w:tc>
        <w:tc>
          <w:tcPr>
            <w:tcW w:w="351" w:type="pct"/>
          </w:tcPr>
          <w:p w14:paraId="6BAF1BF1" w14:textId="154F1EBB" w:rsidR="000F4313" w:rsidRDefault="00000000" w:rsidP="008108C9">
            <w:pPr>
              <w:jc w:val="center"/>
              <w:rPr>
                <w:lang w:bidi="ar"/>
              </w:rPr>
            </w:pPr>
            <w:r>
              <w:rPr>
                <w:kern w:val="0"/>
                <w:lang w:bidi="ar"/>
              </w:rPr>
              <w:t>0.40</w:t>
            </w:r>
            <w:r w:rsidR="00DE5E8B">
              <w:rPr>
                <w:kern w:val="0"/>
                <w:lang w:bidi="ar"/>
              </w:rPr>
              <w:t xml:space="preserve"> </w:t>
            </w:r>
            <w:r>
              <w:rPr>
                <w:kern w:val="0"/>
                <w:lang w:bidi="ar"/>
              </w:rPr>
              <w:sym w:font="Symbol" w:char="00B1"/>
            </w:r>
            <w:r w:rsidR="00DE5E8B">
              <w:rPr>
                <w:kern w:val="0"/>
                <w:lang w:bidi="ar"/>
              </w:rPr>
              <w:t xml:space="preserve"> </w:t>
            </w:r>
            <w:r>
              <w:rPr>
                <w:kern w:val="0"/>
                <w:lang w:bidi="ar"/>
              </w:rPr>
              <w:t>0.03</w:t>
            </w:r>
          </w:p>
        </w:tc>
        <w:tc>
          <w:tcPr>
            <w:tcW w:w="351" w:type="pct"/>
          </w:tcPr>
          <w:p w14:paraId="37CFCF75" w14:textId="473E1640" w:rsidR="000F4313" w:rsidRDefault="00000000" w:rsidP="008108C9">
            <w:pPr>
              <w:jc w:val="center"/>
              <w:rPr>
                <w:lang w:bidi="ar"/>
              </w:rPr>
            </w:pPr>
            <w:r>
              <w:rPr>
                <w:kern w:val="0"/>
                <w:lang w:bidi="ar"/>
              </w:rPr>
              <w:t>0.26</w:t>
            </w:r>
            <w:r w:rsidR="00DE5E8B">
              <w:rPr>
                <w:kern w:val="0"/>
                <w:lang w:bidi="ar"/>
              </w:rPr>
              <w:t xml:space="preserve"> </w:t>
            </w:r>
            <w:r>
              <w:rPr>
                <w:kern w:val="0"/>
                <w:lang w:bidi="ar"/>
              </w:rPr>
              <w:sym w:font="Symbol" w:char="00B1"/>
            </w:r>
            <w:r w:rsidR="00DE5E8B">
              <w:rPr>
                <w:kern w:val="0"/>
                <w:lang w:bidi="ar"/>
              </w:rPr>
              <w:t xml:space="preserve"> </w:t>
            </w:r>
            <w:r>
              <w:rPr>
                <w:kern w:val="0"/>
                <w:lang w:bidi="ar"/>
              </w:rPr>
              <w:t>0.02</w:t>
            </w:r>
          </w:p>
        </w:tc>
      </w:tr>
      <w:tr w:rsidR="000F4313" w14:paraId="15A3A364" w14:textId="77777777" w:rsidTr="008108C9">
        <w:trPr>
          <w:tblHeader/>
          <w:jc w:val="center"/>
        </w:trPr>
        <w:tc>
          <w:tcPr>
            <w:tcW w:w="445" w:type="pct"/>
          </w:tcPr>
          <w:p w14:paraId="25533229" w14:textId="77777777" w:rsidR="000F4313" w:rsidRDefault="00000000" w:rsidP="008108C9">
            <w:pPr>
              <w:jc w:val="left"/>
              <w:rPr>
                <w:lang w:bidi="ar"/>
              </w:rPr>
            </w:pPr>
            <w:r>
              <w:rPr>
                <w:lang w:bidi="ar"/>
              </w:rPr>
              <w:t>Control</w:t>
            </w:r>
          </w:p>
        </w:tc>
        <w:tc>
          <w:tcPr>
            <w:tcW w:w="438" w:type="pct"/>
          </w:tcPr>
          <w:p w14:paraId="03B82418" w14:textId="52CDAF79" w:rsidR="000F4313" w:rsidRDefault="00000000" w:rsidP="008108C9">
            <w:pPr>
              <w:jc w:val="center"/>
              <w:rPr>
                <w:lang w:bidi="ar"/>
              </w:rPr>
            </w:pPr>
            <w:r>
              <w:rPr>
                <w:lang w:bidi="ar"/>
              </w:rPr>
              <w:t>464.33</w:t>
            </w:r>
            <w:r w:rsidR="00DE5E8B">
              <w:rPr>
                <w:lang w:bidi="ar"/>
              </w:rPr>
              <w:t xml:space="preserve"> </w:t>
            </w:r>
            <w:r>
              <w:rPr>
                <w:lang w:bidi="ar"/>
              </w:rPr>
              <w:sym w:font="Symbol" w:char="00B1"/>
            </w:r>
            <w:r w:rsidR="00DE5E8B">
              <w:rPr>
                <w:lang w:bidi="ar"/>
              </w:rPr>
              <w:t xml:space="preserve"> </w:t>
            </w:r>
            <w:r>
              <w:rPr>
                <w:lang w:bidi="ar"/>
              </w:rPr>
              <w:t>36.71</w:t>
            </w:r>
          </w:p>
        </w:tc>
        <w:tc>
          <w:tcPr>
            <w:tcW w:w="438" w:type="pct"/>
          </w:tcPr>
          <w:p w14:paraId="4A4D4DFD" w14:textId="7895FB88" w:rsidR="000F4313" w:rsidRDefault="00000000" w:rsidP="008108C9">
            <w:pPr>
              <w:jc w:val="center"/>
              <w:rPr>
                <w:lang w:bidi="ar"/>
              </w:rPr>
            </w:pPr>
            <w:r>
              <w:rPr>
                <w:lang w:bidi="ar"/>
              </w:rPr>
              <w:t>328.06</w:t>
            </w:r>
            <w:r w:rsidR="00DE5E8B">
              <w:rPr>
                <w:lang w:bidi="ar"/>
              </w:rPr>
              <w:t xml:space="preserve"> </w:t>
            </w:r>
            <w:r>
              <w:rPr>
                <w:lang w:bidi="ar"/>
              </w:rPr>
              <w:sym w:font="Symbol" w:char="00B1"/>
            </w:r>
            <w:r w:rsidR="00DE5E8B">
              <w:rPr>
                <w:lang w:bidi="ar"/>
              </w:rPr>
              <w:t xml:space="preserve"> </w:t>
            </w:r>
            <w:r>
              <w:rPr>
                <w:lang w:bidi="ar"/>
              </w:rPr>
              <w:t>31.92</w:t>
            </w:r>
          </w:p>
        </w:tc>
        <w:tc>
          <w:tcPr>
            <w:tcW w:w="438" w:type="pct"/>
          </w:tcPr>
          <w:p w14:paraId="12B5AF44" w14:textId="661AB58D" w:rsidR="000F4313" w:rsidRDefault="00000000" w:rsidP="008108C9">
            <w:pPr>
              <w:jc w:val="center"/>
              <w:rPr>
                <w:lang w:bidi="ar"/>
              </w:rPr>
            </w:pPr>
            <w:r>
              <w:rPr>
                <w:lang w:bidi="ar"/>
              </w:rPr>
              <w:t>148.55</w:t>
            </w:r>
            <w:r w:rsidR="00DE5E8B">
              <w:rPr>
                <w:lang w:bidi="ar"/>
              </w:rPr>
              <w:t xml:space="preserve"> </w:t>
            </w:r>
            <w:r>
              <w:rPr>
                <w:lang w:bidi="ar"/>
              </w:rPr>
              <w:sym w:font="Symbol" w:char="00B1"/>
            </w:r>
            <w:r w:rsidR="00DE5E8B">
              <w:rPr>
                <w:lang w:bidi="ar"/>
              </w:rPr>
              <w:t xml:space="preserve"> </w:t>
            </w:r>
            <w:r>
              <w:rPr>
                <w:lang w:bidi="ar"/>
              </w:rPr>
              <w:t>10.78</w:t>
            </w:r>
          </w:p>
        </w:tc>
        <w:tc>
          <w:tcPr>
            <w:tcW w:w="434" w:type="pct"/>
          </w:tcPr>
          <w:p w14:paraId="5F117AB3" w14:textId="0596C398" w:rsidR="000F4313" w:rsidRDefault="00000000" w:rsidP="008108C9">
            <w:pPr>
              <w:jc w:val="center"/>
              <w:rPr>
                <w:lang w:bidi="ar"/>
              </w:rPr>
            </w:pPr>
            <w:r>
              <w:rPr>
                <w:lang w:bidi="ar"/>
              </w:rPr>
              <w:t>108.27</w:t>
            </w:r>
            <w:r w:rsidR="00DE5E8B">
              <w:rPr>
                <w:lang w:bidi="ar"/>
              </w:rPr>
              <w:t xml:space="preserve"> </w:t>
            </w:r>
            <w:r>
              <w:rPr>
                <w:lang w:bidi="ar"/>
              </w:rPr>
              <w:sym w:font="Symbol" w:char="00B1"/>
            </w:r>
            <w:r w:rsidR="00DE5E8B">
              <w:rPr>
                <w:lang w:bidi="ar"/>
              </w:rPr>
              <w:t xml:space="preserve"> </w:t>
            </w:r>
            <w:r>
              <w:rPr>
                <w:lang w:bidi="ar"/>
              </w:rPr>
              <w:t>8.86</w:t>
            </w:r>
          </w:p>
        </w:tc>
        <w:tc>
          <w:tcPr>
            <w:tcW w:w="351" w:type="pct"/>
          </w:tcPr>
          <w:p w14:paraId="3C9D0B4E" w14:textId="09DF30A2" w:rsidR="000F4313" w:rsidRDefault="00000000" w:rsidP="008108C9">
            <w:pPr>
              <w:jc w:val="center"/>
              <w:rPr>
                <w:lang w:bidi="ar"/>
              </w:rPr>
            </w:pPr>
            <w:r>
              <w:rPr>
                <w:lang w:bidi="ar"/>
              </w:rPr>
              <w:t>3.14</w:t>
            </w:r>
            <w:r w:rsidR="00DE5E8B">
              <w:rPr>
                <w:lang w:bidi="ar"/>
              </w:rPr>
              <w:t xml:space="preserve"> </w:t>
            </w:r>
            <w:r>
              <w:rPr>
                <w:lang w:bidi="ar"/>
              </w:rPr>
              <w:sym w:font="Symbol" w:char="00B1"/>
            </w:r>
            <w:r w:rsidR="00DE5E8B">
              <w:rPr>
                <w:lang w:bidi="ar"/>
              </w:rPr>
              <w:t xml:space="preserve"> </w:t>
            </w:r>
            <w:r>
              <w:rPr>
                <w:lang w:bidi="ar"/>
              </w:rPr>
              <w:t>0.27</w:t>
            </w:r>
          </w:p>
        </w:tc>
        <w:tc>
          <w:tcPr>
            <w:tcW w:w="351" w:type="pct"/>
          </w:tcPr>
          <w:p w14:paraId="6FC786D9" w14:textId="768BB8B6" w:rsidR="000F4313" w:rsidRDefault="00000000" w:rsidP="008108C9">
            <w:pPr>
              <w:jc w:val="center"/>
              <w:rPr>
                <w:lang w:bidi="ar"/>
              </w:rPr>
            </w:pPr>
            <w:r>
              <w:rPr>
                <w:lang w:bidi="ar"/>
              </w:rPr>
              <w:t>3.04</w:t>
            </w:r>
            <w:r w:rsidR="00DE5E8B">
              <w:rPr>
                <w:lang w:bidi="ar"/>
              </w:rPr>
              <w:t xml:space="preserve"> </w:t>
            </w:r>
            <w:r>
              <w:rPr>
                <w:lang w:bidi="ar"/>
              </w:rPr>
              <w:sym w:font="Symbol" w:char="00B1"/>
            </w:r>
            <w:r w:rsidR="00DE5E8B">
              <w:rPr>
                <w:lang w:bidi="ar"/>
              </w:rPr>
              <w:t xml:space="preserve"> </w:t>
            </w:r>
            <w:r>
              <w:rPr>
                <w:lang w:bidi="ar"/>
              </w:rPr>
              <w:t>0.32</w:t>
            </w:r>
          </w:p>
        </w:tc>
        <w:tc>
          <w:tcPr>
            <w:tcW w:w="351" w:type="pct"/>
          </w:tcPr>
          <w:p w14:paraId="548D3907" w14:textId="5E2EE220" w:rsidR="000F4313" w:rsidRDefault="00000000" w:rsidP="008108C9">
            <w:pPr>
              <w:jc w:val="center"/>
              <w:rPr>
                <w:lang w:bidi="ar"/>
              </w:rPr>
            </w:pPr>
            <w:r>
              <w:rPr>
                <w:kern w:val="0"/>
                <w:lang w:bidi="ar"/>
              </w:rPr>
              <w:t>0.68</w:t>
            </w:r>
            <w:r w:rsidR="00DE5E8B">
              <w:rPr>
                <w:kern w:val="0"/>
                <w:lang w:bidi="ar"/>
              </w:rPr>
              <w:t xml:space="preserve"> </w:t>
            </w:r>
            <w:r>
              <w:rPr>
                <w:kern w:val="0"/>
                <w:lang w:bidi="ar"/>
              </w:rPr>
              <w:sym w:font="Symbol" w:char="00B1"/>
            </w:r>
            <w:r w:rsidR="00DE5E8B">
              <w:rPr>
                <w:kern w:val="0"/>
                <w:lang w:bidi="ar"/>
              </w:rPr>
              <w:t xml:space="preserve"> </w:t>
            </w:r>
            <w:r>
              <w:rPr>
                <w:kern w:val="0"/>
                <w:lang w:bidi="ar"/>
              </w:rPr>
              <w:t>0.04</w:t>
            </w:r>
          </w:p>
        </w:tc>
        <w:tc>
          <w:tcPr>
            <w:tcW w:w="351" w:type="pct"/>
          </w:tcPr>
          <w:p w14:paraId="48D1A7AC" w14:textId="0F7958BC" w:rsidR="000F4313" w:rsidRDefault="00000000" w:rsidP="008108C9">
            <w:pPr>
              <w:jc w:val="center"/>
              <w:rPr>
                <w:lang w:bidi="ar"/>
              </w:rPr>
            </w:pPr>
            <w:r>
              <w:rPr>
                <w:kern w:val="0"/>
                <w:lang w:bidi="ar"/>
              </w:rPr>
              <w:t>0.37</w:t>
            </w:r>
            <w:r w:rsidR="00DE5E8B">
              <w:rPr>
                <w:kern w:val="0"/>
                <w:lang w:bidi="ar"/>
              </w:rPr>
              <w:t xml:space="preserve"> </w:t>
            </w:r>
            <w:r>
              <w:rPr>
                <w:kern w:val="0"/>
                <w:lang w:bidi="ar"/>
              </w:rPr>
              <w:sym w:font="Symbol" w:char="00B1"/>
            </w:r>
            <w:r w:rsidR="00DE5E8B">
              <w:rPr>
                <w:kern w:val="0"/>
                <w:lang w:bidi="ar"/>
              </w:rPr>
              <w:t xml:space="preserve"> </w:t>
            </w:r>
            <w:r>
              <w:rPr>
                <w:kern w:val="0"/>
                <w:lang w:bidi="ar"/>
              </w:rPr>
              <w:t>0.06</w:t>
            </w:r>
          </w:p>
        </w:tc>
        <w:tc>
          <w:tcPr>
            <w:tcW w:w="351" w:type="pct"/>
          </w:tcPr>
          <w:p w14:paraId="2E1A3B11" w14:textId="204D66B4" w:rsidR="000F4313" w:rsidRDefault="00000000" w:rsidP="008108C9">
            <w:pPr>
              <w:jc w:val="center"/>
              <w:rPr>
                <w:lang w:bidi="ar"/>
              </w:rPr>
            </w:pPr>
            <w:r>
              <w:rPr>
                <w:kern w:val="0"/>
                <w:lang w:bidi="ar"/>
              </w:rPr>
              <w:t>0.49</w:t>
            </w:r>
            <w:r w:rsidR="00DE5E8B">
              <w:rPr>
                <w:kern w:val="0"/>
                <w:lang w:bidi="ar"/>
              </w:rPr>
              <w:t xml:space="preserve"> </w:t>
            </w:r>
            <w:r>
              <w:rPr>
                <w:kern w:val="0"/>
                <w:lang w:bidi="ar"/>
              </w:rPr>
              <w:sym w:font="Symbol" w:char="00B1"/>
            </w:r>
            <w:r w:rsidR="00DE5E8B">
              <w:rPr>
                <w:kern w:val="0"/>
                <w:lang w:bidi="ar"/>
              </w:rPr>
              <w:t xml:space="preserve"> </w:t>
            </w:r>
            <w:r>
              <w:rPr>
                <w:kern w:val="0"/>
                <w:lang w:bidi="ar"/>
              </w:rPr>
              <w:t>0.04</w:t>
            </w:r>
          </w:p>
        </w:tc>
        <w:tc>
          <w:tcPr>
            <w:tcW w:w="351" w:type="pct"/>
          </w:tcPr>
          <w:p w14:paraId="3F58BCE3" w14:textId="322AEDE6" w:rsidR="000F4313" w:rsidRDefault="00000000" w:rsidP="008108C9">
            <w:pPr>
              <w:jc w:val="center"/>
              <w:rPr>
                <w:lang w:bidi="ar"/>
              </w:rPr>
            </w:pPr>
            <w:r>
              <w:rPr>
                <w:kern w:val="0"/>
                <w:lang w:bidi="ar"/>
              </w:rPr>
              <w:t>0.31</w:t>
            </w:r>
            <w:r w:rsidR="00DE5E8B">
              <w:rPr>
                <w:kern w:val="0"/>
                <w:lang w:bidi="ar"/>
              </w:rPr>
              <w:t xml:space="preserve"> </w:t>
            </w:r>
            <w:r>
              <w:rPr>
                <w:kern w:val="0"/>
                <w:lang w:bidi="ar"/>
              </w:rPr>
              <w:sym w:font="Symbol" w:char="00B1"/>
            </w:r>
            <w:r w:rsidR="00DE5E8B">
              <w:rPr>
                <w:kern w:val="0"/>
                <w:lang w:bidi="ar"/>
              </w:rPr>
              <w:t xml:space="preserve"> </w:t>
            </w:r>
            <w:r>
              <w:rPr>
                <w:kern w:val="0"/>
                <w:lang w:bidi="ar"/>
              </w:rPr>
              <w:t>0.02</w:t>
            </w:r>
          </w:p>
        </w:tc>
        <w:tc>
          <w:tcPr>
            <w:tcW w:w="351" w:type="pct"/>
          </w:tcPr>
          <w:p w14:paraId="4A5335C5" w14:textId="5F3F34DA" w:rsidR="000F4313" w:rsidRDefault="00000000" w:rsidP="008108C9">
            <w:pPr>
              <w:jc w:val="center"/>
              <w:rPr>
                <w:lang w:bidi="ar"/>
              </w:rPr>
            </w:pPr>
            <w:r>
              <w:rPr>
                <w:kern w:val="0"/>
                <w:lang w:bidi="ar"/>
              </w:rPr>
              <w:t>0.41</w:t>
            </w:r>
            <w:r w:rsidR="00DE5E8B">
              <w:rPr>
                <w:kern w:val="0"/>
                <w:lang w:bidi="ar"/>
              </w:rPr>
              <w:t xml:space="preserve"> </w:t>
            </w:r>
            <w:r>
              <w:rPr>
                <w:kern w:val="0"/>
                <w:lang w:bidi="ar"/>
              </w:rPr>
              <w:sym w:font="Symbol" w:char="00B1"/>
            </w:r>
            <w:r w:rsidR="00DE5E8B">
              <w:rPr>
                <w:kern w:val="0"/>
                <w:lang w:bidi="ar"/>
              </w:rPr>
              <w:t xml:space="preserve"> </w:t>
            </w:r>
            <w:r>
              <w:rPr>
                <w:kern w:val="0"/>
                <w:lang w:bidi="ar"/>
              </w:rPr>
              <w:t>0.03</w:t>
            </w:r>
          </w:p>
        </w:tc>
        <w:tc>
          <w:tcPr>
            <w:tcW w:w="351" w:type="pct"/>
          </w:tcPr>
          <w:p w14:paraId="75429038" w14:textId="3DB9DE2D" w:rsidR="000F4313" w:rsidRDefault="00000000" w:rsidP="008108C9">
            <w:pPr>
              <w:jc w:val="center"/>
              <w:rPr>
                <w:lang w:bidi="ar"/>
              </w:rPr>
            </w:pPr>
            <w:r>
              <w:rPr>
                <w:kern w:val="0"/>
                <w:lang w:bidi="ar"/>
              </w:rPr>
              <w:t>0.27</w:t>
            </w:r>
            <w:r w:rsidR="00DE5E8B">
              <w:rPr>
                <w:kern w:val="0"/>
                <w:lang w:bidi="ar"/>
              </w:rPr>
              <w:t xml:space="preserve"> </w:t>
            </w:r>
            <w:r>
              <w:rPr>
                <w:kern w:val="0"/>
                <w:lang w:bidi="ar"/>
              </w:rPr>
              <w:sym w:font="Symbol" w:char="00B1"/>
            </w:r>
            <w:r w:rsidR="00DE5E8B">
              <w:rPr>
                <w:kern w:val="0"/>
                <w:lang w:bidi="ar"/>
              </w:rPr>
              <w:t xml:space="preserve"> </w:t>
            </w:r>
            <w:r>
              <w:rPr>
                <w:kern w:val="0"/>
                <w:lang w:bidi="ar"/>
              </w:rPr>
              <w:t>0.04</w:t>
            </w:r>
          </w:p>
        </w:tc>
      </w:tr>
      <w:tr w:rsidR="000F4313" w14:paraId="5D06E7D8" w14:textId="77777777" w:rsidTr="008108C9">
        <w:trPr>
          <w:tblHeader/>
          <w:jc w:val="center"/>
        </w:trPr>
        <w:tc>
          <w:tcPr>
            <w:tcW w:w="445" w:type="pct"/>
          </w:tcPr>
          <w:p w14:paraId="41BFEE4C" w14:textId="77777777" w:rsidR="000F4313" w:rsidRDefault="00000000" w:rsidP="008108C9">
            <w:pPr>
              <w:jc w:val="left"/>
              <w:rPr>
                <w:lang w:bidi="ar"/>
              </w:rPr>
            </w:pPr>
            <w:r>
              <w:rPr>
                <w:lang w:bidi="ar"/>
              </w:rPr>
              <w:t>F Value</w:t>
            </w:r>
          </w:p>
        </w:tc>
        <w:tc>
          <w:tcPr>
            <w:tcW w:w="438" w:type="pct"/>
          </w:tcPr>
          <w:p w14:paraId="7B25B192" w14:textId="77777777" w:rsidR="000F4313" w:rsidRDefault="00000000" w:rsidP="008108C9">
            <w:pPr>
              <w:jc w:val="center"/>
              <w:rPr>
                <w:lang w:bidi="ar"/>
              </w:rPr>
            </w:pPr>
            <w:r>
              <w:rPr>
                <w:lang w:bidi="ar"/>
              </w:rPr>
              <w:t>0.443</w:t>
            </w:r>
          </w:p>
        </w:tc>
        <w:tc>
          <w:tcPr>
            <w:tcW w:w="438" w:type="pct"/>
          </w:tcPr>
          <w:p w14:paraId="701A37AE" w14:textId="77777777" w:rsidR="000F4313" w:rsidRDefault="00000000" w:rsidP="008108C9">
            <w:pPr>
              <w:jc w:val="center"/>
              <w:rPr>
                <w:lang w:bidi="ar"/>
              </w:rPr>
            </w:pPr>
            <w:r>
              <w:rPr>
                <w:lang w:bidi="ar"/>
              </w:rPr>
              <w:t>0.139</w:t>
            </w:r>
          </w:p>
        </w:tc>
        <w:tc>
          <w:tcPr>
            <w:tcW w:w="438" w:type="pct"/>
          </w:tcPr>
          <w:p w14:paraId="38D701FA" w14:textId="77777777" w:rsidR="000F4313" w:rsidRDefault="00000000" w:rsidP="008108C9">
            <w:pPr>
              <w:jc w:val="center"/>
              <w:rPr>
                <w:lang w:bidi="ar"/>
              </w:rPr>
            </w:pPr>
            <w:r>
              <w:rPr>
                <w:lang w:bidi="ar"/>
              </w:rPr>
              <w:t>0.714</w:t>
            </w:r>
          </w:p>
        </w:tc>
        <w:tc>
          <w:tcPr>
            <w:tcW w:w="434" w:type="pct"/>
          </w:tcPr>
          <w:p w14:paraId="2B739FB9" w14:textId="77777777" w:rsidR="000F4313" w:rsidRDefault="00000000" w:rsidP="008108C9">
            <w:pPr>
              <w:jc w:val="center"/>
              <w:rPr>
                <w:lang w:bidi="ar"/>
              </w:rPr>
            </w:pPr>
            <w:r>
              <w:rPr>
                <w:lang w:bidi="ar"/>
              </w:rPr>
              <w:t>0.748</w:t>
            </w:r>
          </w:p>
        </w:tc>
        <w:tc>
          <w:tcPr>
            <w:tcW w:w="351" w:type="pct"/>
          </w:tcPr>
          <w:p w14:paraId="0DC35620" w14:textId="77777777" w:rsidR="000F4313" w:rsidRDefault="00000000" w:rsidP="008108C9">
            <w:pPr>
              <w:jc w:val="center"/>
              <w:rPr>
                <w:lang w:bidi="ar"/>
              </w:rPr>
            </w:pPr>
            <w:r>
              <w:rPr>
                <w:lang w:bidi="ar"/>
              </w:rPr>
              <w:t>1.828</w:t>
            </w:r>
          </w:p>
        </w:tc>
        <w:tc>
          <w:tcPr>
            <w:tcW w:w="351" w:type="pct"/>
          </w:tcPr>
          <w:p w14:paraId="19CBBBE8" w14:textId="77777777" w:rsidR="000F4313" w:rsidRDefault="00000000" w:rsidP="008108C9">
            <w:pPr>
              <w:jc w:val="center"/>
              <w:rPr>
                <w:lang w:bidi="ar"/>
              </w:rPr>
            </w:pPr>
            <w:r>
              <w:rPr>
                <w:lang w:bidi="ar"/>
              </w:rPr>
              <w:t>0.344</w:t>
            </w:r>
          </w:p>
        </w:tc>
        <w:tc>
          <w:tcPr>
            <w:tcW w:w="351" w:type="pct"/>
          </w:tcPr>
          <w:p w14:paraId="37F46230" w14:textId="77777777" w:rsidR="000F4313" w:rsidRDefault="00000000" w:rsidP="008108C9">
            <w:pPr>
              <w:jc w:val="center"/>
              <w:rPr>
                <w:lang w:bidi="ar"/>
              </w:rPr>
            </w:pPr>
            <w:r>
              <w:rPr>
                <w:kern w:val="0"/>
                <w:lang w:bidi="ar"/>
              </w:rPr>
              <w:t>1.832</w:t>
            </w:r>
          </w:p>
        </w:tc>
        <w:tc>
          <w:tcPr>
            <w:tcW w:w="351" w:type="pct"/>
          </w:tcPr>
          <w:p w14:paraId="35679A0A" w14:textId="77777777" w:rsidR="000F4313" w:rsidRDefault="00000000" w:rsidP="008108C9">
            <w:pPr>
              <w:jc w:val="center"/>
              <w:rPr>
                <w:lang w:bidi="ar"/>
              </w:rPr>
            </w:pPr>
            <w:r>
              <w:rPr>
                <w:kern w:val="0"/>
                <w:lang w:bidi="ar"/>
              </w:rPr>
              <w:t>1.338</w:t>
            </w:r>
          </w:p>
        </w:tc>
        <w:tc>
          <w:tcPr>
            <w:tcW w:w="351" w:type="pct"/>
          </w:tcPr>
          <w:p w14:paraId="628D39DD" w14:textId="77777777" w:rsidR="000F4313" w:rsidRDefault="00000000" w:rsidP="008108C9">
            <w:pPr>
              <w:jc w:val="center"/>
              <w:rPr>
                <w:lang w:bidi="ar"/>
              </w:rPr>
            </w:pPr>
            <w:r>
              <w:rPr>
                <w:kern w:val="0"/>
                <w:lang w:bidi="ar"/>
              </w:rPr>
              <w:t>2.772</w:t>
            </w:r>
          </w:p>
        </w:tc>
        <w:tc>
          <w:tcPr>
            <w:tcW w:w="351" w:type="pct"/>
          </w:tcPr>
          <w:p w14:paraId="5EF1B105" w14:textId="77777777" w:rsidR="000F4313" w:rsidRDefault="00000000" w:rsidP="008108C9">
            <w:pPr>
              <w:jc w:val="center"/>
              <w:rPr>
                <w:lang w:bidi="ar"/>
              </w:rPr>
            </w:pPr>
            <w:r>
              <w:rPr>
                <w:kern w:val="0"/>
                <w:lang w:bidi="ar"/>
              </w:rPr>
              <w:t>2.609</w:t>
            </w:r>
          </w:p>
        </w:tc>
        <w:tc>
          <w:tcPr>
            <w:tcW w:w="351" w:type="pct"/>
          </w:tcPr>
          <w:p w14:paraId="7920EF92" w14:textId="77777777" w:rsidR="000F4313" w:rsidRDefault="00000000" w:rsidP="008108C9">
            <w:pPr>
              <w:jc w:val="center"/>
              <w:rPr>
                <w:lang w:bidi="ar"/>
              </w:rPr>
            </w:pPr>
            <w:r>
              <w:rPr>
                <w:kern w:val="0"/>
                <w:lang w:bidi="ar"/>
              </w:rPr>
              <w:t>0.948</w:t>
            </w:r>
          </w:p>
        </w:tc>
        <w:tc>
          <w:tcPr>
            <w:tcW w:w="351" w:type="pct"/>
          </w:tcPr>
          <w:p w14:paraId="7F939D4F" w14:textId="77777777" w:rsidR="000F4313" w:rsidRDefault="00000000" w:rsidP="008108C9">
            <w:pPr>
              <w:jc w:val="center"/>
              <w:rPr>
                <w:lang w:bidi="ar"/>
              </w:rPr>
            </w:pPr>
            <w:r>
              <w:rPr>
                <w:kern w:val="0"/>
                <w:lang w:bidi="ar"/>
              </w:rPr>
              <w:t>2.418</w:t>
            </w:r>
          </w:p>
        </w:tc>
      </w:tr>
      <w:tr w:rsidR="000F4313" w14:paraId="34A6CBFE" w14:textId="77777777" w:rsidTr="008108C9">
        <w:trPr>
          <w:tblHeader/>
          <w:jc w:val="center"/>
        </w:trPr>
        <w:tc>
          <w:tcPr>
            <w:tcW w:w="445" w:type="pct"/>
            <w:tcBorders>
              <w:bottom w:val="single" w:sz="12" w:space="0" w:color="auto"/>
            </w:tcBorders>
          </w:tcPr>
          <w:p w14:paraId="6CF924F4" w14:textId="77777777" w:rsidR="000F4313" w:rsidRDefault="00000000" w:rsidP="008108C9">
            <w:pPr>
              <w:jc w:val="left"/>
              <w:rPr>
                <w:lang w:bidi="ar"/>
              </w:rPr>
            </w:pPr>
            <w:r w:rsidRPr="008108C9">
              <w:rPr>
                <w:i/>
                <w:iCs/>
                <w:lang w:bidi="ar"/>
              </w:rPr>
              <w:t>P</w:t>
            </w:r>
            <w:r>
              <w:rPr>
                <w:lang w:bidi="ar"/>
              </w:rPr>
              <w:t xml:space="preserve"> Value</w:t>
            </w:r>
          </w:p>
        </w:tc>
        <w:tc>
          <w:tcPr>
            <w:tcW w:w="438" w:type="pct"/>
            <w:tcBorders>
              <w:bottom w:val="single" w:sz="12" w:space="0" w:color="auto"/>
            </w:tcBorders>
          </w:tcPr>
          <w:p w14:paraId="2D0B9C87" w14:textId="77777777" w:rsidR="000F4313" w:rsidRDefault="00000000" w:rsidP="008108C9">
            <w:pPr>
              <w:jc w:val="center"/>
              <w:rPr>
                <w:lang w:bidi="ar"/>
              </w:rPr>
            </w:pPr>
            <w:r>
              <w:rPr>
                <w:lang w:bidi="ar"/>
              </w:rPr>
              <w:t>0.643</w:t>
            </w:r>
          </w:p>
        </w:tc>
        <w:tc>
          <w:tcPr>
            <w:tcW w:w="438" w:type="pct"/>
            <w:tcBorders>
              <w:bottom w:val="single" w:sz="12" w:space="0" w:color="auto"/>
            </w:tcBorders>
          </w:tcPr>
          <w:p w14:paraId="3180B27F" w14:textId="77777777" w:rsidR="000F4313" w:rsidRDefault="00000000" w:rsidP="008108C9">
            <w:pPr>
              <w:jc w:val="center"/>
              <w:rPr>
                <w:lang w:bidi="ar"/>
              </w:rPr>
            </w:pPr>
            <w:r>
              <w:rPr>
                <w:lang w:bidi="ar"/>
              </w:rPr>
              <w:t>0.870</w:t>
            </w:r>
          </w:p>
        </w:tc>
        <w:tc>
          <w:tcPr>
            <w:tcW w:w="438" w:type="pct"/>
            <w:tcBorders>
              <w:bottom w:val="single" w:sz="12" w:space="0" w:color="auto"/>
            </w:tcBorders>
          </w:tcPr>
          <w:p w14:paraId="314C889B" w14:textId="77777777" w:rsidR="000F4313" w:rsidRDefault="00000000" w:rsidP="008108C9">
            <w:pPr>
              <w:jc w:val="center"/>
              <w:rPr>
                <w:lang w:bidi="ar"/>
              </w:rPr>
            </w:pPr>
            <w:r>
              <w:rPr>
                <w:lang w:bidi="ar"/>
              </w:rPr>
              <w:t>0.493</w:t>
            </w:r>
          </w:p>
        </w:tc>
        <w:tc>
          <w:tcPr>
            <w:tcW w:w="434" w:type="pct"/>
            <w:tcBorders>
              <w:bottom w:val="single" w:sz="12" w:space="0" w:color="auto"/>
            </w:tcBorders>
          </w:tcPr>
          <w:p w14:paraId="60216D4F" w14:textId="77777777" w:rsidR="000F4313" w:rsidRDefault="00000000" w:rsidP="008108C9">
            <w:pPr>
              <w:jc w:val="center"/>
              <w:rPr>
                <w:lang w:bidi="ar"/>
              </w:rPr>
            </w:pPr>
            <w:r>
              <w:rPr>
                <w:lang w:bidi="ar"/>
              </w:rPr>
              <w:t>0.476</w:t>
            </w:r>
          </w:p>
        </w:tc>
        <w:tc>
          <w:tcPr>
            <w:tcW w:w="351" w:type="pct"/>
            <w:tcBorders>
              <w:bottom w:val="single" w:sz="12" w:space="0" w:color="auto"/>
            </w:tcBorders>
          </w:tcPr>
          <w:p w14:paraId="7D6B6914" w14:textId="77777777" w:rsidR="000F4313" w:rsidRDefault="00000000" w:rsidP="008108C9">
            <w:pPr>
              <w:jc w:val="center"/>
              <w:rPr>
                <w:lang w:bidi="ar"/>
              </w:rPr>
            </w:pPr>
            <w:r>
              <w:rPr>
                <w:lang w:bidi="ar"/>
              </w:rPr>
              <w:t>0.167</w:t>
            </w:r>
          </w:p>
        </w:tc>
        <w:tc>
          <w:tcPr>
            <w:tcW w:w="351" w:type="pct"/>
            <w:tcBorders>
              <w:bottom w:val="single" w:sz="12" w:space="0" w:color="auto"/>
            </w:tcBorders>
          </w:tcPr>
          <w:p w14:paraId="1CAB2E5C" w14:textId="77777777" w:rsidR="000F4313" w:rsidRDefault="00000000" w:rsidP="008108C9">
            <w:pPr>
              <w:jc w:val="center"/>
              <w:rPr>
                <w:lang w:bidi="ar"/>
              </w:rPr>
            </w:pPr>
            <w:r>
              <w:rPr>
                <w:lang w:bidi="ar"/>
              </w:rPr>
              <w:t>0.710</w:t>
            </w:r>
          </w:p>
        </w:tc>
        <w:tc>
          <w:tcPr>
            <w:tcW w:w="351" w:type="pct"/>
            <w:tcBorders>
              <w:bottom w:val="single" w:sz="12" w:space="0" w:color="auto"/>
            </w:tcBorders>
          </w:tcPr>
          <w:p w14:paraId="6E1E5044" w14:textId="77777777" w:rsidR="000F4313" w:rsidRDefault="00000000" w:rsidP="008108C9">
            <w:pPr>
              <w:jc w:val="center"/>
              <w:rPr>
                <w:lang w:bidi="ar"/>
              </w:rPr>
            </w:pPr>
            <w:r>
              <w:rPr>
                <w:kern w:val="0"/>
                <w:lang w:bidi="ar"/>
              </w:rPr>
              <w:t>0.167</w:t>
            </w:r>
          </w:p>
        </w:tc>
        <w:tc>
          <w:tcPr>
            <w:tcW w:w="351" w:type="pct"/>
            <w:tcBorders>
              <w:bottom w:val="single" w:sz="12" w:space="0" w:color="auto"/>
            </w:tcBorders>
          </w:tcPr>
          <w:p w14:paraId="1BFA4089" w14:textId="77777777" w:rsidR="000F4313" w:rsidRDefault="00000000" w:rsidP="008108C9">
            <w:pPr>
              <w:jc w:val="center"/>
              <w:rPr>
                <w:lang w:bidi="ar"/>
              </w:rPr>
            </w:pPr>
            <w:r>
              <w:rPr>
                <w:kern w:val="0"/>
                <w:lang w:bidi="ar"/>
              </w:rPr>
              <w:t>0.268</w:t>
            </w:r>
          </w:p>
        </w:tc>
        <w:tc>
          <w:tcPr>
            <w:tcW w:w="351" w:type="pct"/>
            <w:tcBorders>
              <w:bottom w:val="single" w:sz="12" w:space="0" w:color="auto"/>
            </w:tcBorders>
          </w:tcPr>
          <w:p w14:paraId="6A8A76BF" w14:textId="77777777" w:rsidR="000F4313" w:rsidRDefault="00000000" w:rsidP="008108C9">
            <w:pPr>
              <w:jc w:val="center"/>
              <w:rPr>
                <w:lang w:bidi="ar"/>
              </w:rPr>
            </w:pPr>
            <w:r>
              <w:rPr>
                <w:kern w:val="0"/>
                <w:lang w:bidi="ar"/>
              </w:rPr>
              <w:t>0.068</w:t>
            </w:r>
          </w:p>
        </w:tc>
        <w:tc>
          <w:tcPr>
            <w:tcW w:w="351" w:type="pct"/>
            <w:tcBorders>
              <w:bottom w:val="single" w:sz="12" w:space="0" w:color="auto"/>
            </w:tcBorders>
          </w:tcPr>
          <w:p w14:paraId="5CFA7951" w14:textId="77777777" w:rsidR="000F4313" w:rsidRDefault="00000000" w:rsidP="008108C9">
            <w:pPr>
              <w:jc w:val="center"/>
              <w:rPr>
                <w:lang w:bidi="ar"/>
              </w:rPr>
            </w:pPr>
            <w:r>
              <w:rPr>
                <w:kern w:val="0"/>
                <w:lang w:bidi="ar"/>
              </w:rPr>
              <w:t>0.080</w:t>
            </w:r>
          </w:p>
        </w:tc>
        <w:tc>
          <w:tcPr>
            <w:tcW w:w="351" w:type="pct"/>
            <w:tcBorders>
              <w:bottom w:val="single" w:sz="12" w:space="0" w:color="auto"/>
            </w:tcBorders>
          </w:tcPr>
          <w:p w14:paraId="100D02E7" w14:textId="77777777" w:rsidR="000F4313" w:rsidRDefault="00000000" w:rsidP="008108C9">
            <w:pPr>
              <w:jc w:val="center"/>
              <w:rPr>
                <w:lang w:bidi="ar"/>
              </w:rPr>
            </w:pPr>
            <w:r>
              <w:rPr>
                <w:kern w:val="0"/>
                <w:lang w:bidi="ar"/>
              </w:rPr>
              <w:t>0.392</w:t>
            </w:r>
          </w:p>
        </w:tc>
        <w:tc>
          <w:tcPr>
            <w:tcW w:w="351" w:type="pct"/>
            <w:tcBorders>
              <w:bottom w:val="single" w:sz="12" w:space="0" w:color="auto"/>
            </w:tcBorders>
          </w:tcPr>
          <w:p w14:paraId="5E350FAA" w14:textId="77777777" w:rsidR="000F4313" w:rsidRDefault="00000000" w:rsidP="008108C9">
            <w:pPr>
              <w:jc w:val="center"/>
              <w:rPr>
                <w:lang w:bidi="ar"/>
              </w:rPr>
            </w:pPr>
            <w:r>
              <w:rPr>
                <w:kern w:val="0"/>
                <w:lang w:bidi="ar"/>
              </w:rPr>
              <w:t>0.095</w:t>
            </w:r>
          </w:p>
        </w:tc>
      </w:tr>
      <w:bookmarkEnd w:id="1"/>
    </w:tbl>
    <w:p w14:paraId="7DECA3F0" w14:textId="77777777" w:rsidR="000F4313" w:rsidRDefault="000F4313" w:rsidP="008108C9">
      <w:pPr>
        <w:sectPr w:rsidR="000F4313" w:rsidSect="008108C9">
          <w:type w:val="nextPage"/>
          <w:pgSz w:w="11906" w:h="16838"/>
          <w:pgMar w:top="1418" w:right="1134" w:bottom="1418" w:left="1134" w:header="851" w:footer="992" w:gutter="0"/>
          <w:cols w:space="425"/>
          <w:docGrid w:type="linesAndChars" w:linePitch="326"/>
        </w:sectPr>
      </w:pPr>
    </w:p>
    <w:p w14:paraId="7A5A3821" w14:textId="77777777" w:rsidR="000F4313" w:rsidRDefault="00000000" w:rsidP="008108C9">
      <w:r w:rsidRPr="008108C9">
        <w:rPr>
          <w:b/>
          <w:bCs/>
        </w:rPr>
        <w:lastRenderedPageBreak/>
        <w:t xml:space="preserve">Table 2. </w:t>
      </w:r>
      <w:r>
        <w:t>Integrated comparison of distal ileal structural and immune indicators before and after enema</w:t>
      </w:r>
    </w:p>
    <w:tbl>
      <w:tblPr>
        <w:tblW w:w="5000" w:type="pct"/>
        <w:jc w:val="center"/>
        <w:tblCellMar>
          <w:left w:w="0" w:type="dxa"/>
          <w:right w:w="0" w:type="dxa"/>
        </w:tblCellMar>
        <w:tblLook w:val="04A0" w:firstRow="1" w:lastRow="0" w:firstColumn="1" w:lastColumn="0" w:noHBand="0" w:noVBand="1"/>
      </w:tblPr>
      <w:tblGrid>
        <w:gridCol w:w="1199"/>
        <w:gridCol w:w="922"/>
        <w:gridCol w:w="1774"/>
        <w:gridCol w:w="2001"/>
        <w:gridCol w:w="1774"/>
        <w:gridCol w:w="1400"/>
      </w:tblGrid>
      <w:tr w:rsidR="000F4313" w14:paraId="55BB61E9" w14:textId="77777777" w:rsidTr="008108C9">
        <w:trPr>
          <w:tblHeader/>
          <w:jc w:val="center"/>
        </w:trPr>
        <w:tc>
          <w:tcPr>
            <w:tcW w:w="661" w:type="pct"/>
            <w:tcBorders>
              <w:top w:val="single" w:sz="12" w:space="0" w:color="auto"/>
              <w:left w:val="nil"/>
              <w:bottom w:val="nil"/>
              <w:right w:val="nil"/>
            </w:tcBorders>
            <w:tcMar>
              <w:top w:w="-1" w:type="dxa"/>
              <w:left w:w="108" w:type="dxa"/>
              <w:bottom w:w="-1" w:type="dxa"/>
              <w:right w:w="108" w:type="dxa"/>
            </w:tcMar>
          </w:tcPr>
          <w:p w14:paraId="72283343" w14:textId="77777777" w:rsidR="000F4313" w:rsidRPr="008108C9" w:rsidRDefault="00000000" w:rsidP="008108C9">
            <w:pPr>
              <w:jc w:val="left"/>
              <w:rPr>
                <w:b/>
                <w:bCs/>
              </w:rPr>
            </w:pPr>
            <w:r w:rsidRPr="008108C9">
              <w:rPr>
                <w:b/>
                <w:bCs/>
              </w:rPr>
              <w:t>Indicator</w:t>
            </w:r>
          </w:p>
        </w:tc>
        <w:tc>
          <w:tcPr>
            <w:tcW w:w="508" w:type="pct"/>
            <w:tcBorders>
              <w:top w:val="single" w:sz="12" w:space="0" w:color="auto"/>
              <w:left w:val="nil"/>
              <w:bottom w:val="nil"/>
              <w:right w:val="nil"/>
            </w:tcBorders>
            <w:tcMar>
              <w:top w:w="-1" w:type="dxa"/>
              <w:left w:w="108" w:type="dxa"/>
              <w:bottom w:w="-1" w:type="dxa"/>
              <w:right w:w="108" w:type="dxa"/>
            </w:tcMar>
          </w:tcPr>
          <w:p w14:paraId="0B437320" w14:textId="77777777" w:rsidR="000F4313" w:rsidRPr="008108C9" w:rsidRDefault="00000000" w:rsidP="008108C9">
            <w:pPr>
              <w:jc w:val="center"/>
              <w:rPr>
                <w:b/>
                <w:bCs/>
              </w:rPr>
            </w:pPr>
            <w:r w:rsidRPr="008108C9">
              <w:rPr>
                <w:b/>
                <w:bCs/>
              </w:rPr>
              <w:t>Time point</w:t>
            </w:r>
          </w:p>
        </w:tc>
        <w:tc>
          <w:tcPr>
            <w:tcW w:w="978" w:type="pct"/>
            <w:tcBorders>
              <w:top w:val="single" w:sz="12" w:space="0" w:color="auto"/>
              <w:left w:val="nil"/>
              <w:bottom w:val="nil"/>
              <w:right w:val="nil"/>
            </w:tcBorders>
            <w:tcMar>
              <w:top w:w="-1" w:type="dxa"/>
              <w:left w:w="108" w:type="dxa"/>
              <w:bottom w:w="-1" w:type="dxa"/>
              <w:right w:w="108" w:type="dxa"/>
            </w:tcMar>
          </w:tcPr>
          <w:p w14:paraId="35A447C0" w14:textId="77777777" w:rsidR="000F4313" w:rsidRPr="008108C9" w:rsidRDefault="00000000" w:rsidP="008108C9">
            <w:pPr>
              <w:jc w:val="center"/>
              <w:rPr>
                <w:b/>
                <w:bCs/>
              </w:rPr>
            </w:pPr>
            <w:r w:rsidRPr="008108C9">
              <w:rPr>
                <w:b/>
                <w:bCs/>
              </w:rPr>
              <w:t>Isosmotic group</w:t>
            </w:r>
          </w:p>
        </w:tc>
        <w:tc>
          <w:tcPr>
            <w:tcW w:w="1103" w:type="pct"/>
            <w:tcBorders>
              <w:top w:val="single" w:sz="12" w:space="0" w:color="auto"/>
              <w:left w:val="nil"/>
              <w:bottom w:val="nil"/>
              <w:right w:val="nil"/>
            </w:tcBorders>
            <w:tcMar>
              <w:top w:w="-1" w:type="dxa"/>
              <w:left w:w="108" w:type="dxa"/>
              <w:bottom w:w="-1" w:type="dxa"/>
              <w:right w:w="108" w:type="dxa"/>
            </w:tcMar>
          </w:tcPr>
          <w:p w14:paraId="7A616245" w14:textId="77777777" w:rsidR="000F4313" w:rsidRPr="008108C9" w:rsidRDefault="00000000" w:rsidP="008108C9">
            <w:pPr>
              <w:jc w:val="center"/>
              <w:rPr>
                <w:b/>
                <w:bCs/>
              </w:rPr>
            </w:pPr>
            <w:r w:rsidRPr="008108C9">
              <w:rPr>
                <w:b/>
                <w:bCs/>
              </w:rPr>
              <w:t>Hyperosmotic group</w:t>
            </w:r>
          </w:p>
        </w:tc>
        <w:tc>
          <w:tcPr>
            <w:tcW w:w="978" w:type="pct"/>
            <w:tcBorders>
              <w:top w:val="single" w:sz="12" w:space="0" w:color="auto"/>
              <w:left w:val="nil"/>
              <w:bottom w:val="nil"/>
              <w:right w:val="nil"/>
            </w:tcBorders>
            <w:tcMar>
              <w:top w:w="-1" w:type="dxa"/>
              <w:left w:w="108" w:type="dxa"/>
              <w:bottom w:w="-1" w:type="dxa"/>
              <w:right w:w="108" w:type="dxa"/>
            </w:tcMar>
          </w:tcPr>
          <w:p w14:paraId="0503E2E3" w14:textId="77777777" w:rsidR="000F4313" w:rsidRPr="008108C9" w:rsidRDefault="00000000" w:rsidP="008108C9">
            <w:pPr>
              <w:jc w:val="center"/>
              <w:rPr>
                <w:b/>
                <w:bCs/>
              </w:rPr>
            </w:pPr>
            <w:r w:rsidRPr="008108C9">
              <w:rPr>
                <w:b/>
                <w:bCs/>
              </w:rPr>
              <w:t>Control</w:t>
            </w:r>
          </w:p>
        </w:tc>
        <w:tc>
          <w:tcPr>
            <w:tcW w:w="772" w:type="pct"/>
            <w:tcBorders>
              <w:top w:val="single" w:sz="12" w:space="0" w:color="auto"/>
              <w:left w:val="nil"/>
              <w:bottom w:val="nil"/>
              <w:right w:val="nil"/>
            </w:tcBorders>
            <w:tcMar>
              <w:top w:w="-1" w:type="dxa"/>
              <w:left w:w="108" w:type="dxa"/>
              <w:bottom w:w="-1" w:type="dxa"/>
              <w:right w:w="108" w:type="dxa"/>
            </w:tcMar>
          </w:tcPr>
          <w:p w14:paraId="0123CEA6" w14:textId="77777777" w:rsidR="000F4313" w:rsidRPr="008108C9" w:rsidRDefault="00000000" w:rsidP="008108C9">
            <w:pPr>
              <w:jc w:val="center"/>
              <w:rPr>
                <w:b/>
                <w:bCs/>
              </w:rPr>
            </w:pPr>
            <w:r w:rsidRPr="008108C9">
              <w:rPr>
                <w:b/>
                <w:bCs/>
              </w:rPr>
              <w:t xml:space="preserve">Between-group </w:t>
            </w:r>
            <w:r w:rsidRPr="008108C9">
              <w:rPr>
                <w:b/>
                <w:bCs/>
                <w:i/>
                <w:iCs/>
              </w:rPr>
              <w:t>P</w:t>
            </w:r>
          </w:p>
        </w:tc>
      </w:tr>
      <w:tr w:rsidR="000F4313" w14:paraId="1FA4A293" w14:textId="77777777" w:rsidTr="008108C9">
        <w:trPr>
          <w:jc w:val="center"/>
        </w:trPr>
        <w:tc>
          <w:tcPr>
            <w:tcW w:w="661" w:type="pct"/>
            <w:tcBorders>
              <w:top w:val="single" w:sz="4" w:space="0" w:color="auto"/>
              <w:left w:val="nil"/>
              <w:bottom w:val="nil"/>
              <w:right w:val="nil"/>
            </w:tcBorders>
            <w:tcMar>
              <w:top w:w="-1" w:type="dxa"/>
              <w:left w:w="-1" w:type="dxa"/>
              <w:bottom w:w="-1" w:type="dxa"/>
              <w:right w:w="-1" w:type="dxa"/>
            </w:tcMar>
          </w:tcPr>
          <w:p w14:paraId="10A81CE9" w14:textId="77777777" w:rsidR="000F4313" w:rsidRDefault="00000000" w:rsidP="008108C9">
            <w:pPr>
              <w:jc w:val="left"/>
            </w:pPr>
            <w:r>
              <w:t>VH (</w:t>
            </w:r>
            <w:proofErr w:type="spellStart"/>
            <w:r>
              <w:t>μm</w:t>
            </w:r>
            <w:proofErr w:type="spellEnd"/>
            <w:r>
              <w:t>)</w:t>
            </w:r>
          </w:p>
        </w:tc>
        <w:tc>
          <w:tcPr>
            <w:tcW w:w="508" w:type="pct"/>
            <w:tcBorders>
              <w:top w:val="single" w:sz="4" w:space="0" w:color="auto"/>
              <w:left w:val="nil"/>
              <w:bottom w:val="nil"/>
              <w:right w:val="nil"/>
            </w:tcBorders>
            <w:tcMar>
              <w:top w:w="-1" w:type="dxa"/>
              <w:left w:w="-1" w:type="dxa"/>
              <w:bottom w:w="-1" w:type="dxa"/>
              <w:right w:w="-1" w:type="dxa"/>
            </w:tcMar>
          </w:tcPr>
          <w:p w14:paraId="1C69DFDA" w14:textId="77777777" w:rsidR="000F4313" w:rsidRDefault="00000000" w:rsidP="008108C9">
            <w:pPr>
              <w:jc w:val="center"/>
            </w:pPr>
            <w:r>
              <w:t>Before / After</w:t>
            </w:r>
          </w:p>
        </w:tc>
        <w:tc>
          <w:tcPr>
            <w:tcW w:w="978" w:type="pct"/>
            <w:tcBorders>
              <w:top w:val="single" w:sz="4" w:space="0" w:color="auto"/>
              <w:left w:val="nil"/>
              <w:bottom w:val="nil"/>
              <w:right w:val="nil"/>
            </w:tcBorders>
            <w:tcMar>
              <w:top w:w="-1" w:type="dxa"/>
              <w:left w:w="-1" w:type="dxa"/>
              <w:bottom w:w="-1" w:type="dxa"/>
              <w:right w:w="-1" w:type="dxa"/>
            </w:tcMar>
          </w:tcPr>
          <w:p w14:paraId="24BD736E" w14:textId="77777777" w:rsidR="000F4313" w:rsidRDefault="00000000" w:rsidP="008108C9">
            <w:pPr>
              <w:jc w:val="center"/>
            </w:pPr>
            <w:r>
              <w:t>330.08±26.81 / 372.79±29.78</w:t>
            </w:r>
          </w:p>
        </w:tc>
        <w:tc>
          <w:tcPr>
            <w:tcW w:w="1103" w:type="pct"/>
            <w:tcBorders>
              <w:top w:val="single" w:sz="4" w:space="0" w:color="auto"/>
              <w:left w:val="nil"/>
              <w:bottom w:val="nil"/>
              <w:right w:val="nil"/>
            </w:tcBorders>
            <w:tcMar>
              <w:top w:w="-1" w:type="dxa"/>
              <w:left w:w="-1" w:type="dxa"/>
              <w:bottom w:w="-1" w:type="dxa"/>
              <w:right w:w="-1" w:type="dxa"/>
            </w:tcMar>
          </w:tcPr>
          <w:p w14:paraId="13021682" w14:textId="77777777" w:rsidR="000F4313" w:rsidRDefault="00000000" w:rsidP="008108C9">
            <w:pPr>
              <w:jc w:val="center"/>
            </w:pPr>
            <w:r>
              <w:t>325.98±28.83 / 355.63±26.47</w:t>
            </w:r>
          </w:p>
        </w:tc>
        <w:tc>
          <w:tcPr>
            <w:tcW w:w="978" w:type="pct"/>
            <w:tcBorders>
              <w:top w:val="single" w:sz="4" w:space="0" w:color="auto"/>
              <w:left w:val="nil"/>
              <w:bottom w:val="nil"/>
              <w:right w:val="nil"/>
            </w:tcBorders>
            <w:tcMar>
              <w:top w:w="-1" w:type="dxa"/>
              <w:left w:w="-1" w:type="dxa"/>
              <w:bottom w:w="-1" w:type="dxa"/>
              <w:right w:w="-1" w:type="dxa"/>
            </w:tcMar>
          </w:tcPr>
          <w:p w14:paraId="52264102" w14:textId="77777777" w:rsidR="000F4313" w:rsidRDefault="00000000" w:rsidP="008108C9">
            <w:pPr>
              <w:jc w:val="center"/>
            </w:pPr>
            <w:r>
              <w:t>328.06±31.92 / 337.98±33.03</w:t>
            </w:r>
          </w:p>
        </w:tc>
        <w:tc>
          <w:tcPr>
            <w:tcW w:w="772" w:type="pct"/>
            <w:tcBorders>
              <w:top w:val="single" w:sz="4" w:space="0" w:color="auto"/>
              <w:left w:val="nil"/>
              <w:bottom w:val="nil"/>
              <w:right w:val="nil"/>
            </w:tcBorders>
            <w:tcMar>
              <w:top w:w="-1" w:type="dxa"/>
              <w:left w:w="-1" w:type="dxa"/>
              <w:bottom w:w="-1" w:type="dxa"/>
              <w:right w:w="-1" w:type="dxa"/>
            </w:tcMar>
          </w:tcPr>
          <w:p w14:paraId="2098C404" w14:textId="77777777" w:rsidR="000F4313" w:rsidRDefault="00000000" w:rsidP="008108C9">
            <w:pPr>
              <w:jc w:val="center"/>
            </w:pPr>
            <w:r>
              <w:t>&lt;0.001</w:t>
            </w:r>
          </w:p>
        </w:tc>
      </w:tr>
      <w:tr w:rsidR="000F4313" w14:paraId="71B67D67" w14:textId="77777777" w:rsidTr="008108C9">
        <w:trPr>
          <w:jc w:val="center"/>
        </w:trPr>
        <w:tc>
          <w:tcPr>
            <w:tcW w:w="661" w:type="pct"/>
            <w:tcBorders>
              <w:top w:val="nil"/>
              <w:left w:val="nil"/>
              <w:bottom w:val="nil"/>
              <w:right w:val="nil"/>
            </w:tcBorders>
            <w:tcMar>
              <w:top w:w="-1" w:type="dxa"/>
              <w:left w:w="-1" w:type="dxa"/>
              <w:bottom w:w="-1" w:type="dxa"/>
              <w:right w:w="-1" w:type="dxa"/>
            </w:tcMar>
          </w:tcPr>
          <w:p w14:paraId="09FDA212" w14:textId="77777777" w:rsidR="000F4313" w:rsidRDefault="00000000" w:rsidP="008108C9">
            <w:pPr>
              <w:jc w:val="left"/>
            </w:pPr>
            <w:r>
              <w:t>CD (</w:t>
            </w:r>
            <w:proofErr w:type="spellStart"/>
            <w:r>
              <w:t>μm</w:t>
            </w:r>
            <w:proofErr w:type="spellEnd"/>
            <w:r>
              <w:t>)</w:t>
            </w:r>
          </w:p>
        </w:tc>
        <w:tc>
          <w:tcPr>
            <w:tcW w:w="508" w:type="pct"/>
            <w:tcBorders>
              <w:top w:val="nil"/>
              <w:left w:val="nil"/>
              <w:bottom w:val="nil"/>
              <w:right w:val="nil"/>
            </w:tcBorders>
            <w:tcMar>
              <w:top w:w="-1" w:type="dxa"/>
              <w:left w:w="-1" w:type="dxa"/>
              <w:bottom w:w="-1" w:type="dxa"/>
              <w:right w:w="-1" w:type="dxa"/>
            </w:tcMar>
          </w:tcPr>
          <w:p w14:paraId="623F36A6" w14:textId="77777777" w:rsidR="000F4313" w:rsidRDefault="00000000" w:rsidP="008108C9">
            <w:pPr>
              <w:jc w:val="center"/>
            </w:pPr>
            <w:r>
              <w:t>Before / After</w:t>
            </w:r>
          </w:p>
        </w:tc>
        <w:tc>
          <w:tcPr>
            <w:tcW w:w="978" w:type="pct"/>
            <w:tcBorders>
              <w:top w:val="nil"/>
              <w:left w:val="nil"/>
              <w:bottom w:val="nil"/>
              <w:right w:val="nil"/>
            </w:tcBorders>
            <w:tcMar>
              <w:top w:w="-1" w:type="dxa"/>
              <w:left w:w="-1" w:type="dxa"/>
              <w:bottom w:w="-1" w:type="dxa"/>
              <w:right w:w="-1" w:type="dxa"/>
            </w:tcMar>
          </w:tcPr>
          <w:p w14:paraId="2E205B4B" w14:textId="77777777" w:rsidR="000F4313" w:rsidRDefault="00000000" w:rsidP="008108C9">
            <w:pPr>
              <w:jc w:val="center"/>
            </w:pPr>
            <w:r>
              <w:t>111.39±11.61 / 134.80±9.16</w:t>
            </w:r>
          </w:p>
        </w:tc>
        <w:tc>
          <w:tcPr>
            <w:tcW w:w="1103" w:type="pct"/>
            <w:tcBorders>
              <w:top w:val="nil"/>
              <w:left w:val="nil"/>
              <w:bottom w:val="nil"/>
              <w:right w:val="nil"/>
            </w:tcBorders>
            <w:tcMar>
              <w:top w:w="-1" w:type="dxa"/>
              <w:left w:w="-1" w:type="dxa"/>
              <w:bottom w:w="-1" w:type="dxa"/>
              <w:right w:w="-1" w:type="dxa"/>
            </w:tcMar>
          </w:tcPr>
          <w:p w14:paraId="2A5B0FAF" w14:textId="77777777" w:rsidR="000F4313" w:rsidRDefault="00000000" w:rsidP="008108C9">
            <w:pPr>
              <w:jc w:val="center"/>
            </w:pPr>
            <w:r>
              <w:t>111.47±13.25 / 129.30±10.32</w:t>
            </w:r>
          </w:p>
        </w:tc>
        <w:tc>
          <w:tcPr>
            <w:tcW w:w="978" w:type="pct"/>
            <w:tcBorders>
              <w:top w:val="nil"/>
              <w:left w:val="nil"/>
              <w:bottom w:val="nil"/>
              <w:right w:val="nil"/>
            </w:tcBorders>
            <w:tcMar>
              <w:top w:w="-1" w:type="dxa"/>
              <w:left w:w="-1" w:type="dxa"/>
              <w:bottom w:w="-1" w:type="dxa"/>
              <w:right w:w="-1" w:type="dxa"/>
            </w:tcMar>
          </w:tcPr>
          <w:p w14:paraId="02757256" w14:textId="77777777" w:rsidR="000F4313" w:rsidRDefault="00000000" w:rsidP="008108C9">
            <w:pPr>
              <w:jc w:val="center"/>
            </w:pPr>
            <w:r>
              <w:t>108.27±8.86 / 117.32±8.57</w:t>
            </w:r>
          </w:p>
        </w:tc>
        <w:tc>
          <w:tcPr>
            <w:tcW w:w="772" w:type="pct"/>
            <w:tcBorders>
              <w:top w:val="nil"/>
              <w:left w:val="nil"/>
              <w:bottom w:val="nil"/>
              <w:right w:val="nil"/>
            </w:tcBorders>
            <w:tcMar>
              <w:top w:w="-1" w:type="dxa"/>
              <w:left w:w="-1" w:type="dxa"/>
              <w:bottom w:w="-1" w:type="dxa"/>
              <w:right w:w="-1" w:type="dxa"/>
            </w:tcMar>
          </w:tcPr>
          <w:p w14:paraId="6EB004D6" w14:textId="77777777" w:rsidR="000F4313" w:rsidRDefault="00000000" w:rsidP="008108C9">
            <w:pPr>
              <w:jc w:val="center"/>
            </w:pPr>
            <w:r>
              <w:t>&lt;0.001</w:t>
            </w:r>
          </w:p>
        </w:tc>
      </w:tr>
      <w:tr w:rsidR="000F4313" w14:paraId="2D74C893" w14:textId="77777777" w:rsidTr="008108C9">
        <w:trPr>
          <w:jc w:val="center"/>
        </w:trPr>
        <w:tc>
          <w:tcPr>
            <w:tcW w:w="661" w:type="pct"/>
            <w:tcBorders>
              <w:top w:val="nil"/>
              <w:left w:val="nil"/>
              <w:bottom w:val="nil"/>
              <w:right w:val="nil"/>
            </w:tcBorders>
            <w:tcMar>
              <w:top w:w="-1" w:type="dxa"/>
              <w:left w:w="-1" w:type="dxa"/>
              <w:bottom w:w="-1" w:type="dxa"/>
              <w:right w:w="-1" w:type="dxa"/>
            </w:tcMar>
          </w:tcPr>
          <w:p w14:paraId="00F5CC56" w14:textId="77777777" w:rsidR="000F4313" w:rsidRDefault="00000000" w:rsidP="008108C9">
            <w:pPr>
              <w:jc w:val="left"/>
            </w:pPr>
            <w:r>
              <w:t>VH/CD</w:t>
            </w:r>
          </w:p>
        </w:tc>
        <w:tc>
          <w:tcPr>
            <w:tcW w:w="508" w:type="pct"/>
            <w:tcBorders>
              <w:top w:val="nil"/>
              <w:left w:val="nil"/>
              <w:bottom w:val="nil"/>
              <w:right w:val="nil"/>
            </w:tcBorders>
            <w:tcMar>
              <w:top w:w="-1" w:type="dxa"/>
              <w:left w:w="-1" w:type="dxa"/>
              <w:bottom w:w="-1" w:type="dxa"/>
              <w:right w:w="-1" w:type="dxa"/>
            </w:tcMar>
          </w:tcPr>
          <w:p w14:paraId="70ACB2B7" w14:textId="77777777" w:rsidR="000F4313" w:rsidRDefault="00000000" w:rsidP="008108C9">
            <w:pPr>
              <w:jc w:val="center"/>
            </w:pPr>
            <w:r>
              <w:t>Before / After</w:t>
            </w:r>
          </w:p>
        </w:tc>
        <w:tc>
          <w:tcPr>
            <w:tcW w:w="978" w:type="pct"/>
            <w:tcBorders>
              <w:top w:val="nil"/>
              <w:left w:val="nil"/>
              <w:bottom w:val="nil"/>
              <w:right w:val="nil"/>
            </w:tcBorders>
            <w:tcMar>
              <w:top w:w="-1" w:type="dxa"/>
              <w:left w:w="-1" w:type="dxa"/>
              <w:bottom w:w="-1" w:type="dxa"/>
              <w:right w:w="-1" w:type="dxa"/>
            </w:tcMar>
          </w:tcPr>
          <w:p w14:paraId="2C510E85" w14:textId="77777777" w:rsidR="000F4313" w:rsidRDefault="00000000" w:rsidP="008108C9">
            <w:pPr>
              <w:jc w:val="center"/>
            </w:pPr>
            <w:r>
              <w:t>2.99±0.35 / 2.77±0.25</w:t>
            </w:r>
          </w:p>
        </w:tc>
        <w:tc>
          <w:tcPr>
            <w:tcW w:w="1103" w:type="pct"/>
            <w:tcBorders>
              <w:top w:val="nil"/>
              <w:left w:val="nil"/>
              <w:bottom w:val="nil"/>
              <w:right w:val="nil"/>
            </w:tcBorders>
            <w:tcMar>
              <w:top w:w="-1" w:type="dxa"/>
              <w:left w:w="-1" w:type="dxa"/>
              <w:bottom w:w="-1" w:type="dxa"/>
              <w:right w:w="-1" w:type="dxa"/>
            </w:tcMar>
          </w:tcPr>
          <w:p w14:paraId="3CA6C2E2" w14:textId="77777777" w:rsidR="000F4313" w:rsidRDefault="00000000" w:rsidP="008108C9">
            <w:pPr>
              <w:jc w:val="center"/>
            </w:pPr>
            <w:r>
              <w:t>2.96±0.43 / 2.77±0.32</w:t>
            </w:r>
          </w:p>
        </w:tc>
        <w:tc>
          <w:tcPr>
            <w:tcW w:w="978" w:type="pct"/>
            <w:tcBorders>
              <w:top w:val="nil"/>
              <w:left w:val="nil"/>
              <w:bottom w:val="nil"/>
              <w:right w:val="nil"/>
            </w:tcBorders>
            <w:tcMar>
              <w:top w:w="-1" w:type="dxa"/>
              <w:left w:w="-1" w:type="dxa"/>
              <w:bottom w:w="-1" w:type="dxa"/>
              <w:right w:w="-1" w:type="dxa"/>
            </w:tcMar>
          </w:tcPr>
          <w:p w14:paraId="648F2547" w14:textId="77777777" w:rsidR="000F4313" w:rsidRDefault="00000000" w:rsidP="008108C9">
            <w:pPr>
              <w:jc w:val="center"/>
            </w:pPr>
            <w:r>
              <w:t>3.04±0.32 / 2.89±0.30</w:t>
            </w:r>
          </w:p>
        </w:tc>
        <w:tc>
          <w:tcPr>
            <w:tcW w:w="772" w:type="pct"/>
            <w:tcBorders>
              <w:top w:val="nil"/>
              <w:left w:val="nil"/>
              <w:bottom w:val="nil"/>
              <w:right w:val="nil"/>
            </w:tcBorders>
            <w:tcMar>
              <w:top w:w="-1" w:type="dxa"/>
              <w:left w:w="-1" w:type="dxa"/>
              <w:bottom w:w="-1" w:type="dxa"/>
              <w:right w:w="-1" w:type="dxa"/>
            </w:tcMar>
          </w:tcPr>
          <w:p w14:paraId="6295F214" w14:textId="77777777" w:rsidR="000F4313" w:rsidRDefault="00000000" w:rsidP="008108C9">
            <w:pPr>
              <w:jc w:val="center"/>
            </w:pPr>
            <w:r>
              <w:t>0.211</w:t>
            </w:r>
          </w:p>
        </w:tc>
      </w:tr>
      <w:tr w:rsidR="000F4313" w14:paraId="4E805587" w14:textId="77777777" w:rsidTr="008108C9">
        <w:trPr>
          <w:jc w:val="center"/>
        </w:trPr>
        <w:tc>
          <w:tcPr>
            <w:tcW w:w="661" w:type="pct"/>
            <w:tcBorders>
              <w:top w:val="nil"/>
              <w:left w:val="nil"/>
              <w:bottom w:val="nil"/>
              <w:right w:val="nil"/>
            </w:tcBorders>
            <w:tcMar>
              <w:top w:w="-1" w:type="dxa"/>
              <w:left w:w="-1" w:type="dxa"/>
              <w:bottom w:w="-1" w:type="dxa"/>
              <w:right w:w="-1" w:type="dxa"/>
            </w:tcMar>
          </w:tcPr>
          <w:p w14:paraId="743F8B09" w14:textId="77777777" w:rsidR="000F4313" w:rsidRDefault="00000000" w:rsidP="008108C9">
            <w:pPr>
              <w:jc w:val="left"/>
            </w:pPr>
            <w:r>
              <w:t>MAdCAM-1</w:t>
            </w:r>
          </w:p>
        </w:tc>
        <w:tc>
          <w:tcPr>
            <w:tcW w:w="508" w:type="pct"/>
            <w:tcBorders>
              <w:top w:val="nil"/>
              <w:left w:val="nil"/>
              <w:bottom w:val="nil"/>
              <w:right w:val="nil"/>
            </w:tcBorders>
            <w:tcMar>
              <w:top w:w="-1" w:type="dxa"/>
              <w:left w:w="-1" w:type="dxa"/>
              <w:bottom w:w="-1" w:type="dxa"/>
              <w:right w:w="-1" w:type="dxa"/>
            </w:tcMar>
          </w:tcPr>
          <w:p w14:paraId="44C5DE17" w14:textId="77777777" w:rsidR="000F4313" w:rsidRDefault="00000000" w:rsidP="008108C9">
            <w:pPr>
              <w:jc w:val="center"/>
            </w:pPr>
            <w:r>
              <w:t>Before / After</w:t>
            </w:r>
          </w:p>
        </w:tc>
        <w:tc>
          <w:tcPr>
            <w:tcW w:w="978" w:type="pct"/>
            <w:tcBorders>
              <w:top w:val="nil"/>
              <w:left w:val="nil"/>
              <w:bottom w:val="nil"/>
              <w:right w:val="nil"/>
            </w:tcBorders>
            <w:tcMar>
              <w:top w:w="-1" w:type="dxa"/>
              <w:left w:w="-1" w:type="dxa"/>
              <w:bottom w:w="-1" w:type="dxa"/>
              <w:right w:w="-1" w:type="dxa"/>
            </w:tcMar>
          </w:tcPr>
          <w:p w14:paraId="75E60214" w14:textId="77777777" w:rsidR="000F4313" w:rsidRDefault="00000000" w:rsidP="008108C9">
            <w:pPr>
              <w:jc w:val="center"/>
            </w:pPr>
            <w:r>
              <w:t>0.35±0.05 / 0.53±0.04</w:t>
            </w:r>
          </w:p>
        </w:tc>
        <w:tc>
          <w:tcPr>
            <w:tcW w:w="1103" w:type="pct"/>
            <w:tcBorders>
              <w:top w:val="nil"/>
              <w:left w:val="nil"/>
              <w:bottom w:val="nil"/>
              <w:right w:val="nil"/>
            </w:tcBorders>
            <w:tcMar>
              <w:top w:w="-1" w:type="dxa"/>
              <w:left w:w="-1" w:type="dxa"/>
              <w:bottom w:w="-1" w:type="dxa"/>
              <w:right w:w="-1" w:type="dxa"/>
            </w:tcMar>
          </w:tcPr>
          <w:p w14:paraId="13EA9E6C" w14:textId="77777777" w:rsidR="000F4313" w:rsidRDefault="00000000" w:rsidP="008108C9">
            <w:pPr>
              <w:jc w:val="center"/>
            </w:pPr>
            <w:r>
              <w:t>0.34±0.05 / 0.49±0.05</w:t>
            </w:r>
          </w:p>
        </w:tc>
        <w:tc>
          <w:tcPr>
            <w:tcW w:w="978" w:type="pct"/>
            <w:tcBorders>
              <w:top w:val="nil"/>
              <w:left w:val="nil"/>
              <w:bottom w:val="nil"/>
              <w:right w:val="nil"/>
            </w:tcBorders>
            <w:tcMar>
              <w:top w:w="-1" w:type="dxa"/>
              <w:left w:w="-1" w:type="dxa"/>
              <w:bottom w:w="-1" w:type="dxa"/>
              <w:right w:w="-1" w:type="dxa"/>
            </w:tcMar>
          </w:tcPr>
          <w:p w14:paraId="2ACC511B" w14:textId="77777777" w:rsidR="000F4313" w:rsidRDefault="00000000" w:rsidP="008108C9">
            <w:pPr>
              <w:jc w:val="center"/>
            </w:pPr>
            <w:r>
              <w:t>0.37±0.06 / 0.42±0.04</w:t>
            </w:r>
          </w:p>
        </w:tc>
        <w:tc>
          <w:tcPr>
            <w:tcW w:w="772" w:type="pct"/>
            <w:tcBorders>
              <w:top w:val="nil"/>
              <w:left w:val="nil"/>
              <w:bottom w:val="nil"/>
              <w:right w:val="nil"/>
            </w:tcBorders>
            <w:tcMar>
              <w:top w:w="-1" w:type="dxa"/>
              <w:left w:w="-1" w:type="dxa"/>
              <w:bottom w:w="-1" w:type="dxa"/>
              <w:right w:w="-1" w:type="dxa"/>
            </w:tcMar>
          </w:tcPr>
          <w:p w14:paraId="7B50314D" w14:textId="77777777" w:rsidR="000F4313" w:rsidRDefault="00000000" w:rsidP="008108C9">
            <w:pPr>
              <w:jc w:val="center"/>
            </w:pPr>
            <w:r>
              <w:t>&lt;0.001</w:t>
            </w:r>
          </w:p>
        </w:tc>
      </w:tr>
      <w:tr w:rsidR="000F4313" w14:paraId="389CFAD1" w14:textId="77777777" w:rsidTr="008108C9">
        <w:trPr>
          <w:jc w:val="center"/>
        </w:trPr>
        <w:tc>
          <w:tcPr>
            <w:tcW w:w="661" w:type="pct"/>
            <w:tcBorders>
              <w:top w:val="nil"/>
              <w:left w:val="nil"/>
              <w:bottom w:val="nil"/>
              <w:right w:val="nil"/>
            </w:tcBorders>
            <w:tcMar>
              <w:top w:w="-1" w:type="dxa"/>
              <w:left w:w="-1" w:type="dxa"/>
              <w:bottom w:w="-1" w:type="dxa"/>
              <w:right w:w="-1" w:type="dxa"/>
            </w:tcMar>
          </w:tcPr>
          <w:p w14:paraId="2C5DEDF1" w14:textId="77777777" w:rsidR="000F4313" w:rsidRDefault="00000000" w:rsidP="008108C9">
            <w:pPr>
              <w:jc w:val="left"/>
            </w:pPr>
            <w:r>
              <w:t>CD4</w:t>
            </w:r>
            <w:r>
              <w:rPr>
                <w:rFonts w:ascii="Cambria Math" w:hAnsi="Cambria Math" w:cs="Cambria Math"/>
              </w:rPr>
              <w:t>⁺</w:t>
            </w:r>
          </w:p>
        </w:tc>
        <w:tc>
          <w:tcPr>
            <w:tcW w:w="508" w:type="pct"/>
            <w:tcBorders>
              <w:top w:val="nil"/>
              <w:left w:val="nil"/>
              <w:bottom w:val="nil"/>
              <w:right w:val="nil"/>
            </w:tcBorders>
            <w:tcMar>
              <w:top w:w="-1" w:type="dxa"/>
              <w:left w:w="-1" w:type="dxa"/>
              <w:bottom w:w="-1" w:type="dxa"/>
              <w:right w:w="-1" w:type="dxa"/>
            </w:tcMar>
          </w:tcPr>
          <w:p w14:paraId="2A7DFE7C" w14:textId="77777777" w:rsidR="000F4313" w:rsidRDefault="00000000" w:rsidP="008108C9">
            <w:pPr>
              <w:jc w:val="center"/>
            </w:pPr>
            <w:r>
              <w:t>Before / After</w:t>
            </w:r>
          </w:p>
        </w:tc>
        <w:tc>
          <w:tcPr>
            <w:tcW w:w="978" w:type="pct"/>
            <w:tcBorders>
              <w:top w:val="nil"/>
              <w:left w:val="nil"/>
              <w:bottom w:val="nil"/>
              <w:right w:val="nil"/>
            </w:tcBorders>
            <w:tcMar>
              <w:top w:w="-1" w:type="dxa"/>
              <w:left w:w="-1" w:type="dxa"/>
              <w:bottom w:w="-1" w:type="dxa"/>
              <w:right w:w="-1" w:type="dxa"/>
            </w:tcMar>
          </w:tcPr>
          <w:p w14:paraId="3E989CE9" w14:textId="77777777" w:rsidR="000F4313" w:rsidRDefault="00000000" w:rsidP="008108C9">
            <w:pPr>
              <w:jc w:val="center"/>
            </w:pPr>
            <w:r>
              <w:t>0.31±0.03 / 0.39±0.02</w:t>
            </w:r>
          </w:p>
        </w:tc>
        <w:tc>
          <w:tcPr>
            <w:tcW w:w="1103" w:type="pct"/>
            <w:tcBorders>
              <w:top w:val="nil"/>
              <w:left w:val="nil"/>
              <w:bottom w:val="nil"/>
              <w:right w:val="nil"/>
            </w:tcBorders>
            <w:tcMar>
              <w:top w:w="-1" w:type="dxa"/>
              <w:left w:w="-1" w:type="dxa"/>
              <w:bottom w:w="-1" w:type="dxa"/>
              <w:right w:w="-1" w:type="dxa"/>
            </w:tcMar>
          </w:tcPr>
          <w:p w14:paraId="7FC86384" w14:textId="77777777" w:rsidR="000F4313" w:rsidRDefault="00000000" w:rsidP="008108C9">
            <w:pPr>
              <w:jc w:val="center"/>
            </w:pPr>
            <w:r>
              <w:t>0.32±0.02 / 0.41±0.02</w:t>
            </w:r>
          </w:p>
        </w:tc>
        <w:tc>
          <w:tcPr>
            <w:tcW w:w="978" w:type="pct"/>
            <w:tcBorders>
              <w:top w:val="nil"/>
              <w:left w:val="nil"/>
              <w:bottom w:val="nil"/>
              <w:right w:val="nil"/>
            </w:tcBorders>
            <w:tcMar>
              <w:top w:w="-1" w:type="dxa"/>
              <w:left w:w="-1" w:type="dxa"/>
              <w:bottom w:w="-1" w:type="dxa"/>
              <w:right w:w="-1" w:type="dxa"/>
            </w:tcMar>
          </w:tcPr>
          <w:p w14:paraId="459ECD18" w14:textId="77777777" w:rsidR="000F4313" w:rsidRDefault="00000000" w:rsidP="008108C9">
            <w:pPr>
              <w:jc w:val="center"/>
            </w:pPr>
            <w:r>
              <w:t>0.31±0.02 / 0.37±0.03</w:t>
            </w:r>
          </w:p>
        </w:tc>
        <w:tc>
          <w:tcPr>
            <w:tcW w:w="772" w:type="pct"/>
            <w:tcBorders>
              <w:top w:val="nil"/>
              <w:left w:val="nil"/>
              <w:bottom w:val="nil"/>
              <w:right w:val="nil"/>
            </w:tcBorders>
            <w:tcMar>
              <w:top w:w="-1" w:type="dxa"/>
              <w:left w:w="-1" w:type="dxa"/>
              <w:bottom w:w="-1" w:type="dxa"/>
              <w:right w:w="-1" w:type="dxa"/>
            </w:tcMar>
          </w:tcPr>
          <w:p w14:paraId="782EDB38" w14:textId="77777777" w:rsidR="000F4313" w:rsidRDefault="00000000" w:rsidP="008108C9">
            <w:pPr>
              <w:jc w:val="center"/>
            </w:pPr>
            <w:r>
              <w:t>&lt;0.001</w:t>
            </w:r>
          </w:p>
        </w:tc>
      </w:tr>
      <w:tr w:rsidR="000F4313" w14:paraId="1E2A902C" w14:textId="77777777" w:rsidTr="008108C9">
        <w:trPr>
          <w:jc w:val="center"/>
        </w:trPr>
        <w:tc>
          <w:tcPr>
            <w:tcW w:w="661" w:type="pct"/>
            <w:tcBorders>
              <w:top w:val="nil"/>
              <w:left w:val="nil"/>
              <w:bottom w:val="single" w:sz="12" w:space="0" w:color="auto"/>
              <w:right w:val="nil"/>
            </w:tcBorders>
            <w:tcMar>
              <w:top w:w="-1" w:type="dxa"/>
              <w:left w:w="-1" w:type="dxa"/>
              <w:bottom w:w="-1" w:type="dxa"/>
              <w:right w:w="-1" w:type="dxa"/>
            </w:tcMar>
          </w:tcPr>
          <w:p w14:paraId="794EE6FC" w14:textId="77777777" w:rsidR="000F4313" w:rsidRDefault="00000000" w:rsidP="008108C9">
            <w:pPr>
              <w:jc w:val="left"/>
            </w:pPr>
            <w:r>
              <w:t>CD8</w:t>
            </w:r>
            <w:r>
              <w:rPr>
                <w:rFonts w:ascii="Cambria Math" w:hAnsi="Cambria Math" w:cs="Cambria Math"/>
              </w:rPr>
              <w:t>⁺</w:t>
            </w:r>
          </w:p>
        </w:tc>
        <w:tc>
          <w:tcPr>
            <w:tcW w:w="508" w:type="pct"/>
            <w:tcBorders>
              <w:top w:val="nil"/>
              <w:left w:val="nil"/>
              <w:bottom w:val="single" w:sz="12" w:space="0" w:color="auto"/>
              <w:right w:val="nil"/>
            </w:tcBorders>
            <w:tcMar>
              <w:top w:w="-1" w:type="dxa"/>
              <w:left w:w="-1" w:type="dxa"/>
              <w:bottom w:w="-1" w:type="dxa"/>
              <w:right w:w="-1" w:type="dxa"/>
            </w:tcMar>
          </w:tcPr>
          <w:p w14:paraId="63004130" w14:textId="77777777" w:rsidR="000F4313" w:rsidRDefault="00000000" w:rsidP="008108C9">
            <w:pPr>
              <w:jc w:val="center"/>
            </w:pPr>
            <w:r>
              <w:t>Before / After</w:t>
            </w:r>
          </w:p>
        </w:tc>
        <w:tc>
          <w:tcPr>
            <w:tcW w:w="978" w:type="pct"/>
            <w:tcBorders>
              <w:top w:val="nil"/>
              <w:left w:val="nil"/>
              <w:bottom w:val="single" w:sz="12" w:space="0" w:color="auto"/>
              <w:right w:val="nil"/>
            </w:tcBorders>
            <w:tcMar>
              <w:top w:w="-1" w:type="dxa"/>
              <w:left w:w="-1" w:type="dxa"/>
              <w:bottom w:w="-1" w:type="dxa"/>
              <w:right w:w="-1" w:type="dxa"/>
            </w:tcMar>
          </w:tcPr>
          <w:p w14:paraId="1BD1C128" w14:textId="77777777" w:rsidR="000F4313" w:rsidRDefault="00000000" w:rsidP="008108C9">
            <w:pPr>
              <w:jc w:val="center"/>
            </w:pPr>
            <w:r>
              <w:t>0.27±0.03 / 0.35±0.02</w:t>
            </w:r>
          </w:p>
        </w:tc>
        <w:tc>
          <w:tcPr>
            <w:tcW w:w="1103" w:type="pct"/>
            <w:tcBorders>
              <w:top w:val="nil"/>
              <w:left w:val="nil"/>
              <w:bottom w:val="single" w:sz="12" w:space="0" w:color="auto"/>
              <w:right w:val="nil"/>
            </w:tcBorders>
            <w:tcMar>
              <w:top w:w="-1" w:type="dxa"/>
              <w:left w:w="-1" w:type="dxa"/>
              <w:bottom w:w="-1" w:type="dxa"/>
              <w:right w:w="-1" w:type="dxa"/>
            </w:tcMar>
          </w:tcPr>
          <w:p w14:paraId="58EBD287" w14:textId="77777777" w:rsidR="000F4313" w:rsidRDefault="00000000" w:rsidP="008108C9">
            <w:pPr>
              <w:jc w:val="center"/>
            </w:pPr>
            <w:r>
              <w:t>0.26±0.02 / 0.34±0.01</w:t>
            </w:r>
          </w:p>
        </w:tc>
        <w:tc>
          <w:tcPr>
            <w:tcW w:w="978" w:type="pct"/>
            <w:tcBorders>
              <w:top w:val="nil"/>
              <w:left w:val="nil"/>
              <w:bottom w:val="single" w:sz="12" w:space="0" w:color="auto"/>
              <w:right w:val="nil"/>
            </w:tcBorders>
            <w:tcMar>
              <w:top w:w="-1" w:type="dxa"/>
              <w:left w:w="-1" w:type="dxa"/>
              <w:bottom w:w="-1" w:type="dxa"/>
              <w:right w:w="-1" w:type="dxa"/>
            </w:tcMar>
          </w:tcPr>
          <w:p w14:paraId="69F86B51" w14:textId="77777777" w:rsidR="000F4313" w:rsidRDefault="00000000" w:rsidP="008108C9">
            <w:pPr>
              <w:jc w:val="center"/>
            </w:pPr>
            <w:r>
              <w:t>0.27±0.04 / 0.29±0.03</w:t>
            </w:r>
          </w:p>
        </w:tc>
        <w:tc>
          <w:tcPr>
            <w:tcW w:w="772" w:type="pct"/>
            <w:tcBorders>
              <w:top w:val="nil"/>
              <w:left w:val="nil"/>
              <w:bottom w:val="single" w:sz="12" w:space="0" w:color="auto"/>
              <w:right w:val="nil"/>
            </w:tcBorders>
            <w:tcMar>
              <w:top w:w="-1" w:type="dxa"/>
              <w:left w:w="-1" w:type="dxa"/>
              <w:bottom w:w="-1" w:type="dxa"/>
              <w:right w:w="-1" w:type="dxa"/>
            </w:tcMar>
          </w:tcPr>
          <w:p w14:paraId="7A3A004D" w14:textId="77777777" w:rsidR="000F4313" w:rsidRDefault="00000000" w:rsidP="008108C9">
            <w:pPr>
              <w:jc w:val="center"/>
            </w:pPr>
            <w:r>
              <w:t>&lt;0.001</w:t>
            </w:r>
          </w:p>
        </w:tc>
      </w:tr>
    </w:tbl>
    <w:p w14:paraId="61E9A7BF" w14:textId="77777777" w:rsidR="000F4313" w:rsidRDefault="000F4313" w:rsidP="008108C9"/>
    <w:p w14:paraId="5BD53A54" w14:textId="77777777" w:rsidR="000F4313" w:rsidRPr="008108C9" w:rsidRDefault="00000000" w:rsidP="008108C9">
      <w:pPr>
        <w:rPr>
          <w:b/>
          <w:bCs/>
        </w:rPr>
      </w:pPr>
      <w:r w:rsidRPr="008108C9">
        <w:rPr>
          <w:b/>
          <w:bCs/>
        </w:rPr>
        <w:t>3.2. Changes in histopathological grade of distal ileal tissue at the stoma</w:t>
      </w:r>
    </w:p>
    <w:p w14:paraId="1E2B9098" w14:textId="77777777" w:rsidR="000F4313" w:rsidRDefault="00000000" w:rsidP="008108C9">
      <w:r>
        <w:t xml:space="preserve">Between-group </w:t>
      </w:r>
      <w:r>
        <w:rPr>
          <w:i/>
          <w:iCs/>
        </w:rPr>
        <w:t>P</w:t>
      </w:r>
      <w:r>
        <w:t xml:space="preserve"> values refer to comparisons of changes from before to after enema among the three groups.</w:t>
      </w:r>
    </w:p>
    <w:p w14:paraId="0856D62A" w14:textId="210FD213" w:rsidR="000F4313" w:rsidRDefault="00000000" w:rsidP="008108C9">
      <w:pPr>
        <w:ind w:firstLine="420"/>
      </w:pPr>
      <w:r>
        <w:t>Before enema, distal excluded ileal tissue showed lymphocyte infiltration, villus atrophy or fracture, crypt deformation, and occasional crypt abscesses. These changes were alleviated after enema, particularly in the isosmotic group (</w:t>
      </w:r>
      <w:r w:rsidRPr="008108C9">
        <w:rPr>
          <w:b/>
          <w:bCs/>
        </w:rPr>
        <w:t>Figure 2</w:t>
      </w:r>
      <w:r>
        <w:t>).</w:t>
      </w:r>
    </w:p>
    <w:p w14:paraId="056FD897" w14:textId="77777777" w:rsidR="00742A18" w:rsidRDefault="00742A18" w:rsidP="00D6775A"/>
    <w:p w14:paraId="0662AC8E" w14:textId="4D81BE56" w:rsidR="000F4313" w:rsidRPr="008108C9" w:rsidRDefault="00000000" w:rsidP="008108C9">
      <w:pPr>
        <w:jc w:val="center"/>
        <w:rPr>
          <w:sz w:val="20"/>
          <w:szCs w:val="20"/>
        </w:rPr>
      </w:pPr>
      <w:r w:rsidRPr="008108C9">
        <w:rPr>
          <w:noProof/>
          <w:sz w:val="20"/>
          <w:szCs w:val="20"/>
        </w:rPr>
        <w:drawing>
          <wp:inline distT="0" distB="0" distL="0" distR="0" wp14:anchorId="7ACFCD5C" wp14:editId="21C235BD">
            <wp:extent cx="5651623" cy="1729740"/>
            <wp:effectExtent l="0" t="0" r="6350" b="3810"/>
            <wp:docPr id="13417791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779111"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686705" cy="1740477"/>
                    </a:xfrm>
                    <a:prstGeom prst="rect">
                      <a:avLst/>
                    </a:prstGeom>
                    <a:noFill/>
                  </pic:spPr>
                </pic:pic>
              </a:graphicData>
            </a:graphic>
          </wp:inline>
        </w:drawing>
      </w:r>
    </w:p>
    <w:p w14:paraId="128265E8" w14:textId="77777777" w:rsidR="000F4313" w:rsidRPr="008108C9" w:rsidRDefault="00000000" w:rsidP="008108C9">
      <w:pPr>
        <w:jc w:val="center"/>
        <w:rPr>
          <w:sz w:val="20"/>
          <w:szCs w:val="20"/>
        </w:rPr>
      </w:pPr>
      <w:r w:rsidRPr="008108C9">
        <w:rPr>
          <w:b/>
          <w:bCs/>
          <w:sz w:val="20"/>
          <w:szCs w:val="20"/>
        </w:rPr>
        <w:t>Figure 2.</w:t>
      </w:r>
      <w:r w:rsidRPr="008108C9">
        <w:rPr>
          <w:sz w:val="20"/>
          <w:szCs w:val="20"/>
        </w:rPr>
        <w:t xml:space="preserve"> Histopathological changes in excluded ileal tissue before and after enema: A, pre-enema; B, post-enema.</w:t>
      </w:r>
    </w:p>
    <w:p w14:paraId="2F8C301A" w14:textId="77777777" w:rsidR="000F4313" w:rsidRDefault="000F4313" w:rsidP="008108C9"/>
    <w:p w14:paraId="301E1F7A" w14:textId="77777777" w:rsidR="000F4313" w:rsidRPr="008108C9" w:rsidRDefault="00000000" w:rsidP="008108C9">
      <w:pPr>
        <w:rPr>
          <w:b/>
          <w:bCs/>
        </w:rPr>
      </w:pPr>
      <w:r w:rsidRPr="008108C9">
        <w:rPr>
          <w:b/>
          <w:bCs/>
        </w:rPr>
        <w:t>3.3. Comparison of immunohistochemical markers</w:t>
      </w:r>
    </w:p>
    <w:p w14:paraId="0EAA507C" w14:textId="77777777" w:rsidR="000F4313" w:rsidRPr="008108C9" w:rsidRDefault="00000000" w:rsidP="008108C9">
      <w:pPr>
        <w:rPr>
          <w:b/>
          <w:bCs/>
        </w:rPr>
      </w:pPr>
      <w:r w:rsidRPr="008108C9">
        <w:rPr>
          <w:b/>
          <w:bCs/>
        </w:rPr>
        <w:t>3.3.1. Expression of MAdCAM-1, CD4</w:t>
      </w:r>
      <w:r w:rsidRPr="008108C9">
        <w:rPr>
          <w:rFonts w:ascii="Cambria Math" w:hAnsi="Cambria Math" w:cs="Cambria Math"/>
          <w:b/>
          <w:bCs/>
        </w:rPr>
        <w:t>⁺</w:t>
      </w:r>
      <w:r w:rsidRPr="008108C9">
        <w:rPr>
          <w:b/>
          <w:bCs/>
        </w:rPr>
        <w:t>, and CD8</w:t>
      </w:r>
      <w:r w:rsidRPr="008108C9">
        <w:rPr>
          <w:rFonts w:ascii="Cambria Math" w:hAnsi="Cambria Math" w:cs="Cambria Math"/>
          <w:b/>
          <w:bCs/>
        </w:rPr>
        <w:t>⁺</w:t>
      </w:r>
    </w:p>
    <w:p w14:paraId="36DE4B43" w14:textId="46B3E4C8" w:rsidR="000F4313" w:rsidRDefault="00000000" w:rsidP="00D6775A">
      <w:r>
        <w:t>MAdCAM-1, CD4</w:t>
      </w:r>
      <w:r>
        <w:rPr>
          <w:rFonts w:ascii="Cambria Math" w:hAnsi="Cambria Math" w:cs="Cambria Math"/>
        </w:rPr>
        <w:t>⁺</w:t>
      </w:r>
      <w:r>
        <w:t>, and CD8</w:t>
      </w:r>
      <w:r>
        <w:rPr>
          <w:rFonts w:ascii="Cambria Math" w:hAnsi="Cambria Math" w:cs="Cambria Math"/>
        </w:rPr>
        <w:t>⁺</w:t>
      </w:r>
      <w:r>
        <w:t xml:space="preserve"> expression increased after enema, suggesting partial recovery of mucosal immune activity. Pairwise comparisons showed that the increase in MAdCAM-1 and CD8</w:t>
      </w:r>
      <w:r>
        <w:rPr>
          <w:rFonts w:ascii="Cambria Math" w:hAnsi="Cambria Math" w:cs="Cambria Math"/>
        </w:rPr>
        <w:t>⁺</w:t>
      </w:r>
      <w:r>
        <w:t xml:space="preserve"> levels </w:t>
      </w:r>
      <w:proofErr w:type="gramStart"/>
      <w:r>
        <w:t>was</w:t>
      </w:r>
      <w:proofErr w:type="gramEnd"/>
      <w:r>
        <w:t xml:space="preserve"> greater in the isosmotic group than in the hyperosmotic and control groups (</w:t>
      </w:r>
      <w:r w:rsidR="00F55418">
        <w:t>P &lt; 0.001), Table 2; Figure 3</w:t>
      </w:r>
      <w:r>
        <w:t>.</w:t>
      </w:r>
    </w:p>
    <w:p w14:paraId="2DD84CB6" w14:textId="77777777" w:rsidR="00742A18" w:rsidRDefault="00742A18" w:rsidP="008108C9"/>
    <w:p w14:paraId="08FA153F" w14:textId="77777777" w:rsidR="000F4313" w:rsidRPr="008108C9" w:rsidRDefault="00000000" w:rsidP="008108C9">
      <w:pPr>
        <w:jc w:val="center"/>
        <w:rPr>
          <w:sz w:val="20"/>
          <w:szCs w:val="20"/>
        </w:rPr>
      </w:pPr>
      <w:r w:rsidRPr="008108C9">
        <w:rPr>
          <w:noProof/>
          <w:sz w:val="20"/>
          <w:szCs w:val="20"/>
        </w:rPr>
        <w:lastRenderedPageBreak/>
        <w:drawing>
          <wp:inline distT="0" distB="0" distL="0" distR="0" wp14:anchorId="37D50A45" wp14:editId="02F7CC17">
            <wp:extent cx="4238625" cy="3566795"/>
            <wp:effectExtent l="0" t="0" r="0" b="0"/>
            <wp:docPr id="45174359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743597" name="图片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253474" cy="3579492"/>
                    </a:xfrm>
                    <a:prstGeom prst="rect">
                      <a:avLst/>
                    </a:prstGeom>
                    <a:noFill/>
                  </pic:spPr>
                </pic:pic>
              </a:graphicData>
            </a:graphic>
          </wp:inline>
        </w:drawing>
      </w:r>
    </w:p>
    <w:p w14:paraId="7D0DC56F" w14:textId="44521D76" w:rsidR="000F4313" w:rsidRPr="008108C9" w:rsidRDefault="00000000" w:rsidP="008108C9">
      <w:pPr>
        <w:jc w:val="center"/>
        <w:rPr>
          <w:sz w:val="20"/>
          <w:szCs w:val="20"/>
        </w:rPr>
      </w:pPr>
      <w:r w:rsidRPr="008108C9">
        <w:rPr>
          <w:b/>
          <w:bCs/>
          <w:sz w:val="20"/>
          <w:szCs w:val="20"/>
        </w:rPr>
        <w:t xml:space="preserve">Figure </w:t>
      </w:r>
      <w:r w:rsidR="00742A18" w:rsidRPr="008108C9">
        <w:rPr>
          <w:b/>
          <w:bCs/>
          <w:sz w:val="20"/>
          <w:szCs w:val="20"/>
        </w:rPr>
        <w:t>3</w:t>
      </w:r>
      <w:r w:rsidRPr="008108C9">
        <w:rPr>
          <w:b/>
          <w:bCs/>
          <w:sz w:val="20"/>
          <w:szCs w:val="20"/>
        </w:rPr>
        <w:t>.</w:t>
      </w:r>
      <w:r w:rsidRPr="008108C9">
        <w:rPr>
          <w:sz w:val="20"/>
          <w:szCs w:val="20"/>
        </w:rPr>
        <w:t xml:space="preserve"> Immunohistochemical expression of MAdCAM-1, CD4</w:t>
      </w:r>
      <w:r w:rsidRPr="008108C9">
        <w:rPr>
          <w:rFonts w:ascii="Cambria Math" w:hAnsi="Cambria Math" w:cs="Cambria Math"/>
          <w:sz w:val="20"/>
          <w:szCs w:val="20"/>
        </w:rPr>
        <w:t>⁺</w:t>
      </w:r>
      <w:r w:rsidRPr="008108C9">
        <w:rPr>
          <w:sz w:val="20"/>
          <w:szCs w:val="20"/>
        </w:rPr>
        <w:t>, and CD8</w:t>
      </w:r>
      <w:r w:rsidRPr="008108C9">
        <w:rPr>
          <w:rFonts w:ascii="Cambria Math" w:hAnsi="Cambria Math" w:cs="Cambria Math"/>
          <w:sz w:val="20"/>
          <w:szCs w:val="20"/>
        </w:rPr>
        <w:t>⁺</w:t>
      </w:r>
      <w:r w:rsidRPr="008108C9">
        <w:rPr>
          <w:sz w:val="20"/>
          <w:szCs w:val="20"/>
        </w:rPr>
        <w:t xml:space="preserve"> in the distal ileum at the stoma before and after enema (400</w:t>
      </w:r>
      <w:r w:rsidRPr="008108C9">
        <w:rPr>
          <w:rFonts w:ascii="DengXian" w:eastAsia="DengXian" w:hAnsi="DengXian" w:cs="DengXian" w:hint="eastAsia"/>
          <w:sz w:val="20"/>
          <w:szCs w:val="20"/>
        </w:rPr>
        <w:t>×</w:t>
      </w:r>
      <w:r w:rsidRPr="008108C9">
        <w:rPr>
          <w:sz w:val="20"/>
          <w:szCs w:val="20"/>
        </w:rPr>
        <w:t>).</w:t>
      </w:r>
    </w:p>
    <w:p w14:paraId="2B9F3011" w14:textId="77777777" w:rsidR="00742A18" w:rsidRDefault="00742A18" w:rsidP="008108C9"/>
    <w:p w14:paraId="145C3255" w14:textId="77777777" w:rsidR="000F4313" w:rsidRDefault="00000000" w:rsidP="008108C9">
      <w:pPr>
        <w:ind w:firstLine="420"/>
        <w:rPr>
          <w:rFonts w:eastAsia="DengXian"/>
        </w:rPr>
      </w:pPr>
      <w:r>
        <w:rPr>
          <w:rFonts w:eastAsia="DengXian"/>
        </w:rPr>
        <w:t>For each marker, panels A–F show the isosmotic group before enema, hyperosmotic group before enema, control before enema, isosmotic group after enema, hyperosmotic group after enema, and control after enema, respectively.</w:t>
      </w:r>
    </w:p>
    <w:p w14:paraId="300395DC" w14:textId="77777777" w:rsidR="000F4313" w:rsidRDefault="000F4313" w:rsidP="008108C9"/>
    <w:p w14:paraId="1498EE7E" w14:textId="77777777" w:rsidR="000F4313" w:rsidRPr="008108C9" w:rsidRDefault="00000000" w:rsidP="008108C9">
      <w:pPr>
        <w:rPr>
          <w:rFonts w:eastAsia="DengXian"/>
          <w:b/>
          <w:bCs/>
        </w:rPr>
      </w:pPr>
      <w:r w:rsidRPr="008108C9">
        <w:rPr>
          <w:rFonts w:eastAsia="DengXian"/>
          <w:b/>
          <w:bCs/>
        </w:rPr>
        <w:t>4. Discussion</w:t>
      </w:r>
    </w:p>
    <w:p w14:paraId="4A021BE2" w14:textId="77777777" w:rsidR="000F4313" w:rsidRDefault="00000000" w:rsidP="008108C9">
      <w:pPr>
        <w:rPr>
          <w:rFonts w:eastAsia="DengXian"/>
        </w:rPr>
      </w:pPr>
      <w:r>
        <w:rPr>
          <w:rFonts w:eastAsia="DengXian"/>
        </w:rPr>
        <w:t xml:space="preserve">The intestinal mucosal barrier maintains intestinal homeostasis through mechanical, chemical, biological, and immune components </w:t>
      </w:r>
      <w:r>
        <w:rPr>
          <w:rFonts w:eastAsia="DengXian"/>
          <w:vertAlign w:val="superscript"/>
        </w:rPr>
        <w:t>[1,7]</w:t>
      </w:r>
      <w:r>
        <w:rPr>
          <w:rFonts w:eastAsia="DengXian"/>
        </w:rPr>
        <w:t xml:space="preserve">. In patients with colorectal cancer undergoing preventive ileostomy, the excluded distal ileum lacks normal luminal nutrients, digestive secretions, and mechanical stimulation, which may contribute to villus atrophy, crypt deformation, inflammatory infiltration, and weakened local immune activity </w:t>
      </w:r>
      <w:r>
        <w:rPr>
          <w:rFonts w:eastAsia="DengXian"/>
          <w:vertAlign w:val="superscript"/>
        </w:rPr>
        <w:t>[4-6,11-13]</w:t>
      </w:r>
      <w:r>
        <w:rPr>
          <w:rFonts w:eastAsia="DengXian"/>
        </w:rPr>
        <w:t>. The baseline findings in this study were consistent with structural and immune barrier dysfunction in the excluded ileum.</w:t>
      </w:r>
    </w:p>
    <w:p w14:paraId="4DF48B36" w14:textId="77777777" w:rsidR="000F4313" w:rsidRDefault="00000000" w:rsidP="008108C9">
      <w:pPr>
        <w:ind w:firstLine="420"/>
      </w:pPr>
      <w:r>
        <w:t>The results suggest that short-peptide formula enemas may help restore the morphology of the excluded ileal mucosa. Villus height and crypt depth increased after enema, with greater improvement in the isosmotic formula group than in the hyperosmotic formula and saline groups. Because saline enema may also provide hydration, washout, and mild mechanical stimulation, the observed benefit should be interpreted as the additional effect of peptide-based nutrition over saline stimulation, rather than as a comparison with no intervention.</w:t>
      </w:r>
    </w:p>
    <w:p w14:paraId="398D75DA" w14:textId="77777777" w:rsidR="000F4313" w:rsidRDefault="00000000" w:rsidP="008108C9">
      <w:pPr>
        <w:ind w:firstLine="420"/>
      </w:pPr>
      <w:r>
        <w:t xml:space="preserve">Short peptides can be absorbed with limited digestion and may be suitable for injured or functionally impaired mucosa </w:t>
      </w:r>
      <w:r>
        <w:rPr>
          <w:vertAlign w:val="superscript"/>
        </w:rPr>
        <w:t>[14,15]</w:t>
      </w:r>
      <w:r>
        <w:t xml:space="preserve">. Local exposure through the stoma may support epithelial proliferation, crypt activity, and mucosal repair </w:t>
      </w:r>
      <w:r>
        <w:rPr>
          <w:vertAlign w:val="superscript"/>
        </w:rPr>
        <w:t>[2,8]</w:t>
      </w:r>
      <w:r>
        <w:t>, while the alleviation of villus injury and inflammatory infiltration further suggests a trophic effect of luminal nutritional stimulation. MAdCAM-1, CD4</w:t>
      </w:r>
      <w:r>
        <w:rPr>
          <w:rFonts w:ascii="Cambria Math" w:hAnsi="Cambria Math" w:cs="Cambria Math"/>
        </w:rPr>
        <w:t>⁺</w:t>
      </w:r>
      <w:r>
        <w:t>, and CD8</w:t>
      </w:r>
      <w:r>
        <w:rPr>
          <w:rFonts w:ascii="Cambria Math" w:hAnsi="Cambria Math" w:cs="Cambria Math"/>
        </w:rPr>
        <w:t>⁺</w:t>
      </w:r>
      <w:r>
        <w:t xml:space="preserve"> expression also increased after enema, indicating partial recovery of mucosal immune activity. Reduced enteral stimulation has previously been associated with changes in mucosal immune chemokines and MAdCAM-1 expression [4,6]. Pairwise comparisons further showed greater increases in MAdCAM-1 and CD8</w:t>
      </w:r>
      <w:r>
        <w:rPr>
          <w:rFonts w:ascii="Cambria Math" w:hAnsi="Cambria Math" w:cs="Cambria Math"/>
        </w:rPr>
        <w:t>⁺</w:t>
      </w:r>
      <w:r>
        <w:t xml:space="preserve"> levels in the isosmotic group than in the hyperosmotic and control groups; however, because CD4</w:t>
      </w:r>
      <w:r>
        <w:rPr>
          <w:rFonts w:ascii="Cambria Math" w:hAnsi="Cambria Math" w:cs="Cambria Math"/>
        </w:rPr>
        <w:t>⁺</w:t>
      </w:r>
      <w:r>
        <w:t xml:space="preserve"> expression was numerically highest in the hyperosmotic group after treatment and histopathological grading data are not fully displayed, these immunological and pathological </w:t>
      </w:r>
      <w:r>
        <w:lastRenderedPageBreak/>
        <w:t>findings should be interpreted as endpoint-specific improvement rather than uniform superiority of the isosmotic formula across all immune and pathological endpoints.</w:t>
      </w:r>
    </w:p>
    <w:p w14:paraId="02EF00DE" w14:textId="77777777" w:rsidR="000F4313" w:rsidRDefault="00000000" w:rsidP="008108C9">
      <w:pPr>
        <w:ind w:firstLine="420"/>
      </w:pPr>
      <w:r>
        <w:t>The difference between isosmotic and hyperosmotic formulas may be related to osmotic tolerance in the excluded ileum. Hyperosmolar enteral formulas have been discussed as a potential contributor to gastrointestinal intolerance, including diarrhea</w:t>
      </w:r>
      <w:r>
        <w:rPr>
          <w:vertAlign w:val="superscript"/>
        </w:rPr>
        <w:t xml:space="preserve"> [16]</w:t>
      </w:r>
      <w:r>
        <w:t>. Near-physiological osmotic pressure may reduce osmotic irritation and fluid shifts while maintaining nutrient delivery, which may explain the more favorable effects of the isosmotic formula on villus height, crypt depth, and MAdCAM-1 expression. These findings support the clinical rationale for selecting an isosmotic short-peptide formula when local nutritional stimulation is intended for an excluded or functionally compromised intestinal segment.</w:t>
      </w:r>
    </w:p>
    <w:p w14:paraId="260101DE" w14:textId="77777777" w:rsidR="000F4313" w:rsidRDefault="00000000" w:rsidP="008108C9">
      <w:pPr>
        <w:ind w:firstLine="420"/>
      </w:pPr>
      <w:r>
        <w:t>This study has limitations, including its single-center design, modest sample size, and focus on morphological and immunohistochemical endpoints rather than direct functional measures of absorption, permeability, nutritional status, clinical tolerance, or long-term outcomes. Future multicenter studies with standardized symptom assessment and functional endpoints are needed.</w:t>
      </w:r>
    </w:p>
    <w:p w14:paraId="0FB1647D" w14:textId="77777777" w:rsidR="000F4313" w:rsidRDefault="000F4313" w:rsidP="008108C9"/>
    <w:p w14:paraId="2368DACA" w14:textId="77777777" w:rsidR="000F4313" w:rsidRPr="008108C9" w:rsidRDefault="00000000" w:rsidP="008108C9">
      <w:pPr>
        <w:rPr>
          <w:b/>
          <w:bCs/>
        </w:rPr>
      </w:pPr>
      <w:r w:rsidRPr="008108C9">
        <w:rPr>
          <w:b/>
          <w:bCs/>
        </w:rPr>
        <w:t>5. Conclusion</w:t>
      </w:r>
    </w:p>
    <w:p w14:paraId="089E46E3" w14:textId="77777777" w:rsidR="000F4313" w:rsidRDefault="00000000" w:rsidP="008108C9">
      <w:r>
        <w:t>Short-peptide-based enteral nutritional formula enemas may promote structural repair and partial restoration of mucosal immune activity in the excluded ileum of patients with colorectal cancer undergoing preventive ileostomy. Compared with the hyperosmotic formula and normal saline, the isosmotic formula was associated with greater improvements in villus height, crypt depth, and the expression of MAdCAM-1 and CD8</w:t>
      </w:r>
      <w:r>
        <w:rPr>
          <w:rFonts w:ascii="Cambria Math" w:hAnsi="Cambria Math" w:cs="Cambria Math"/>
        </w:rPr>
        <w:t>⁺</w:t>
      </w:r>
      <w:r>
        <w:t>. These findings indicate a potentially more favorable effect of the isosmotic formula on selected morphological and immunohistochemical endpoints; however, they should not be interpreted as evidence of superior clinical outcomes. Further multicenter studies incorporating functional measures, treatment tolerance, nutritional status, and longer-term clinical endpoints are warranted.</w:t>
      </w:r>
    </w:p>
    <w:p w14:paraId="3B121B3A" w14:textId="77777777" w:rsidR="000F4313" w:rsidRDefault="000F4313" w:rsidP="008108C9"/>
    <w:p w14:paraId="6FE1112B" w14:textId="77777777" w:rsidR="000F4313" w:rsidRPr="008108C9" w:rsidRDefault="00000000" w:rsidP="008108C9">
      <w:pPr>
        <w:rPr>
          <w:b/>
          <w:bCs/>
        </w:rPr>
      </w:pPr>
      <w:bookmarkStart w:id="2" w:name="_Hlk181689731"/>
      <w:r w:rsidRPr="008108C9">
        <w:rPr>
          <w:b/>
          <w:bCs/>
        </w:rPr>
        <w:t>Disclosure statement</w:t>
      </w:r>
    </w:p>
    <w:p w14:paraId="285C9BE7" w14:textId="77777777" w:rsidR="000F4313" w:rsidRDefault="00000000" w:rsidP="008108C9">
      <w:r>
        <w:t xml:space="preserve">The authors declare no conflict of interest. </w:t>
      </w:r>
    </w:p>
    <w:bookmarkEnd w:id="2"/>
    <w:p w14:paraId="03D5BB5F" w14:textId="77777777" w:rsidR="000F4313" w:rsidRDefault="000F4313" w:rsidP="008108C9"/>
    <w:p w14:paraId="3981E5CF" w14:textId="77777777" w:rsidR="000F4313" w:rsidRDefault="00000000" w:rsidP="00D6775A">
      <w:pPr>
        <w:rPr>
          <w:b/>
          <w:bCs/>
        </w:rPr>
      </w:pPr>
      <w:r w:rsidRPr="008108C9">
        <w:rPr>
          <w:b/>
          <w:bCs/>
        </w:rPr>
        <w:t>References</w:t>
      </w:r>
    </w:p>
    <w:p w14:paraId="36824F70" w14:textId="1D6DE607" w:rsidR="00D6775A" w:rsidRDefault="00D6775A" w:rsidP="00D6775A">
      <w:pPr>
        <w:ind w:left="454" w:hanging="454"/>
      </w:pPr>
      <w:bookmarkStart w:id="3" w:name="_Hlk185327419"/>
      <w:r>
        <w:t>[1]</w:t>
      </w:r>
      <w:r>
        <w:tab/>
      </w:r>
      <w:r>
        <w:t xml:space="preserve">Camilleri M, Lyle BJ, Madsen KL, </w:t>
      </w:r>
      <w:r>
        <w:t>et al.</w:t>
      </w:r>
      <w:r>
        <w:t xml:space="preserve">, 2019, Role for Diet in Normal Gut Barrier Function: Developing Guidance Within the Framework of Food-Labeling Regulations. Am J </w:t>
      </w:r>
      <w:proofErr w:type="spellStart"/>
      <w:r>
        <w:t>Physiol</w:t>
      </w:r>
      <w:proofErr w:type="spellEnd"/>
      <w:r>
        <w:t xml:space="preserve"> </w:t>
      </w:r>
      <w:proofErr w:type="spellStart"/>
      <w:r>
        <w:t>Gastrointest</w:t>
      </w:r>
      <w:proofErr w:type="spellEnd"/>
      <w:r>
        <w:t xml:space="preserve"> Liver </w:t>
      </w:r>
      <w:proofErr w:type="spellStart"/>
      <w:r>
        <w:t>Physiol</w:t>
      </w:r>
      <w:proofErr w:type="spellEnd"/>
      <w:r>
        <w:t>, 317: G17–G39.</w:t>
      </w:r>
    </w:p>
    <w:p w14:paraId="4B6EBAE8" w14:textId="3DFD31AD" w:rsidR="00D6775A" w:rsidRDefault="00D6775A" w:rsidP="00D6775A">
      <w:pPr>
        <w:ind w:left="454" w:hanging="454"/>
      </w:pPr>
      <w:r>
        <w:t>[2]</w:t>
      </w:r>
      <w:r>
        <w:tab/>
      </w:r>
      <w:r>
        <w:t xml:space="preserve">Brubaker PL, 2018, Glucagon-like Peptide-2 and the Regulation of Intestinal Growth and Function. </w:t>
      </w:r>
      <w:proofErr w:type="spellStart"/>
      <w:r>
        <w:t>Compr</w:t>
      </w:r>
      <w:proofErr w:type="spellEnd"/>
      <w:r>
        <w:t xml:space="preserve"> </w:t>
      </w:r>
      <w:proofErr w:type="spellStart"/>
      <w:r>
        <w:t>Physiol</w:t>
      </w:r>
      <w:proofErr w:type="spellEnd"/>
      <w:r>
        <w:t>, 8: 1185–1210.</w:t>
      </w:r>
    </w:p>
    <w:p w14:paraId="4BC36A8E" w14:textId="0FEF066E" w:rsidR="00D6775A" w:rsidRDefault="00D6775A" w:rsidP="00D6775A">
      <w:pPr>
        <w:ind w:left="454" w:hanging="454"/>
      </w:pPr>
      <w:r>
        <w:t>[3]</w:t>
      </w:r>
      <w:r>
        <w:tab/>
      </w:r>
      <w:r>
        <w:t xml:space="preserve">Moore FA, Weisbrodt NW, 2003, Gut Dysfunction and Intolerance to Enteral Nutrition in Critically Ill Patients. Nestle </w:t>
      </w:r>
      <w:proofErr w:type="spellStart"/>
      <w:r>
        <w:t>Nutr</w:t>
      </w:r>
      <w:proofErr w:type="spellEnd"/>
      <w:r>
        <w:t xml:space="preserve"> Workshop Ser Clin Perform </w:t>
      </w:r>
      <w:r w:rsidR="00F55418">
        <w:t>Program</w:t>
      </w:r>
      <w:r>
        <w:t>, 8: 149–165; discussion 165–170.</w:t>
      </w:r>
    </w:p>
    <w:p w14:paraId="5F195E45" w14:textId="3A1ED2F9" w:rsidR="00D6775A" w:rsidRDefault="00D6775A" w:rsidP="00D6775A">
      <w:pPr>
        <w:ind w:left="454" w:hanging="454"/>
      </w:pPr>
      <w:r>
        <w:t>[4]</w:t>
      </w:r>
      <w:r>
        <w:tab/>
      </w:r>
      <w:r>
        <w:t xml:space="preserve">Hermsen JL, Gomez FE, Maeshima Y, </w:t>
      </w:r>
      <w:r>
        <w:t>et al.</w:t>
      </w:r>
      <w:r>
        <w:t xml:space="preserve">, 2008, Decreased Enteral Stimulation Alters Mucosal Immune Chemokines. JPEN J </w:t>
      </w:r>
      <w:proofErr w:type="spellStart"/>
      <w:r>
        <w:t>Parenter</w:t>
      </w:r>
      <w:proofErr w:type="spellEnd"/>
      <w:r>
        <w:t xml:space="preserve"> Enteral </w:t>
      </w:r>
      <w:proofErr w:type="spellStart"/>
      <w:r>
        <w:t>Nutr</w:t>
      </w:r>
      <w:proofErr w:type="spellEnd"/>
      <w:r>
        <w:t>, 32: 36–44.</w:t>
      </w:r>
    </w:p>
    <w:p w14:paraId="6AFB94BA" w14:textId="46DE7066" w:rsidR="00D6775A" w:rsidRDefault="00D6775A" w:rsidP="00D6775A">
      <w:pPr>
        <w:ind w:left="454" w:hanging="454"/>
      </w:pPr>
      <w:r>
        <w:t>[5]</w:t>
      </w:r>
      <w:r>
        <w:tab/>
      </w:r>
      <w:proofErr w:type="spellStart"/>
      <w:r>
        <w:t>Demehri</w:t>
      </w:r>
      <w:proofErr w:type="spellEnd"/>
      <w:r>
        <w:t xml:space="preserve"> FR, Krug SM, Feng Y, </w:t>
      </w:r>
      <w:r>
        <w:t>et al.</w:t>
      </w:r>
      <w:r>
        <w:t>, 2016, Tight Junction Ultrastructure Alterations in a Mouse Model of Enteral Nutrient Deprivation. Dig Dis Sci, 61: 1524–1533.</w:t>
      </w:r>
    </w:p>
    <w:p w14:paraId="2FCC4CFE" w14:textId="0CA027D3" w:rsidR="00D6775A" w:rsidRDefault="00D6775A" w:rsidP="00D6775A">
      <w:pPr>
        <w:ind w:left="454" w:hanging="454"/>
      </w:pPr>
      <w:r>
        <w:t>[6]</w:t>
      </w:r>
      <w:r>
        <w:tab/>
      </w:r>
      <w:r>
        <w:t xml:space="preserve">Gomez FE, Lan J, Kang W, </w:t>
      </w:r>
      <w:r>
        <w:t>et al.</w:t>
      </w:r>
      <w:r>
        <w:t xml:space="preserve">, 2007, Parenteral Nutrition and Fasting Reduces Mucosal </w:t>
      </w:r>
      <w:proofErr w:type="spellStart"/>
      <w:r>
        <w:t>Addressin</w:t>
      </w:r>
      <w:proofErr w:type="spellEnd"/>
      <w:r>
        <w:t xml:space="preserve"> Cellular Adhesion Molecule-1 (MAdCAM-1) mRNA in Peyer's Patches of Mice. JPEN J </w:t>
      </w:r>
      <w:proofErr w:type="spellStart"/>
      <w:r>
        <w:t>Parenter</w:t>
      </w:r>
      <w:proofErr w:type="spellEnd"/>
      <w:r>
        <w:t xml:space="preserve"> Enteral </w:t>
      </w:r>
      <w:proofErr w:type="spellStart"/>
      <w:r>
        <w:t>Nutr</w:t>
      </w:r>
      <w:proofErr w:type="spellEnd"/>
      <w:r>
        <w:t>, 31: 47–52.</w:t>
      </w:r>
    </w:p>
    <w:p w14:paraId="1729A23E" w14:textId="6A572416" w:rsidR="00D6775A" w:rsidRDefault="00D6775A" w:rsidP="00D6775A">
      <w:pPr>
        <w:ind w:left="454" w:hanging="454"/>
      </w:pPr>
      <w:r>
        <w:t>[7]</w:t>
      </w:r>
      <w:r>
        <w:tab/>
      </w:r>
      <w:r>
        <w:t xml:space="preserve">McCarty MF, Lerner A, 2021, Perspective: Prospects for Nutraceutical Support of Intestinal Barrier Function. Adv </w:t>
      </w:r>
      <w:proofErr w:type="spellStart"/>
      <w:r>
        <w:t>Nutr</w:t>
      </w:r>
      <w:proofErr w:type="spellEnd"/>
      <w:r>
        <w:t>, 12: 316–324.</w:t>
      </w:r>
    </w:p>
    <w:p w14:paraId="7F75B044" w14:textId="6F917DFE" w:rsidR="00D6775A" w:rsidRDefault="00D6775A" w:rsidP="00D6775A">
      <w:pPr>
        <w:ind w:left="454" w:hanging="454"/>
      </w:pPr>
      <w:r>
        <w:t>[8]</w:t>
      </w:r>
      <w:r>
        <w:tab/>
      </w:r>
      <w:r>
        <w:t xml:space="preserve">Ren W, Wu J, Li L, et al., 2018, Glucagon-like Peptide-2 Improves Intestinal Mucosal Barrier Function in Aged Rats. J </w:t>
      </w:r>
      <w:proofErr w:type="spellStart"/>
      <w:r>
        <w:t>Nutr</w:t>
      </w:r>
      <w:proofErr w:type="spellEnd"/>
      <w:r>
        <w:t xml:space="preserve"> Health Aging, 22: 731–738.</w:t>
      </w:r>
    </w:p>
    <w:p w14:paraId="27027969" w14:textId="71CBDDA8" w:rsidR="00D6775A" w:rsidRDefault="00D6775A" w:rsidP="00D6775A">
      <w:pPr>
        <w:ind w:left="454" w:hanging="454"/>
      </w:pPr>
      <w:r>
        <w:t>[9]</w:t>
      </w:r>
      <w:r>
        <w:tab/>
      </w:r>
      <w:r>
        <w:t>Yun JA, Cho YB, Park YA, et al., 2017, Clinical Manifestations and Risk Factors of Anastomotic Leakage After Low Anterior Resection for Rectal Cancer. ANZ J Surg, 87: 908–914.</w:t>
      </w:r>
    </w:p>
    <w:p w14:paraId="6C1E6C8E" w14:textId="61B1AAC7" w:rsidR="00D6775A" w:rsidRDefault="00D6775A" w:rsidP="00D6775A">
      <w:pPr>
        <w:ind w:left="454" w:hanging="454"/>
      </w:pPr>
      <w:r>
        <w:lastRenderedPageBreak/>
        <w:t>[10]</w:t>
      </w:r>
      <w:r>
        <w:tab/>
      </w:r>
      <w:r>
        <w:t>Cai M, Li C, Xiong Z, et al., 2022, Techniques in Prophylactic Ileostomy Reversal. Zhonghua Wei Chang Wai Ke Za Zhi, 25: 976–980.</w:t>
      </w:r>
    </w:p>
    <w:p w14:paraId="79212110" w14:textId="68075775" w:rsidR="00D6775A" w:rsidRDefault="00D6775A" w:rsidP="00D6775A">
      <w:pPr>
        <w:ind w:left="454" w:hanging="454"/>
      </w:pPr>
      <w:r>
        <w:t>[11]</w:t>
      </w:r>
      <w:r>
        <w:tab/>
      </w:r>
      <w:proofErr w:type="spellStart"/>
      <w:r>
        <w:t>Korelitz</w:t>
      </w:r>
      <w:proofErr w:type="spellEnd"/>
      <w:r>
        <w:t xml:space="preserve"> BI, Cheskin LJ, Sohn N, </w:t>
      </w:r>
      <w:r>
        <w:t>et al.</w:t>
      </w:r>
      <w:r>
        <w:t>, 1985, The Fate of the Rectal Segment After Diversion of the Fecal Stream in Crohn’s Disease: Its Implications for Surgical Management. J Clin Gastroenterol, 7: 37–43.</w:t>
      </w:r>
    </w:p>
    <w:p w14:paraId="66E490E3" w14:textId="0636B35B" w:rsidR="00D6775A" w:rsidRDefault="00D6775A" w:rsidP="00D6775A">
      <w:pPr>
        <w:ind w:left="454" w:hanging="454"/>
      </w:pPr>
      <w:r>
        <w:t>[12]</w:t>
      </w:r>
      <w:r>
        <w:tab/>
      </w:r>
      <w:r>
        <w:t xml:space="preserve">Roe AM, Warren BF, Brodribb AJ, </w:t>
      </w:r>
      <w:r>
        <w:t>et al.</w:t>
      </w:r>
      <w:r>
        <w:t xml:space="preserve">, 1993, Diversion Colitis and Involution of the </w:t>
      </w:r>
      <w:proofErr w:type="spellStart"/>
      <w:r>
        <w:t>Defunctioned</w:t>
      </w:r>
      <w:proofErr w:type="spellEnd"/>
      <w:r>
        <w:t xml:space="preserve"> Anorectum. Gut, 34: 382–385.</w:t>
      </w:r>
    </w:p>
    <w:p w14:paraId="6AA9B78B" w14:textId="7D96FF49" w:rsidR="00D6775A" w:rsidRDefault="00D6775A" w:rsidP="00D6775A">
      <w:pPr>
        <w:ind w:left="454" w:hanging="454"/>
      </w:pPr>
      <w:r>
        <w:t>[13]</w:t>
      </w:r>
      <w:r>
        <w:tab/>
      </w:r>
      <w:r>
        <w:t>Roediger WE, 1990, The Starved Colon—Diminished Mucosal Nutrition, Diminished Absorption, and Colitis. Dis Colon Rectum, 33: 858–862.</w:t>
      </w:r>
    </w:p>
    <w:p w14:paraId="106AB605" w14:textId="4B2B5ECF" w:rsidR="00D6775A" w:rsidRDefault="00D6775A" w:rsidP="00D6775A">
      <w:pPr>
        <w:ind w:left="454" w:hanging="454"/>
      </w:pPr>
      <w:r>
        <w:t>[14]</w:t>
      </w:r>
      <w:r>
        <w:tab/>
      </w:r>
      <w:r>
        <w:t xml:space="preserve">Luan J, Ji Q, Liu S, </w:t>
      </w:r>
      <w:r>
        <w:t>et al.</w:t>
      </w:r>
      <w:r>
        <w:t>, 2018, Progress in Clinical Application of Enteral Nutrition Preparations. Chinese Journal of New Drugs and Clinical, 12: 665–670.</w:t>
      </w:r>
    </w:p>
    <w:p w14:paraId="679AB4BB" w14:textId="6AE1519F" w:rsidR="00D6775A" w:rsidRDefault="00D6775A" w:rsidP="00D6775A">
      <w:pPr>
        <w:ind w:left="454" w:hanging="454"/>
      </w:pPr>
      <w:r>
        <w:t>[15]</w:t>
      </w:r>
      <w:r>
        <w:tab/>
      </w:r>
      <w:r>
        <w:t xml:space="preserve">Tu D, Xu Z, Deng Y, </w:t>
      </w:r>
      <w:r>
        <w:t>et al.</w:t>
      </w:r>
      <w:r>
        <w:t>, 2015, Effects of Peptide-based Enteral Nutrition on Inflammatory Response and Immune Function in Intestinal Mucositis Rat. Chinese Journal of Clinical Nutrition, 23: 41–47.</w:t>
      </w:r>
    </w:p>
    <w:p w14:paraId="67FF9780" w14:textId="382799BB" w:rsidR="00D6775A" w:rsidRDefault="00D6775A" w:rsidP="00D6775A">
      <w:pPr>
        <w:ind w:left="454" w:hanging="454"/>
      </w:pPr>
      <w:r>
        <w:t>[16]</w:t>
      </w:r>
      <w:r>
        <w:tab/>
      </w:r>
      <w:r>
        <w:t>Pu Q, Yuan Y, Shen L, 2016, Research Progress and Prospect of Risk Factors of Diarrhea in Enteral Nutrition. Evidence-based Nursing, 2: 162–166.</w:t>
      </w:r>
    </w:p>
    <w:p w14:paraId="3EC9BC17" w14:textId="2EB26871" w:rsidR="00D6775A" w:rsidRDefault="00D6775A" w:rsidP="00D6775A">
      <w:pPr>
        <w:ind w:left="454" w:hanging="454"/>
      </w:pPr>
      <w:r>
        <w:t>[17]</w:t>
      </w:r>
      <w:r>
        <w:tab/>
      </w:r>
      <w:r>
        <w:t xml:space="preserve">van </w:t>
      </w:r>
      <w:proofErr w:type="spellStart"/>
      <w:r>
        <w:t>Beekum</w:t>
      </w:r>
      <w:proofErr w:type="spellEnd"/>
      <w:r>
        <w:t xml:space="preserve"> CJ, Willis MA, von </w:t>
      </w:r>
      <w:proofErr w:type="spellStart"/>
      <w:r>
        <w:t>Websky</w:t>
      </w:r>
      <w:proofErr w:type="spellEnd"/>
      <w:r>
        <w:t xml:space="preserve"> MW, et al., 2021, Electrical </w:t>
      </w:r>
      <w:proofErr w:type="spellStart"/>
      <w:r>
        <w:t>Vagus</w:t>
      </w:r>
      <w:proofErr w:type="spellEnd"/>
      <w:r>
        <w:t xml:space="preserve"> Nerve Stimulation as a Prophylaxis for SIRS and Postoperative Ileus. Auton </w:t>
      </w:r>
      <w:proofErr w:type="spellStart"/>
      <w:r>
        <w:t>Neurosci</w:t>
      </w:r>
      <w:proofErr w:type="spellEnd"/>
      <w:r>
        <w:t>, 235: 102857.</w:t>
      </w:r>
    </w:p>
    <w:p w14:paraId="5B58E942" w14:textId="60892573" w:rsidR="00D6775A" w:rsidRDefault="00D6775A" w:rsidP="00D6775A">
      <w:pPr>
        <w:ind w:left="454" w:hanging="454"/>
      </w:pPr>
      <w:r>
        <w:t>[18]</w:t>
      </w:r>
      <w:r>
        <w:tab/>
      </w:r>
      <w:r>
        <w:t xml:space="preserve">Peng L, Zhao J, Zhao P, </w:t>
      </w:r>
      <w:r>
        <w:t>et al.</w:t>
      </w:r>
      <w:r>
        <w:t>, 2015, Effect and Mechanism of Early Enteral Nutrition on Intestinal Immune Barrier in Rats with Severe Acute Pancreatitis. Journal of Clinical Gastroenterology, 27: 31–35.</w:t>
      </w:r>
    </w:p>
    <w:p w14:paraId="7C7D6101" w14:textId="4FDF7D15" w:rsidR="00D6775A" w:rsidRDefault="00D6775A" w:rsidP="00D6775A">
      <w:pPr>
        <w:ind w:left="454" w:hanging="454"/>
      </w:pPr>
      <w:r>
        <w:t>[19]</w:t>
      </w:r>
      <w:r>
        <w:tab/>
      </w:r>
      <w:r>
        <w:t xml:space="preserve">Kawasaki N, Suzuki Y, </w:t>
      </w:r>
      <w:proofErr w:type="spellStart"/>
      <w:r>
        <w:t>Nakayoshi</w:t>
      </w:r>
      <w:proofErr w:type="spellEnd"/>
      <w:r>
        <w:t xml:space="preserve"> T, et al., 2009, Early Postoperative Enteral Nutrition Is Useful for Recovering Gastrointestinal Motility and Maintaining the Nutritional Status. Surg Today, 39: 225–230.</w:t>
      </w:r>
    </w:p>
    <w:p w14:paraId="3E0B0399" w14:textId="77777777" w:rsidR="00D6775A" w:rsidRDefault="00D6775A" w:rsidP="00D6775A"/>
    <w:p w14:paraId="4795D368" w14:textId="77777777" w:rsidR="00D6775A" w:rsidRDefault="00D6775A" w:rsidP="00D6775A">
      <w:pPr>
        <w:widowControl/>
        <w:autoSpaceDE w:val="0"/>
        <w:autoSpaceDN w:val="0"/>
        <w:snapToGrid/>
        <w:jc w:val="left"/>
        <w:rPr>
          <w:rFonts w:eastAsia="SimSun"/>
          <w:b/>
          <w:bCs/>
          <w:kern w:val="0"/>
          <w:sz w:val="20"/>
          <w:szCs w:val="22"/>
          <w:lang w:eastAsia="en-US"/>
        </w:rPr>
      </w:pPr>
      <w:r>
        <w:rPr>
          <w:rFonts w:eastAsia="SimSun"/>
          <w:b/>
          <w:bCs/>
          <w:kern w:val="0"/>
          <w:sz w:val="20"/>
          <w:szCs w:val="22"/>
          <w:lang w:eastAsia="en-US"/>
        </w:rPr>
        <w:t>Publisher’s note</w:t>
      </w:r>
    </w:p>
    <w:p w14:paraId="59DC19EA" w14:textId="77777777" w:rsidR="00D6775A" w:rsidRDefault="00D6775A" w:rsidP="00D6775A">
      <w:pPr>
        <w:adjustRightInd/>
        <w:snapToGrid/>
      </w:pPr>
      <w:r>
        <w:rPr>
          <w:rFonts w:eastAsia="SimSun"/>
          <w:kern w:val="0"/>
          <w:sz w:val="20"/>
          <w:szCs w:val="22"/>
          <w:lang w:eastAsia="en-US"/>
        </w:rPr>
        <w:t>Bio-Byword Scientific Publishing remains neutral with regard to jurisdictional claims in published maps and institutional affiliations.</w:t>
      </w:r>
      <w:r w:rsidRPr="00471541">
        <w:t xml:space="preserve"> </w:t>
      </w:r>
    </w:p>
    <w:bookmarkEnd w:id="3"/>
    <w:p w14:paraId="258ACD59" w14:textId="77777777" w:rsidR="000F4313" w:rsidRDefault="000F4313" w:rsidP="00D6775A"/>
    <w:sectPr w:rsidR="000F4313" w:rsidSect="008108C9">
      <w:type w:val="nextPage"/>
      <w:pgSz w:w="11906" w:h="16838"/>
      <w:pgMar w:top="1134" w:right="1418" w:bottom="1134" w:left="1418"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D3FC7" w14:textId="77777777" w:rsidR="0063338E" w:rsidRDefault="0063338E">
      <w:r>
        <w:separator/>
      </w:r>
    </w:p>
  </w:endnote>
  <w:endnote w:type="continuationSeparator" w:id="0">
    <w:p w14:paraId="5ABAF0DE" w14:textId="77777777" w:rsidR="0063338E" w:rsidRDefault="00633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embedRegular r:id="rId1" w:subsetted="1" w:fontKey="{7E147026-8BC9-49F2-9A93-FB6794290B65}"/>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embedRegular r:id="rId2" w:fontKey="{2AC33A4A-601C-488E-9DCB-4E4AA63A19D0}"/>
    <w:embedBold r:id="rId3" w:fontKey="{03BFEC76-2687-4BBF-A9A8-4EEF848EA4C9}"/>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462E7" w14:textId="77777777" w:rsidR="0063338E" w:rsidRDefault="0063338E">
      <w:r>
        <w:separator/>
      </w:r>
    </w:p>
  </w:footnote>
  <w:footnote w:type="continuationSeparator" w:id="0">
    <w:p w14:paraId="4E5525BA" w14:textId="77777777" w:rsidR="0063338E" w:rsidRDefault="006333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trackRevisions/>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Oncology_Letters2024&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 w:name="KY_MEDREF_DOCUID" w:val="{D11415A6-55B4-4670-8525-6F06BC386047}"/>
    <w:docVar w:name="KY_MEDREF_VERSION" w:val="3"/>
  </w:docVars>
  <w:rsids>
    <w:rsidRoot w:val="00E07890"/>
    <w:rsid w:val="00003131"/>
    <w:rsid w:val="0000658A"/>
    <w:rsid w:val="000108AC"/>
    <w:rsid w:val="00011D1A"/>
    <w:rsid w:val="00011D1C"/>
    <w:rsid w:val="00012A14"/>
    <w:rsid w:val="00012AA4"/>
    <w:rsid w:val="00016002"/>
    <w:rsid w:val="00017655"/>
    <w:rsid w:val="0002138B"/>
    <w:rsid w:val="000226BE"/>
    <w:rsid w:val="00023730"/>
    <w:rsid w:val="000244F7"/>
    <w:rsid w:val="0002558D"/>
    <w:rsid w:val="00031744"/>
    <w:rsid w:val="00032501"/>
    <w:rsid w:val="00042E7B"/>
    <w:rsid w:val="000435A9"/>
    <w:rsid w:val="0004689F"/>
    <w:rsid w:val="00054F75"/>
    <w:rsid w:val="00057EF7"/>
    <w:rsid w:val="000603E5"/>
    <w:rsid w:val="000634E8"/>
    <w:rsid w:val="00065E21"/>
    <w:rsid w:val="000668CF"/>
    <w:rsid w:val="00066D88"/>
    <w:rsid w:val="00070E99"/>
    <w:rsid w:val="0007439D"/>
    <w:rsid w:val="00080769"/>
    <w:rsid w:val="00082E99"/>
    <w:rsid w:val="00091AC6"/>
    <w:rsid w:val="0009217A"/>
    <w:rsid w:val="000930B4"/>
    <w:rsid w:val="00093A63"/>
    <w:rsid w:val="000A3A9E"/>
    <w:rsid w:val="000A560D"/>
    <w:rsid w:val="000A6901"/>
    <w:rsid w:val="000A7A63"/>
    <w:rsid w:val="000A7ACB"/>
    <w:rsid w:val="000B108E"/>
    <w:rsid w:val="000B1F5E"/>
    <w:rsid w:val="000B3670"/>
    <w:rsid w:val="000B440B"/>
    <w:rsid w:val="000B6132"/>
    <w:rsid w:val="000C7208"/>
    <w:rsid w:val="000D2589"/>
    <w:rsid w:val="000D3FDF"/>
    <w:rsid w:val="000D6F2E"/>
    <w:rsid w:val="000E078F"/>
    <w:rsid w:val="000E148A"/>
    <w:rsid w:val="000E15D2"/>
    <w:rsid w:val="000E51FB"/>
    <w:rsid w:val="000E7E22"/>
    <w:rsid w:val="000F4313"/>
    <w:rsid w:val="00102087"/>
    <w:rsid w:val="00105417"/>
    <w:rsid w:val="00115845"/>
    <w:rsid w:val="00116B27"/>
    <w:rsid w:val="001234AF"/>
    <w:rsid w:val="0012431A"/>
    <w:rsid w:val="001272D5"/>
    <w:rsid w:val="0013550C"/>
    <w:rsid w:val="00135704"/>
    <w:rsid w:val="00136F44"/>
    <w:rsid w:val="00137D44"/>
    <w:rsid w:val="00141BA9"/>
    <w:rsid w:val="0014558E"/>
    <w:rsid w:val="00145679"/>
    <w:rsid w:val="00152698"/>
    <w:rsid w:val="001526FA"/>
    <w:rsid w:val="001530A9"/>
    <w:rsid w:val="00154AAE"/>
    <w:rsid w:val="00156C19"/>
    <w:rsid w:val="00160004"/>
    <w:rsid w:val="001619AB"/>
    <w:rsid w:val="00162A1F"/>
    <w:rsid w:val="001756F9"/>
    <w:rsid w:val="00180A9C"/>
    <w:rsid w:val="00183619"/>
    <w:rsid w:val="00184DE6"/>
    <w:rsid w:val="00185209"/>
    <w:rsid w:val="001856EE"/>
    <w:rsid w:val="0018678A"/>
    <w:rsid w:val="00187318"/>
    <w:rsid w:val="0018775B"/>
    <w:rsid w:val="0018785D"/>
    <w:rsid w:val="00193FB5"/>
    <w:rsid w:val="001A264E"/>
    <w:rsid w:val="001A4A30"/>
    <w:rsid w:val="001A5DF8"/>
    <w:rsid w:val="001A7FCD"/>
    <w:rsid w:val="001B19CA"/>
    <w:rsid w:val="001B3E6E"/>
    <w:rsid w:val="001C00C2"/>
    <w:rsid w:val="001C2C86"/>
    <w:rsid w:val="001C462F"/>
    <w:rsid w:val="001D015D"/>
    <w:rsid w:val="001D4BE8"/>
    <w:rsid w:val="001D7115"/>
    <w:rsid w:val="001D714F"/>
    <w:rsid w:val="001D743B"/>
    <w:rsid w:val="001E1D53"/>
    <w:rsid w:val="001F052E"/>
    <w:rsid w:val="001F2EAA"/>
    <w:rsid w:val="001F378E"/>
    <w:rsid w:val="00201A2D"/>
    <w:rsid w:val="00201CF3"/>
    <w:rsid w:val="00204F87"/>
    <w:rsid w:val="00205589"/>
    <w:rsid w:val="002118FA"/>
    <w:rsid w:val="0021634A"/>
    <w:rsid w:val="00216E24"/>
    <w:rsid w:val="00217856"/>
    <w:rsid w:val="00217EAB"/>
    <w:rsid w:val="0022137B"/>
    <w:rsid w:val="0022301D"/>
    <w:rsid w:val="00223D39"/>
    <w:rsid w:val="002311BD"/>
    <w:rsid w:val="00233743"/>
    <w:rsid w:val="002350FE"/>
    <w:rsid w:val="00244DFF"/>
    <w:rsid w:val="00244FFC"/>
    <w:rsid w:val="00245F25"/>
    <w:rsid w:val="002536DB"/>
    <w:rsid w:val="00253C1A"/>
    <w:rsid w:val="00256B19"/>
    <w:rsid w:val="002638A4"/>
    <w:rsid w:val="002652C3"/>
    <w:rsid w:val="00267679"/>
    <w:rsid w:val="00274A61"/>
    <w:rsid w:val="0027554E"/>
    <w:rsid w:val="00275FF4"/>
    <w:rsid w:val="0027759D"/>
    <w:rsid w:val="002843F6"/>
    <w:rsid w:val="0028657F"/>
    <w:rsid w:val="00287191"/>
    <w:rsid w:val="00293053"/>
    <w:rsid w:val="002A016E"/>
    <w:rsid w:val="002A12FB"/>
    <w:rsid w:val="002A7527"/>
    <w:rsid w:val="002A7608"/>
    <w:rsid w:val="002B16F5"/>
    <w:rsid w:val="002B2592"/>
    <w:rsid w:val="002B3EFA"/>
    <w:rsid w:val="002B472A"/>
    <w:rsid w:val="002B7A3B"/>
    <w:rsid w:val="002C04A0"/>
    <w:rsid w:val="002C0E25"/>
    <w:rsid w:val="002C3FAE"/>
    <w:rsid w:val="002D13CB"/>
    <w:rsid w:val="002D1F1D"/>
    <w:rsid w:val="002D3D87"/>
    <w:rsid w:val="002D3EC0"/>
    <w:rsid w:val="002D44DB"/>
    <w:rsid w:val="002D54C7"/>
    <w:rsid w:val="002D54E3"/>
    <w:rsid w:val="002D5B24"/>
    <w:rsid w:val="002D696E"/>
    <w:rsid w:val="002E1705"/>
    <w:rsid w:val="002E4833"/>
    <w:rsid w:val="002E7120"/>
    <w:rsid w:val="003020A2"/>
    <w:rsid w:val="003100ED"/>
    <w:rsid w:val="00311CFF"/>
    <w:rsid w:val="0031743B"/>
    <w:rsid w:val="00326EDC"/>
    <w:rsid w:val="0033070F"/>
    <w:rsid w:val="00332D37"/>
    <w:rsid w:val="003375A3"/>
    <w:rsid w:val="00345862"/>
    <w:rsid w:val="00346848"/>
    <w:rsid w:val="00350845"/>
    <w:rsid w:val="003509A1"/>
    <w:rsid w:val="00350C13"/>
    <w:rsid w:val="003554C5"/>
    <w:rsid w:val="003566B7"/>
    <w:rsid w:val="00360704"/>
    <w:rsid w:val="00360E92"/>
    <w:rsid w:val="00363AC9"/>
    <w:rsid w:val="003721FE"/>
    <w:rsid w:val="0037322D"/>
    <w:rsid w:val="00373600"/>
    <w:rsid w:val="00373D39"/>
    <w:rsid w:val="00373E86"/>
    <w:rsid w:val="0037658C"/>
    <w:rsid w:val="003777FC"/>
    <w:rsid w:val="003810ED"/>
    <w:rsid w:val="003814C2"/>
    <w:rsid w:val="0038183A"/>
    <w:rsid w:val="00383A68"/>
    <w:rsid w:val="0038430D"/>
    <w:rsid w:val="0039060A"/>
    <w:rsid w:val="003A3217"/>
    <w:rsid w:val="003A4C5C"/>
    <w:rsid w:val="003B1593"/>
    <w:rsid w:val="003B34AC"/>
    <w:rsid w:val="003B58CD"/>
    <w:rsid w:val="003B663A"/>
    <w:rsid w:val="003B7E2A"/>
    <w:rsid w:val="003C00D7"/>
    <w:rsid w:val="003C3834"/>
    <w:rsid w:val="003C5E86"/>
    <w:rsid w:val="003D0F7C"/>
    <w:rsid w:val="003D3EF4"/>
    <w:rsid w:val="003D5694"/>
    <w:rsid w:val="003D78B3"/>
    <w:rsid w:val="003E0088"/>
    <w:rsid w:val="003E177D"/>
    <w:rsid w:val="003E6D18"/>
    <w:rsid w:val="003F0460"/>
    <w:rsid w:val="003F1F81"/>
    <w:rsid w:val="003F2766"/>
    <w:rsid w:val="003F3AA4"/>
    <w:rsid w:val="003F3DA4"/>
    <w:rsid w:val="003F61AE"/>
    <w:rsid w:val="004027A4"/>
    <w:rsid w:val="00411022"/>
    <w:rsid w:val="00414864"/>
    <w:rsid w:val="004178F8"/>
    <w:rsid w:val="00420623"/>
    <w:rsid w:val="00432934"/>
    <w:rsid w:val="00433AAF"/>
    <w:rsid w:val="0043569B"/>
    <w:rsid w:val="00437B06"/>
    <w:rsid w:val="004429CE"/>
    <w:rsid w:val="00446988"/>
    <w:rsid w:val="00447AC9"/>
    <w:rsid w:val="00450E5F"/>
    <w:rsid w:val="00454148"/>
    <w:rsid w:val="00456A0E"/>
    <w:rsid w:val="00456E0C"/>
    <w:rsid w:val="00457CE2"/>
    <w:rsid w:val="00457F2B"/>
    <w:rsid w:val="00460C0D"/>
    <w:rsid w:val="004617AD"/>
    <w:rsid w:val="00462789"/>
    <w:rsid w:val="00466212"/>
    <w:rsid w:val="004667FB"/>
    <w:rsid w:val="00467590"/>
    <w:rsid w:val="0048732A"/>
    <w:rsid w:val="004907D8"/>
    <w:rsid w:val="00490C1A"/>
    <w:rsid w:val="00492941"/>
    <w:rsid w:val="004941B3"/>
    <w:rsid w:val="00495FF9"/>
    <w:rsid w:val="0049736E"/>
    <w:rsid w:val="004A0C1B"/>
    <w:rsid w:val="004B0838"/>
    <w:rsid w:val="004B6744"/>
    <w:rsid w:val="004B6FAD"/>
    <w:rsid w:val="004C011A"/>
    <w:rsid w:val="004C0B9A"/>
    <w:rsid w:val="004C0E52"/>
    <w:rsid w:val="004C1C5D"/>
    <w:rsid w:val="004C2C03"/>
    <w:rsid w:val="004C43DE"/>
    <w:rsid w:val="004C6427"/>
    <w:rsid w:val="004C7D90"/>
    <w:rsid w:val="004D0753"/>
    <w:rsid w:val="004D2439"/>
    <w:rsid w:val="004D36AF"/>
    <w:rsid w:val="004D584C"/>
    <w:rsid w:val="004D6990"/>
    <w:rsid w:val="004E7A8B"/>
    <w:rsid w:val="004F28A2"/>
    <w:rsid w:val="0050168B"/>
    <w:rsid w:val="00503BBC"/>
    <w:rsid w:val="00506CBD"/>
    <w:rsid w:val="0050727C"/>
    <w:rsid w:val="005078CC"/>
    <w:rsid w:val="005174EB"/>
    <w:rsid w:val="00517D8C"/>
    <w:rsid w:val="00524A1D"/>
    <w:rsid w:val="005307A8"/>
    <w:rsid w:val="005331E9"/>
    <w:rsid w:val="00536712"/>
    <w:rsid w:val="005431DC"/>
    <w:rsid w:val="00543496"/>
    <w:rsid w:val="00550878"/>
    <w:rsid w:val="00553D22"/>
    <w:rsid w:val="00554F3E"/>
    <w:rsid w:val="00557155"/>
    <w:rsid w:val="00560D3E"/>
    <w:rsid w:val="00563624"/>
    <w:rsid w:val="00570BC2"/>
    <w:rsid w:val="00571108"/>
    <w:rsid w:val="00572F5E"/>
    <w:rsid w:val="00573689"/>
    <w:rsid w:val="00574B74"/>
    <w:rsid w:val="00581305"/>
    <w:rsid w:val="00584EF9"/>
    <w:rsid w:val="00585A4A"/>
    <w:rsid w:val="00587047"/>
    <w:rsid w:val="00587573"/>
    <w:rsid w:val="005940C1"/>
    <w:rsid w:val="00594A3D"/>
    <w:rsid w:val="00595BF8"/>
    <w:rsid w:val="005A78ED"/>
    <w:rsid w:val="005B0460"/>
    <w:rsid w:val="005B2830"/>
    <w:rsid w:val="005B4874"/>
    <w:rsid w:val="005B4C7F"/>
    <w:rsid w:val="005B5644"/>
    <w:rsid w:val="005B67C1"/>
    <w:rsid w:val="005B73AC"/>
    <w:rsid w:val="005C252E"/>
    <w:rsid w:val="005C4331"/>
    <w:rsid w:val="005C4C53"/>
    <w:rsid w:val="005C681B"/>
    <w:rsid w:val="005D0031"/>
    <w:rsid w:val="005D640D"/>
    <w:rsid w:val="005E0D70"/>
    <w:rsid w:val="005E22DB"/>
    <w:rsid w:val="005E453B"/>
    <w:rsid w:val="005E76C0"/>
    <w:rsid w:val="005F1B62"/>
    <w:rsid w:val="005F452E"/>
    <w:rsid w:val="00601DE0"/>
    <w:rsid w:val="00604573"/>
    <w:rsid w:val="00607F03"/>
    <w:rsid w:val="006137CF"/>
    <w:rsid w:val="0061421F"/>
    <w:rsid w:val="00620F2B"/>
    <w:rsid w:val="00621471"/>
    <w:rsid w:val="00624431"/>
    <w:rsid w:val="006300E5"/>
    <w:rsid w:val="006303B7"/>
    <w:rsid w:val="00630E6C"/>
    <w:rsid w:val="0063338E"/>
    <w:rsid w:val="00633DE0"/>
    <w:rsid w:val="00634A6A"/>
    <w:rsid w:val="006412E8"/>
    <w:rsid w:val="006433D7"/>
    <w:rsid w:val="00643BB8"/>
    <w:rsid w:val="00644184"/>
    <w:rsid w:val="00646341"/>
    <w:rsid w:val="00646804"/>
    <w:rsid w:val="00646C8D"/>
    <w:rsid w:val="00656074"/>
    <w:rsid w:val="0066291D"/>
    <w:rsid w:val="006637D4"/>
    <w:rsid w:val="00664490"/>
    <w:rsid w:val="00664502"/>
    <w:rsid w:val="00664D9A"/>
    <w:rsid w:val="0066639D"/>
    <w:rsid w:val="006668C7"/>
    <w:rsid w:val="00667A5D"/>
    <w:rsid w:val="0067072B"/>
    <w:rsid w:val="00672628"/>
    <w:rsid w:val="00672B13"/>
    <w:rsid w:val="0067391C"/>
    <w:rsid w:val="006779BA"/>
    <w:rsid w:val="00677B3A"/>
    <w:rsid w:val="00680666"/>
    <w:rsid w:val="00681562"/>
    <w:rsid w:val="00681EA4"/>
    <w:rsid w:val="00682BD9"/>
    <w:rsid w:val="00684264"/>
    <w:rsid w:val="00684908"/>
    <w:rsid w:val="00687EDA"/>
    <w:rsid w:val="00691CEB"/>
    <w:rsid w:val="00693F2F"/>
    <w:rsid w:val="0069477D"/>
    <w:rsid w:val="0069534F"/>
    <w:rsid w:val="006A2BCC"/>
    <w:rsid w:val="006A36B5"/>
    <w:rsid w:val="006A4AB8"/>
    <w:rsid w:val="006B0455"/>
    <w:rsid w:val="006B1198"/>
    <w:rsid w:val="006B1FD4"/>
    <w:rsid w:val="006B4F69"/>
    <w:rsid w:val="006B6FF8"/>
    <w:rsid w:val="006C3E29"/>
    <w:rsid w:val="006C5470"/>
    <w:rsid w:val="006E52DF"/>
    <w:rsid w:val="006E53EC"/>
    <w:rsid w:val="006E77B4"/>
    <w:rsid w:val="006F0F0D"/>
    <w:rsid w:val="006F3BA0"/>
    <w:rsid w:val="00702A27"/>
    <w:rsid w:val="007050B2"/>
    <w:rsid w:val="00705CCD"/>
    <w:rsid w:val="00711F7E"/>
    <w:rsid w:val="007123BD"/>
    <w:rsid w:val="007136EE"/>
    <w:rsid w:val="00714ADB"/>
    <w:rsid w:val="007153C9"/>
    <w:rsid w:val="00724805"/>
    <w:rsid w:val="0072581B"/>
    <w:rsid w:val="00733954"/>
    <w:rsid w:val="00733B20"/>
    <w:rsid w:val="007408A9"/>
    <w:rsid w:val="00742A18"/>
    <w:rsid w:val="007510D6"/>
    <w:rsid w:val="00753156"/>
    <w:rsid w:val="0076100B"/>
    <w:rsid w:val="00767DEC"/>
    <w:rsid w:val="007800AB"/>
    <w:rsid w:val="00783E56"/>
    <w:rsid w:val="00787D24"/>
    <w:rsid w:val="0079290E"/>
    <w:rsid w:val="00792A1C"/>
    <w:rsid w:val="007947D4"/>
    <w:rsid w:val="0079766B"/>
    <w:rsid w:val="007A0B77"/>
    <w:rsid w:val="007A1AA5"/>
    <w:rsid w:val="007A30E6"/>
    <w:rsid w:val="007A7056"/>
    <w:rsid w:val="007B1F0D"/>
    <w:rsid w:val="007B571A"/>
    <w:rsid w:val="007C51FE"/>
    <w:rsid w:val="007D3DC8"/>
    <w:rsid w:val="007F04AC"/>
    <w:rsid w:val="007F0A46"/>
    <w:rsid w:val="007F1667"/>
    <w:rsid w:val="007F2A62"/>
    <w:rsid w:val="007F2D2D"/>
    <w:rsid w:val="007F485B"/>
    <w:rsid w:val="0080280A"/>
    <w:rsid w:val="008046B3"/>
    <w:rsid w:val="00806634"/>
    <w:rsid w:val="008108C9"/>
    <w:rsid w:val="00814E5C"/>
    <w:rsid w:val="0081552C"/>
    <w:rsid w:val="0081559B"/>
    <w:rsid w:val="00816765"/>
    <w:rsid w:val="00820FF5"/>
    <w:rsid w:val="00830627"/>
    <w:rsid w:val="00831706"/>
    <w:rsid w:val="008328BF"/>
    <w:rsid w:val="00832D2F"/>
    <w:rsid w:val="00841674"/>
    <w:rsid w:val="00846A65"/>
    <w:rsid w:val="00847A3C"/>
    <w:rsid w:val="0085093B"/>
    <w:rsid w:val="00853D3F"/>
    <w:rsid w:val="00854AFD"/>
    <w:rsid w:val="00866637"/>
    <w:rsid w:val="00875362"/>
    <w:rsid w:val="008779D6"/>
    <w:rsid w:val="00877B89"/>
    <w:rsid w:val="008802FF"/>
    <w:rsid w:val="008808AA"/>
    <w:rsid w:val="0088202D"/>
    <w:rsid w:val="00891BF6"/>
    <w:rsid w:val="00891FC7"/>
    <w:rsid w:val="00894B08"/>
    <w:rsid w:val="008A55EC"/>
    <w:rsid w:val="008A6E63"/>
    <w:rsid w:val="008A7DB3"/>
    <w:rsid w:val="008B0AC0"/>
    <w:rsid w:val="008B1FEE"/>
    <w:rsid w:val="008B359A"/>
    <w:rsid w:val="008B35A2"/>
    <w:rsid w:val="008D13B5"/>
    <w:rsid w:val="008D2280"/>
    <w:rsid w:val="008D3A40"/>
    <w:rsid w:val="008D7206"/>
    <w:rsid w:val="008E1CC6"/>
    <w:rsid w:val="008E1DFF"/>
    <w:rsid w:val="008E3E4F"/>
    <w:rsid w:val="008E4CDE"/>
    <w:rsid w:val="008E57CD"/>
    <w:rsid w:val="008E7978"/>
    <w:rsid w:val="008E7C52"/>
    <w:rsid w:val="008F21FE"/>
    <w:rsid w:val="008F2DE8"/>
    <w:rsid w:val="008F372D"/>
    <w:rsid w:val="008F4506"/>
    <w:rsid w:val="008F4E76"/>
    <w:rsid w:val="008F72CE"/>
    <w:rsid w:val="00901771"/>
    <w:rsid w:val="00904E2E"/>
    <w:rsid w:val="009052F2"/>
    <w:rsid w:val="00911D3D"/>
    <w:rsid w:val="00912FF1"/>
    <w:rsid w:val="00915BDB"/>
    <w:rsid w:val="00920F3F"/>
    <w:rsid w:val="00923675"/>
    <w:rsid w:val="00925D9B"/>
    <w:rsid w:val="00925DC9"/>
    <w:rsid w:val="00926E1D"/>
    <w:rsid w:val="009306E6"/>
    <w:rsid w:val="0094380C"/>
    <w:rsid w:val="00952173"/>
    <w:rsid w:val="00962441"/>
    <w:rsid w:val="00962AC1"/>
    <w:rsid w:val="00963393"/>
    <w:rsid w:val="00963935"/>
    <w:rsid w:val="0097038E"/>
    <w:rsid w:val="00973C9F"/>
    <w:rsid w:val="00975131"/>
    <w:rsid w:val="00976A5F"/>
    <w:rsid w:val="00976EE0"/>
    <w:rsid w:val="0097747E"/>
    <w:rsid w:val="00980A34"/>
    <w:rsid w:val="00991B69"/>
    <w:rsid w:val="009923AF"/>
    <w:rsid w:val="0099270C"/>
    <w:rsid w:val="009939A2"/>
    <w:rsid w:val="00993E91"/>
    <w:rsid w:val="00997F82"/>
    <w:rsid w:val="009A1BE3"/>
    <w:rsid w:val="009A3DAE"/>
    <w:rsid w:val="009A6F1E"/>
    <w:rsid w:val="009A71C3"/>
    <w:rsid w:val="009A76DC"/>
    <w:rsid w:val="009A7D4E"/>
    <w:rsid w:val="009B348A"/>
    <w:rsid w:val="009B682A"/>
    <w:rsid w:val="009B7741"/>
    <w:rsid w:val="009C57B1"/>
    <w:rsid w:val="009C77CB"/>
    <w:rsid w:val="009D0FEF"/>
    <w:rsid w:val="009D4486"/>
    <w:rsid w:val="009D4896"/>
    <w:rsid w:val="009D5216"/>
    <w:rsid w:val="009E02E3"/>
    <w:rsid w:val="009E2071"/>
    <w:rsid w:val="009E2ED0"/>
    <w:rsid w:val="009E394E"/>
    <w:rsid w:val="009E44FF"/>
    <w:rsid w:val="009E49DE"/>
    <w:rsid w:val="009F36EC"/>
    <w:rsid w:val="009F7497"/>
    <w:rsid w:val="00A1011D"/>
    <w:rsid w:val="00A1432C"/>
    <w:rsid w:val="00A15555"/>
    <w:rsid w:val="00A16350"/>
    <w:rsid w:val="00A16A04"/>
    <w:rsid w:val="00A20F10"/>
    <w:rsid w:val="00A2421E"/>
    <w:rsid w:val="00A33BE5"/>
    <w:rsid w:val="00A42AD2"/>
    <w:rsid w:val="00A43E67"/>
    <w:rsid w:val="00A44915"/>
    <w:rsid w:val="00A4621E"/>
    <w:rsid w:val="00A468FC"/>
    <w:rsid w:val="00A508DC"/>
    <w:rsid w:val="00A510D0"/>
    <w:rsid w:val="00A57C9B"/>
    <w:rsid w:val="00A57E4A"/>
    <w:rsid w:val="00A61259"/>
    <w:rsid w:val="00A6414A"/>
    <w:rsid w:val="00A712B9"/>
    <w:rsid w:val="00A7294C"/>
    <w:rsid w:val="00A73259"/>
    <w:rsid w:val="00A83D2F"/>
    <w:rsid w:val="00A84410"/>
    <w:rsid w:val="00A85664"/>
    <w:rsid w:val="00A879CE"/>
    <w:rsid w:val="00A92127"/>
    <w:rsid w:val="00A94324"/>
    <w:rsid w:val="00A9536B"/>
    <w:rsid w:val="00A9580E"/>
    <w:rsid w:val="00A969B0"/>
    <w:rsid w:val="00A96FA4"/>
    <w:rsid w:val="00AA1562"/>
    <w:rsid w:val="00AA18BC"/>
    <w:rsid w:val="00AA48CF"/>
    <w:rsid w:val="00AA4B75"/>
    <w:rsid w:val="00AA665E"/>
    <w:rsid w:val="00AB316A"/>
    <w:rsid w:val="00AB51BF"/>
    <w:rsid w:val="00AB587A"/>
    <w:rsid w:val="00AC27DC"/>
    <w:rsid w:val="00AC2FDF"/>
    <w:rsid w:val="00AC3B62"/>
    <w:rsid w:val="00AC4088"/>
    <w:rsid w:val="00AD001C"/>
    <w:rsid w:val="00AD0F7F"/>
    <w:rsid w:val="00AD362A"/>
    <w:rsid w:val="00AD40B4"/>
    <w:rsid w:val="00AE1F31"/>
    <w:rsid w:val="00AE2927"/>
    <w:rsid w:val="00AE49A4"/>
    <w:rsid w:val="00AE75F3"/>
    <w:rsid w:val="00AF148B"/>
    <w:rsid w:val="00AF25ED"/>
    <w:rsid w:val="00AF53A8"/>
    <w:rsid w:val="00AF53B3"/>
    <w:rsid w:val="00AF59C2"/>
    <w:rsid w:val="00B0384B"/>
    <w:rsid w:val="00B061A7"/>
    <w:rsid w:val="00B1026A"/>
    <w:rsid w:val="00B145A0"/>
    <w:rsid w:val="00B15E38"/>
    <w:rsid w:val="00B16577"/>
    <w:rsid w:val="00B20BA6"/>
    <w:rsid w:val="00B24D1B"/>
    <w:rsid w:val="00B26C29"/>
    <w:rsid w:val="00B2731D"/>
    <w:rsid w:val="00B344CE"/>
    <w:rsid w:val="00B35C60"/>
    <w:rsid w:val="00B360EE"/>
    <w:rsid w:val="00B46A02"/>
    <w:rsid w:val="00B46EED"/>
    <w:rsid w:val="00B50C44"/>
    <w:rsid w:val="00B520C6"/>
    <w:rsid w:val="00B53497"/>
    <w:rsid w:val="00B538FC"/>
    <w:rsid w:val="00B5534F"/>
    <w:rsid w:val="00B61C97"/>
    <w:rsid w:val="00B637B6"/>
    <w:rsid w:val="00B63C47"/>
    <w:rsid w:val="00B63E38"/>
    <w:rsid w:val="00B6432B"/>
    <w:rsid w:val="00B669D6"/>
    <w:rsid w:val="00B673F8"/>
    <w:rsid w:val="00B71FB0"/>
    <w:rsid w:val="00B750E7"/>
    <w:rsid w:val="00B81190"/>
    <w:rsid w:val="00B83524"/>
    <w:rsid w:val="00B84278"/>
    <w:rsid w:val="00B84393"/>
    <w:rsid w:val="00B8574E"/>
    <w:rsid w:val="00B86233"/>
    <w:rsid w:val="00B93CA3"/>
    <w:rsid w:val="00B97D5F"/>
    <w:rsid w:val="00BA1725"/>
    <w:rsid w:val="00BA437C"/>
    <w:rsid w:val="00BA4554"/>
    <w:rsid w:val="00BA6B50"/>
    <w:rsid w:val="00BA7213"/>
    <w:rsid w:val="00BB46C5"/>
    <w:rsid w:val="00BC0561"/>
    <w:rsid w:val="00BC08B9"/>
    <w:rsid w:val="00BC298A"/>
    <w:rsid w:val="00BC710F"/>
    <w:rsid w:val="00BD2E3A"/>
    <w:rsid w:val="00BD70B1"/>
    <w:rsid w:val="00BE0565"/>
    <w:rsid w:val="00BE1876"/>
    <w:rsid w:val="00BE4430"/>
    <w:rsid w:val="00BE473D"/>
    <w:rsid w:val="00BF1438"/>
    <w:rsid w:val="00BF21CB"/>
    <w:rsid w:val="00BF409B"/>
    <w:rsid w:val="00BF79B4"/>
    <w:rsid w:val="00C0210B"/>
    <w:rsid w:val="00C04F93"/>
    <w:rsid w:val="00C058C1"/>
    <w:rsid w:val="00C10248"/>
    <w:rsid w:val="00C177A9"/>
    <w:rsid w:val="00C2286F"/>
    <w:rsid w:val="00C23C20"/>
    <w:rsid w:val="00C30CBD"/>
    <w:rsid w:val="00C31768"/>
    <w:rsid w:val="00C32545"/>
    <w:rsid w:val="00C32CFC"/>
    <w:rsid w:val="00C33FB8"/>
    <w:rsid w:val="00C35FD9"/>
    <w:rsid w:val="00C36727"/>
    <w:rsid w:val="00C40C1A"/>
    <w:rsid w:val="00C414B3"/>
    <w:rsid w:val="00C43AF1"/>
    <w:rsid w:val="00C6091E"/>
    <w:rsid w:val="00C66632"/>
    <w:rsid w:val="00C73AC2"/>
    <w:rsid w:val="00C73CA5"/>
    <w:rsid w:val="00C74AA3"/>
    <w:rsid w:val="00C74BE0"/>
    <w:rsid w:val="00C82EC2"/>
    <w:rsid w:val="00C84508"/>
    <w:rsid w:val="00C870DA"/>
    <w:rsid w:val="00C943C2"/>
    <w:rsid w:val="00C9474C"/>
    <w:rsid w:val="00CA7941"/>
    <w:rsid w:val="00CC09A5"/>
    <w:rsid w:val="00CC1BB9"/>
    <w:rsid w:val="00CC2D8F"/>
    <w:rsid w:val="00CC5774"/>
    <w:rsid w:val="00CD0105"/>
    <w:rsid w:val="00CD41F3"/>
    <w:rsid w:val="00CD5657"/>
    <w:rsid w:val="00CD6831"/>
    <w:rsid w:val="00CE2828"/>
    <w:rsid w:val="00CF12A0"/>
    <w:rsid w:val="00CF3D3A"/>
    <w:rsid w:val="00CF7098"/>
    <w:rsid w:val="00D000A6"/>
    <w:rsid w:val="00D0021C"/>
    <w:rsid w:val="00D02A37"/>
    <w:rsid w:val="00D03322"/>
    <w:rsid w:val="00D070F9"/>
    <w:rsid w:val="00D12C43"/>
    <w:rsid w:val="00D141E0"/>
    <w:rsid w:val="00D149C4"/>
    <w:rsid w:val="00D20740"/>
    <w:rsid w:val="00D20AD2"/>
    <w:rsid w:val="00D225B9"/>
    <w:rsid w:val="00D2789F"/>
    <w:rsid w:val="00D27CB1"/>
    <w:rsid w:val="00D32ED1"/>
    <w:rsid w:val="00D33656"/>
    <w:rsid w:val="00D3412A"/>
    <w:rsid w:val="00D41DA6"/>
    <w:rsid w:val="00D42431"/>
    <w:rsid w:val="00D45265"/>
    <w:rsid w:val="00D469D2"/>
    <w:rsid w:val="00D471FC"/>
    <w:rsid w:val="00D53F0B"/>
    <w:rsid w:val="00D551B9"/>
    <w:rsid w:val="00D56659"/>
    <w:rsid w:val="00D6013A"/>
    <w:rsid w:val="00D6250E"/>
    <w:rsid w:val="00D62B49"/>
    <w:rsid w:val="00D66669"/>
    <w:rsid w:val="00D670D3"/>
    <w:rsid w:val="00D6775A"/>
    <w:rsid w:val="00D67885"/>
    <w:rsid w:val="00D73158"/>
    <w:rsid w:val="00D75421"/>
    <w:rsid w:val="00D756E7"/>
    <w:rsid w:val="00D75976"/>
    <w:rsid w:val="00D80E95"/>
    <w:rsid w:val="00D828B3"/>
    <w:rsid w:val="00D84E8C"/>
    <w:rsid w:val="00D8522F"/>
    <w:rsid w:val="00D86B46"/>
    <w:rsid w:val="00D94242"/>
    <w:rsid w:val="00D96724"/>
    <w:rsid w:val="00D9744E"/>
    <w:rsid w:val="00DA04A4"/>
    <w:rsid w:val="00DA095A"/>
    <w:rsid w:val="00DA3BAC"/>
    <w:rsid w:val="00DA4006"/>
    <w:rsid w:val="00DB0005"/>
    <w:rsid w:val="00DB2ACD"/>
    <w:rsid w:val="00DB7290"/>
    <w:rsid w:val="00DC0D1F"/>
    <w:rsid w:val="00DC4682"/>
    <w:rsid w:val="00DD1762"/>
    <w:rsid w:val="00DD2FC2"/>
    <w:rsid w:val="00DD337C"/>
    <w:rsid w:val="00DD4E1F"/>
    <w:rsid w:val="00DD6222"/>
    <w:rsid w:val="00DE2DDC"/>
    <w:rsid w:val="00DE2F7C"/>
    <w:rsid w:val="00DE5E8B"/>
    <w:rsid w:val="00DF0F1E"/>
    <w:rsid w:val="00DF12E7"/>
    <w:rsid w:val="00DF32F9"/>
    <w:rsid w:val="00DF3C44"/>
    <w:rsid w:val="00DF3D96"/>
    <w:rsid w:val="00DF56A3"/>
    <w:rsid w:val="00DF7CAC"/>
    <w:rsid w:val="00E002CC"/>
    <w:rsid w:val="00E00DA0"/>
    <w:rsid w:val="00E01344"/>
    <w:rsid w:val="00E01B27"/>
    <w:rsid w:val="00E071CE"/>
    <w:rsid w:val="00E07890"/>
    <w:rsid w:val="00E1253F"/>
    <w:rsid w:val="00E1336D"/>
    <w:rsid w:val="00E20014"/>
    <w:rsid w:val="00E20A68"/>
    <w:rsid w:val="00E22A5D"/>
    <w:rsid w:val="00E23321"/>
    <w:rsid w:val="00E27117"/>
    <w:rsid w:val="00E37149"/>
    <w:rsid w:val="00E40AAF"/>
    <w:rsid w:val="00E43DB0"/>
    <w:rsid w:val="00E43ED6"/>
    <w:rsid w:val="00E5368F"/>
    <w:rsid w:val="00E537ED"/>
    <w:rsid w:val="00E63B52"/>
    <w:rsid w:val="00E64361"/>
    <w:rsid w:val="00E67054"/>
    <w:rsid w:val="00E670FF"/>
    <w:rsid w:val="00E67B6F"/>
    <w:rsid w:val="00E729EA"/>
    <w:rsid w:val="00E73B54"/>
    <w:rsid w:val="00E73F77"/>
    <w:rsid w:val="00E74105"/>
    <w:rsid w:val="00E8043A"/>
    <w:rsid w:val="00E8144D"/>
    <w:rsid w:val="00E9245B"/>
    <w:rsid w:val="00E934C0"/>
    <w:rsid w:val="00E96D3C"/>
    <w:rsid w:val="00EA4B40"/>
    <w:rsid w:val="00EB459E"/>
    <w:rsid w:val="00EB4785"/>
    <w:rsid w:val="00EB5275"/>
    <w:rsid w:val="00EB7613"/>
    <w:rsid w:val="00EC4193"/>
    <w:rsid w:val="00EC4542"/>
    <w:rsid w:val="00EC555F"/>
    <w:rsid w:val="00ED1C96"/>
    <w:rsid w:val="00ED6CB4"/>
    <w:rsid w:val="00ED7D24"/>
    <w:rsid w:val="00EE10E0"/>
    <w:rsid w:val="00EE7FEE"/>
    <w:rsid w:val="00EF3527"/>
    <w:rsid w:val="00EF40D1"/>
    <w:rsid w:val="00EF50DE"/>
    <w:rsid w:val="00EF53CD"/>
    <w:rsid w:val="00EF6541"/>
    <w:rsid w:val="00EF7509"/>
    <w:rsid w:val="00F02F4D"/>
    <w:rsid w:val="00F0327D"/>
    <w:rsid w:val="00F1124D"/>
    <w:rsid w:val="00F127DD"/>
    <w:rsid w:val="00F16E23"/>
    <w:rsid w:val="00F20B00"/>
    <w:rsid w:val="00F2236B"/>
    <w:rsid w:val="00F2254C"/>
    <w:rsid w:val="00F30635"/>
    <w:rsid w:val="00F3195F"/>
    <w:rsid w:val="00F3428C"/>
    <w:rsid w:val="00F42E4E"/>
    <w:rsid w:val="00F46569"/>
    <w:rsid w:val="00F46D71"/>
    <w:rsid w:val="00F50537"/>
    <w:rsid w:val="00F53636"/>
    <w:rsid w:val="00F55418"/>
    <w:rsid w:val="00F55459"/>
    <w:rsid w:val="00F6162C"/>
    <w:rsid w:val="00F62D67"/>
    <w:rsid w:val="00F63167"/>
    <w:rsid w:val="00F6616B"/>
    <w:rsid w:val="00F67515"/>
    <w:rsid w:val="00F7256A"/>
    <w:rsid w:val="00F806B8"/>
    <w:rsid w:val="00F84F0C"/>
    <w:rsid w:val="00F906BA"/>
    <w:rsid w:val="00F91535"/>
    <w:rsid w:val="00F954BC"/>
    <w:rsid w:val="00F95C29"/>
    <w:rsid w:val="00F96A28"/>
    <w:rsid w:val="00F96B51"/>
    <w:rsid w:val="00FA15C0"/>
    <w:rsid w:val="00FA2E89"/>
    <w:rsid w:val="00FA347C"/>
    <w:rsid w:val="00FA367A"/>
    <w:rsid w:val="00FA39EA"/>
    <w:rsid w:val="00FA6D7D"/>
    <w:rsid w:val="00FB467A"/>
    <w:rsid w:val="00FB646F"/>
    <w:rsid w:val="00FC23B3"/>
    <w:rsid w:val="00FD1C45"/>
    <w:rsid w:val="00FD1D76"/>
    <w:rsid w:val="00FD789E"/>
    <w:rsid w:val="00FD7BD9"/>
    <w:rsid w:val="00FE3542"/>
    <w:rsid w:val="00FF2765"/>
    <w:rsid w:val="00FF5AE2"/>
    <w:rsid w:val="02C866AB"/>
    <w:rsid w:val="125A2E22"/>
    <w:rsid w:val="14171240"/>
    <w:rsid w:val="199C0F29"/>
    <w:rsid w:val="1B754A9E"/>
    <w:rsid w:val="1C632B49"/>
    <w:rsid w:val="22237E8B"/>
    <w:rsid w:val="2D0C6875"/>
    <w:rsid w:val="3E2B3969"/>
    <w:rsid w:val="66D36314"/>
    <w:rsid w:val="7FAE4C68"/>
    <w:rsid w:val="7FFB392A"/>
    <w:rsid w:val="D6DD74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3B3EDC"/>
  <w15:docId w15:val="{63A20EF1-3FDB-47F6-993E-9F97AD96D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75A"/>
    <w:pPr>
      <w:widowControl w:val="0"/>
      <w:suppressAutoHyphens/>
      <w:adjustRightInd w:val="0"/>
      <w:snapToGrid w:val="0"/>
      <w:jc w:val="both"/>
    </w:pPr>
    <w:rPr>
      <w:rFonts w:ascii="Times New Roman" w:hAnsi="Times New Roman"/>
      <w:kern w:val="2"/>
      <w:sz w:val="24"/>
      <w:szCs w:val="24"/>
      <w:lang w:val="en-US"/>
      <w14:ligatures w14:val="standardContextual"/>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cstheme="majorBidi"/>
      <w:b/>
      <w:bCs/>
      <w:color w:val="2F5496" w:themeColor="accent1" w:themeShade="BF"/>
    </w:rPr>
  </w:style>
  <w:style w:type="paragraph" w:styleId="Heading7">
    <w:name w:val="heading 7"/>
    <w:basedOn w:val="Normal"/>
    <w:next w:val="Normal"/>
    <w:link w:val="Heading7Char"/>
    <w:uiPriority w:val="9"/>
    <w:semiHidden/>
    <w:unhideWhenUsed/>
    <w:qFormat/>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qFormat/>
    <w:pPr>
      <w:tabs>
        <w:tab w:val="center" w:pos="4153"/>
        <w:tab w:val="right" w:pos="8306"/>
      </w:tabs>
    </w:pPr>
    <w:rPr>
      <w:sz w:val="18"/>
      <w:szCs w:val="18"/>
    </w:rPr>
  </w:style>
  <w:style w:type="paragraph" w:styleId="Header">
    <w:name w:val="header"/>
    <w:basedOn w:val="Normal"/>
    <w:link w:val="HeaderChar"/>
    <w:uiPriority w:val="99"/>
    <w:unhideWhenUsed/>
    <w:qFormat/>
    <w:pPr>
      <w:tabs>
        <w:tab w:val="center" w:pos="4153"/>
        <w:tab w:val="right" w:pos="8306"/>
      </w:tabs>
      <w:jc w:val="center"/>
    </w:pPr>
    <w:rPr>
      <w:sz w:val="18"/>
      <w:szCs w:val="18"/>
    </w:rPr>
  </w:style>
  <w:style w:type="paragraph" w:styleId="Subtitle">
    <w:name w:val="Subtitle"/>
    <w:basedOn w:val="Normal"/>
    <w:next w:val="Normal"/>
    <w:link w:val="SubtitleChar"/>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NormalWeb">
    <w:name w:val="Normal (Web)"/>
    <w:basedOn w:val="Normal"/>
    <w:uiPriority w:val="99"/>
    <w:semiHidden/>
    <w:unhideWhenUsed/>
    <w:qFormat/>
    <w:pPr>
      <w:widowControl/>
      <w:spacing w:before="100" w:beforeAutospacing="1" w:after="100" w:afterAutospacing="1"/>
    </w:pPr>
    <w:rPr>
      <w:rFonts w:ascii="SimSun" w:eastAsia="SimSun" w:hAnsi="SimSun" w:cs="SimSun"/>
    </w:rPr>
  </w:style>
  <w:style w:type="paragraph" w:styleId="Title">
    <w:name w:val="Title"/>
    <w:basedOn w:val="Normal"/>
    <w:next w:val="Normal"/>
    <w:link w:val="TitleChar"/>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qFormat/>
    <w:rPr>
      <w:b/>
      <w:bCs/>
    </w:rPr>
  </w:style>
  <w:style w:type="character" w:styleId="Hyperlink">
    <w:name w:val="Hyperlink"/>
    <w:basedOn w:val="DefaultParagraphFont"/>
    <w:uiPriority w:val="99"/>
    <w:unhideWhenUsed/>
    <w:qFormat/>
    <w:rPr>
      <w:color w:val="0563C1" w:themeColor="hyperlink"/>
      <w:u w:val="single"/>
    </w:rPr>
  </w:style>
  <w:style w:type="character" w:styleId="CommentReference">
    <w:name w:val="annotation reference"/>
    <w:basedOn w:val="DefaultParagraphFont"/>
    <w:uiPriority w:val="99"/>
    <w:semiHidden/>
    <w:unhideWhenUsed/>
    <w:qFormat/>
    <w:rPr>
      <w:sz w:val="21"/>
      <w:szCs w:val="21"/>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8"/>
      <w:szCs w:val="48"/>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qFormat/>
    <w:rPr>
      <w:rFonts w:cstheme="majorBidi"/>
      <w:color w:val="2F5496" w:themeColor="accent1" w:themeShade="BF"/>
      <w:sz w:val="28"/>
      <w:szCs w:val="28"/>
    </w:rPr>
  </w:style>
  <w:style w:type="character" w:customStyle="1" w:styleId="Heading5Char">
    <w:name w:val="Heading 5 Char"/>
    <w:basedOn w:val="DefaultParagraphFont"/>
    <w:link w:val="Heading5"/>
    <w:uiPriority w:val="9"/>
    <w:semiHidden/>
    <w:qFormat/>
    <w:rPr>
      <w:rFonts w:cstheme="majorBidi"/>
      <w:color w:val="2F5496" w:themeColor="accent1" w:themeShade="BF"/>
      <w:sz w:val="24"/>
    </w:rPr>
  </w:style>
  <w:style w:type="character" w:customStyle="1" w:styleId="Heading6Char">
    <w:name w:val="Heading 6 Char"/>
    <w:basedOn w:val="DefaultParagraphFont"/>
    <w:link w:val="Heading6"/>
    <w:uiPriority w:val="9"/>
    <w:semiHidden/>
    <w:qFormat/>
    <w:rPr>
      <w:rFonts w:cstheme="majorBidi"/>
      <w:b/>
      <w:bCs/>
      <w:color w:val="2F5496" w:themeColor="accent1" w:themeShade="BF"/>
    </w:rPr>
  </w:style>
  <w:style w:type="character" w:customStyle="1" w:styleId="Heading7Char">
    <w:name w:val="Heading 7 Char"/>
    <w:basedOn w:val="DefaultParagraphFont"/>
    <w:link w:val="Heading7"/>
    <w:uiPriority w:val="9"/>
    <w:semiHidden/>
    <w:qFormat/>
    <w:rPr>
      <w:rFonts w:cstheme="majorBidi"/>
      <w:b/>
      <w:bCs/>
      <w:color w:val="595959" w:themeColor="text1" w:themeTint="A6"/>
    </w:rPr>
  </w:style>
  <w:style w:type="character" w:customStyle="1" w:styleId="Heading8Char">
    <w:name w:val="Heading 8 Char"/>
    <w:basedOn w:val="DefaultParagraphFont"/>
    <w:link w:val="Heading8"/>
    <w:uiPriority w:val="9"/>
    <w:semiHidden/>
    <w:qFormat/>
    <w:rPr>
      <w:rFonts w:cstheme="majorBidi"/>
      <w:color w:val="595959" w:themeColor="text1" w:themeTint="A6"/>
    </w:rPr>
  </w:style>
  <w:style w:type="character" w:customStyle="1" w:styleId="Heading9Char">
    <w:name w:val="Heading 9 Char"/>
    <w:basedOn w:val="DefaultParagraphFont"/>
    <w:link w:val="Heading9"/>
    <w:uiPriority w:val="9"/>
    <w:semiHidden/>
    <w:qFormat/>
    <w:rPr>
      <w:rFonts w:eastAsiaTheme="majorEastAsia" w:cstheme="majorBidi"/>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1">
    <w:name w:val="明显强调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10">
    <w:name w:val="明显参考1"/>
    <w:basedOn w:val="DefaultParagraphFont"/>
    <w:uiPriority w:val="32"/>
    <w:qFormat/>
    <w:rPr>
      <w:b/>
      <w:bCs/>
      <w:smallCaps/>
      <w:color w:val="2F5496" w:themeColor="accent1" w:themeShade="BF"/>
      <w:spacing w:val="5"/>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character" w:customStyle="1" w:styleId="CommentTextChar">
    <w:name w:val="Comment Text Char"/>
    <w:basedOn w:val="DefaultParagraphFont"/>
    <w:link w:val="CommentText"/>
    <w:uiPriority w:val="99"/>
    <w:qFormat/>
  </w:style>
  <w:style w:type="character" w:customStyle="1" w:styleId="CommentSubjectChar">
    <w:name w:val="Comment Subject Char"/>
    <w:basedOn w:val="CommentTextChar"/>
    <w:link w:val="CommentSubject"/>
    <w:uiPriority w:val="99"/>
    <w:semiHidden/>
    <w:qFormat/>
    <w:rPr>
      <w:b/>
      <w:bCs/>
    </w:rPr>
  </w:style>
  <w:style w:type="paragraph" w:customStyle="1" w:styleId="11">
    <w:name w:val="修订1"/>
    <w:hidden/>
    <w:uiPriority w:val="99"/>
    <w:semiHidden/>
    <w:qFormat/>
    <w:rPr>
      <w:kern w:val="2"/>
      <w:sz w:val="22"/>
      <w:szCs w:val="24"/>
      <w:lang w:val="en-US"/>
      <w14:ligatures w14:val="standardContextual"/>
    </w:rPr>
  </w:style>
  <w:style w:type="character" w:customStyle="1" w:styleId="12">
    <w:name w:val="未处理的提及1"/>
    <w:basedOn w:val="DefaultParagraphFont"/>
    <w:uiPriority w:val="99"/>
    <w:semiHidden/>
    <w:unhideWhenUsed/>
    <w:qFormat/>
    <w:rPr>
      <w:color w:val="605E5C"/>
      <w:shd w:val="clear" w:color="auto" w:fill="E1DFDD"/>
    </w:rPr>
  </w:style>
  <w:style w:type="paragraph" w:customStyle="1" w:styleId="2">
    <w:name w:val="修订2"/>
    <w:hidden/>
    <w:uiPriority w:val="99"/>
    <w:unhideWhenUsed/>
    <w:qFormat/>
    <w:rPr>
      <w:kern w:val="2"/>
      <w:sz w:val="22"/>
      <w:szCs w:val="24"/>
      <w:lang w:val="en-US"/>
      <w14:ligatures w14:val="standardContextual"/>
    </w:rPr>
  </w:style>
  <w:style w:type="character" w:customStyle="1" w:styleId="BalloonTextChar">
    <w:name w:val="Balloon Text Char"/>
    <w:basedOn w:val="DefaultParagraphFont"/>
    <w:link w:val="BalloonText"/>
    <w:uiPriority w:val="99"/>
    <w:semiHidden/>
    <w:qFormat/>
    <w:rPr>
      <w:kern w:val="2"/>
      <w:sz w:val="18"/>
      <w:szCs w:val="18"/>
      <w14:ligatures w14:val="standardContextual"/>
    </w:rPr>
  </w:style>
  <w:style w:type="paragraph" w:customStyle="1" w:styleId="EndNoteBibliographyTitle">
    <w:name w:val="EndNote Bibliography Title"/>
    <w:basedOn w:val="Normal"/>
    <w:link w:val="EndNoteBibliographyTitleChar"/>
    <w:qFormat/>
    <w:pPr>
      <w:jc w:val="center"/>
    </w:pPr>
    <w:rPr>
      <w:rFonts w:ascii="DengXian" w:eastAsia="DengXian" w:hAnsi="DengXian"/>
    </w:rPr>
  </w:style>
  <w:style w:type="character" w:customStyle="1" w:styleId="EndNoteBibliographyTitleChar">
    <w:name w:val="EndNote Bibliography Title Char"/>
    <w:basedOn w:val="DefaultParagraphFont"/>
    <w:link w:val="EndNoteBibliographyTitle"/>
    <w:qFormat/>
    <w:rPr>
      <w:rFonts w:ascii="DengXian" w:eastAsia="DengXian" w:hAnsi="DengXian"/>
      <w:kern w:val="2"/>
      <w:sz w:val="22"/>
      <w:szCs w:val="24"/>
      <w14:ligatures w14:val="standardContextual"/>
    </w:rPr>
  </w:style>
  <w:style w:type="paragraph" w:customStyle="1" w:styleId="EndNoteBibliography">
    <w:name w:val="EndNote Bibliography"/>
    <w:basedOn w:val="Normal"/>
    <w:link w:val="EndNoteBibliographyChar"/>
    <w:qFormat/>
    <w:rPr>
      <w:rFonts w:ascii="DengXian" w:eastAsia="DengXian" w:hAnsi="DengXian"/>
    </w:rPr>
  </w:style>
  <w:style w:type="character" w:customStyle="1" w:styleId="EndNoteBibliographyChar">
    <w:name w:val="EndNote Bibliography Char"/>
    <w:basedOn w:val="DefaultParagraphFont"/>
    <w:link w:val="EndNoteBibliography"/>
    <w:qFormat/>
    <w:rPr>
      <w:rFonts w:ascii="DengXian" w:eastAsia="DengXian" w:hAnsi="DengXian"/>
      <w:kern w:val="2"/>
      <w:sz w:val="22"/>
      <w:szCs w:val="24"/>
      <w14:ligatures w14:val="standardContextual"/>
    </w:rPr>
  </w:style>
  <w:style w:type="paragraph" w:customStyle="1" w:styleId="3">
    <w:name w:val="修订3"/>
    <w:hidden/>
    <w:uiPriority w:val="99"/>
    <w:unhideWhenUsed/>
    <w:qFormat/>
    <w:rPr>
      <w:kern w:val="2"/>
      <w:sz w:val="22"/>
      <w:szCs w:val="24"/>
      <w:lang w:val="en-US"/>
      <w14:ligatures w14:val="standardContextual"/>
    </w:rPr>
  </w:style>
  <w:style w:type="paragraph" w:customStyle="1" w:styleId="13">
    <w:name w:val="正文1"/>
    <w:basedOn w:val="Normal"/>
    <w:qFormat/>
    <w:pPr>
      <w:widowControl/>
      <w:spacing w:line="276" w:lineRule="auto"/>
    </w:pPr>
    <w:rPr>
      <w:rFonts w:ascii="DengXian" w:eastAsia="DengXian" w:hAnsi="DengXian" w:cs="SimSun"/>
      <w:szCs w:val="22"/>
    </w:rPr>
  </w:style>
  <w:style w:type="paragraph" w:customStyle="1" w:styleId="20">
    <w:name w:val="正文2"/>
    <w:basedOn w:val="Normal"/>
    <w:qFormat/>
    <w:pPr>
      <w:widowControl/>
      <w:spacing w:line="276" w:lineRule="auto"/>
    </w:pPr>
    <w:rPr>
      <w:rFonts w:ascii="DengXian" w:eastAsia="DengXian" w:hAnsi="DengXian" w:cs="SimSun"/>
      <w:szCs w:val="22"/>
    </w:rPr>
  </w:style>
  <w:style w:type="paragraph" w:customStyle="1" w:styleId="Revision1">
    <w:name w:val="Revision1"/>
    <w:hidden/>
    <w:uiPriority w:val="99"/>
    <w:unhideWhenUsed/>
    <w:qFormat/>
    <w:rPr>
      <w:kern w:val="2"/>
      <w:sz w:val="22"/>
      <w:szCs w:val="24"/>
      <w:lang w:val="en-US"/>
      <w14:ligatures w14:val="standardContextual"/>
    </w:rPr>
  </w:style>
  <w:style w:type="paragraph" w:customStyle="1" w:styleId="Normal1">
    <w:name w:val="Normal1"/>
    <w:basedOn w:val="Normal"/>
    <w:qFormat/>
    <w:pPr>
      <w:widowControl/>
      <w:spacing w:line="276" w:lineRule="auto"/>
    </w:pPr>
    <w:rPr>
      <w:rFonts w:ascii="DengXian" w:eastAsia="DengXian" w:hAnsi="DengXian" w:cs="SimSun"/>
      <w:szCs w:val="22"/>
    </w:rPr>
  </w:style>
  <w:style w:type="paragraph" w:styleId="Revision">
    <w:name w:val="Revision"/>
    <w:hidden/>
    <w:uiPriority w:val="99"/>
    <w:unhideWhenUsed/>
    <w:rsid w:val="00D6775A"/>
    <w:rPr>
      <w:kern w:val="2"/>
      <w:sz w:val="22"/>
      <w:szCs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2653</Words>
  <Characters>15125</Characters>
  <Application>Microsoft Office Word</Application>
  <DocSecurity>0</DocSecurity>
  <Lines>126</Lines>
  <Paragraphs>35</Paragraphs>
  <ScaleCrop>false</ScaleCrop>
  <Company>medsci</Company>
  <LinksUpToDate>false</LinksUpToDate>
  <CharactersWithSpaces>17743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Huiyan Xue</dc:creator>
  <cp:lastModifiedBy>Editor J</cp:lastModifiedBy>
  <cp:revision>2</cp:revision>
  <dcterms:created xsi:type="dcterms:W3CDTF">2026-09-21T08:15:00Z</dcterms:created>
  <dcterms:modified xsi:type="dcterms:W3CDTF">2026-09-21T08:15:00Z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ACA51012024444A88CD7C4F7E8E15598_13</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e4b1ce95-b676-4768-8083-92aea93b131d</vt:lpwstr>
  </property>
</Properties>
</file>