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7B35" w14:textId="77777777" w:rsidR="00A338BD" w:rsidRPr="006A2125" w:rsidRDefault="00AA0B36" w:rsidP="006A2125">
      <w:pPr>
        <w:jc w:val="left"/>
        <w:rPr>
          <w:rFonts w:cs="Times New Roman"/>
          <w:b/>
          <w:bCs/>
          <w:sz w:val="44"/>
          <w:szCs w:val="44"/>
        </w:rPr>
      </w:pPr>
      <w:bookmarkStart w:id="0" w:name="OLE_LINK9"/>
      <w:r w:rsidRPr="006A2125">
        <w:rPr>
          <w:rFonts w:cs="Times New Roman"/>
          <w:b/>
          <w:bCs/>
          <w:sz w:val="44"/>
          <w:szCs w:val="44"/>
        </w:rPr>
        <w:t>Artificial Intelligence Risk Prediction Model for PICC Catheter-related Venous Thrombosis in Cancer Patients: A Systematic Review</w:t>
      </w:r>
    </w:p>
    <w:p w14:paraId="71434CE9" w14:textId="3166C721" w:rsidR="00A338BD" w:rsidRPr="006A2125" w:rsidRDefault="00AA0B36" w:rsidP="00E33F48">
      <w:pPr>
        <w:rPr>
          <w:rFonts w:cs="Times New Roman"/>
          <w:b/>
          <w:bCs/>
          <w:vertAlign w:val="superscript"/>
        </w:rPr>
      </w:pPr>
      <w:r w:rsidRPr="006A2125">
        <w:rPr>
          <w:rFonts w:cs="Times New Roman"/>
          <w:b/>
          <w:bCs/>
        </w:rPr>
        <w:t>Xi Yang†, Rui Wang†, Qinglan Fu, Lanying Qiu</w:t>
      </w:r>
      <w:r w:rsidRPr="006A2125">
        <w:rPr>
          <w:rFonts w:cs="Times New Roman"/>
          <w:b/>
          <w:bCs/>
          <w:i/>
          <w:iCs/>
        </w:rPr>
        <w:t>*</w:t>
      </w:r>
      <w:r w:rsidRPr="006A2125">
        <w:rPr>
          <w:rFonts w:cs="Times New Roman"/>
          <w:b/>
          <w:bCs/>
        </w:rPr>
        <w:t>, Xiaowei Fu</w:t>
      </w:r>
      <w:r w:rsidRPr="006A2125">
        <w:rPr>
          <w:rFonts w:cs="Times New Roman"/>
          <w:b/>
          <w:bCs/>
          <w:i/>
          <w:iCs/>
        </w:rPr>
        <w:t>*</w:t>
      </w:r>
    </w:p>
    <w:p w14:paraId="3DEA6A60" w14:textId="77777777" w:rsidR="00A338BD" w:rsidRPr="00A367E5" w:rsidRDefault="00AA0B36" w:rsidP="00E33F48">
      <w:pPr>
        <w:rPr>
          <w:rFonts w:cs="Times New Roman"/>
        </w:rPr>
      </w:pPr>
      <w:r w:rsidRPr="00A367E5">
        <w:rPr>
          <w:rFonts w:eastAsia="Verdana" w:cs="Times New Roman"/>
          <w:kern w:val="0"/>
          <w:shd w:val="clear" w:color="auto" w:fill="FFFFFF"/>
          <w:lang w:bidi="ar"/>
        </w:rPr>
        <w:t>Department of Medical Oncology, Zhejiang Cancer Hospital, Hangzhou 310000, Zhejiang, China</w:t>
      </w:r>
    </w:p>
    <w:p w14:paraId="64FFB5B8" w14:textId="77777777" w:rsidR="00A338BD" w:rsidRPr="00A367E5" w:rsidRDefault="00AA0B36" w:rsidP="00E33F48">
      <w:pPr>
        <w:rPr>
          <w:rFonts w:cs="Times New Roman"/>
        </w:rPr>
      </w:pPr>
      <w:r w:rsidRPr="00A367E5">
        <w:rPr>
          <w:rFonts w:cs="Times New Roman"/>
        </w:rPr>
        <w:t>† These authors contributed equally to this work and share the first authorship</w:t>
      </w:r>
    </w:p>
    <w:p w14:paraId="556A017F" w14:textId="77777777" w:rsidR="00A367E5" w:rsidRPr="003017C3" w:rsidRDefault="00A367E5" w:rsidP="00A367E5">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5EC84DE3" w14:textId="77777777" w:rsidR="00A367E5" w:rsidRDefault="00A367E5" w:rsidP="00A367E5">
      <w:pPr>
        <w:rPr>
          <w:highlight w:val="yellow"/>
        </w:rPr>
      </w:pPr>
    </w:p>
    <w:p w14:paraId="4560D4C2" w14:textId="77777777" w:rsidR="00A367E5" w:rsidRDefault="00A367E5" w:rsidP="00A367E5">
      <w:pPr>
        <w:widowControl/>
        <w:autoSpaceDE w:val="0"/>
        <w:autoSpaceDN w:val="0"/>
        <w:snapToGrid/>
        <w:rPr>
          <w:rFonts w:eastAsia="SimSun"/>
          <w:kern w:val="0"/>
          <w:sz w:val="20"/>
          <w:szCs w:val="20"/>
          <w:lang w:eastAsia="en-US"/>
        </w:rPr>
      </w:pPr>
      <w:bookmarkStart w:id="1"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1EF5C2AE" w14:textId="77777777" w:rsidR="00A338BD" w:rsidRPr="00A367E5" w:rsidRDefault="00A338BD" w:rsidP="006A2125">
      <w:pPr>
        <w:rPr>
          <w:rFonts w:eastAsia="Verdana" w:cs="Times New Roman"/>
          <w:kern w:val="0"/>
          <w:shd w:val="clear" w:color="auto" w:fill="FFFFFF"/>
          <w:lang w:bidi="ar"/>
        </w:rPr>
      </w:pPr>
    </w:p>
    <w:p w14:paraId="553A54D7" w14:textId="77777777" w:rsidR="00A338BD" w:rsidRPr="00A367E5" w:rsidRDefault="00AA0B36" w:rsidP="00E33F48">
      <w:pPr>
        <w:rPr>
          <w:rFonts w:cs="Times New Roman"/>
        </w:rPr>
      </w:pPr>
      <w:r w:rsidRPr="006A2125">
        <w:rPr>
          <w:rFonts w:cs="Times New Roman"/>
          <w:b/>
          <w:bCs/>
        </w:rPr>
        <w:t>Abstract:</w:t>
      </w:r>
      <w:r w:rsidRPr="00A367E5">
        <w:rPr>
          <w:rFonts w:cs="Times New Roman"/>
          <w:i/>
          <w:iCs/>
        </w:rPr>
        <w:t xml:space="preserve"> Background</w:t>
      </w:r>
      <w:r w:rsidRPr="00A367E5">
        <w:rPr>
          <w:rFonts w:cs="Times New Roman"/>
        </w:rPr>
        <w:t xml:space="preserve">: Despite the growing number of models predicting the risk of cancer-associated PICC catheter-related venous thrombosis, comprehensive evaluations of artificial intelligence (AI) and machine learning (ML) prediction models remain scarce. </w:t>
      </w:r>
      <w:r w:rsidRPr="00A367E5">
        <w:rPr>
          <w:rFonts w:cs="Times New Roman"/>
          <w:i/>
          <w:iCs/>
        </w:rPr>
        <w:t>Objective</w:t>
      </w:r>
      <w:r w:rsidRPr="00A367E5">
        <w:rPr>
          <w:rFonts w:cs="Times New Roman"/>
        </w:rPr>
        <w:t xml:space="preserve">: This systematic review aims to evaluate the methodological quality, predictive performance, and clinical applicability of ML models for PICC-related thrombosis in patients with cancer, with a specific focus on risk of bias and adherence to reporting guidelines. </w:t>
      </w:r>
      <w:r w:rsidRPr="00A367E5">
        <w:rPr>
          <w:rFonts w:cs="Times New Roman"/>
          <w:i/>
          <w:iCs/>
        </w:rPr>
        <w:t>Methods</w:t>
      </w:r>
      <w:r w:rsidRPr="00A367E5">
        <w:rPr>
          <w:rFonts w:cs="Times New Roman"/>
        </w:rPr>
        <w:t>: A systematic search was performed across PubMed, Embase, Scopus, Web of Science, the Cochrane Library, and CINAHL. The study protocol was registered with PROSPERO prior to data collection, and the review adhered to the Preferred Reporting Items for Systematic Reviews and Meta-Analyses (PRISMA) guidelines. The search sought to identify all relevant studies published from database inception to December 30, 2025. Literature screening and data extraction were performed independently by two investigators. Fina</w:t>
      </w:r>
      <w:r w:rsidRPr="00A367E5">
        <w:rPr>
          <w:rFonts w:cs="Times New Roman"/>
        </w:rPr>
        <w:t xml:space="preserve">lly, model quality was evaluated using the PROBAST+AI framework, integrating reported model performance metrics. </w:t>
      </w:r>
      <w:r w:rsidRPr="00A367E5">
        <w:rPr>
          <w:rFonts w:cs="Times New Roman"/>
          <w:i/>
          <w:iCs/>
        </w:rPr>
        <w:t>Results</w:t>
      </w:r>
      <w:r w:rsidRPr="00A367E5">
        <w:rPr>
          <w:rFonts w:cs="Times New Roman"/>
        </w:rPr>
        <w:t>: A total of seven studies were included, wherein all developed models demonstrated an Area Under the Curve (AUC) exceeding 0.7. The six most frequently utilized machine learning algorithms were Random Forest (RF; 28.57%), Least Absolute Shrinkage and Selection Operator (Lasso; 17.86%), Boosting (10.71%), Support Vector Machine (SVM; 7.14%), Logistic Regression (LR; 7.14%), and Artificial Neural Network (ANN; 7.14%). Overall, the included studies exhibited a high risk of bias, although clinical applicabilit</w:t>
      </w:r>
      <w:r w:rsidRPr="00A367E5">
        <w:rPr>
          <w:rFonts w:cs="Times New Roman"/>
        </w:rPr>
        <w:t xml:space="preserve">y was deemed acceptable. </w:t>
      </w:r>
      <w:r w:rsidRPr="00A367E5">
        <w:rPr>
          <w:rFonts w:cs="Times New Roman"/>
          <w:i/>
          <w:iCs/>
        </w:rPr>
        <w:t>Conclusions</w:t>
      </w:r>
      <w:r w:rsidRPr="00A367E5">
        <w:rPr>
          <w:rFonts w:cs="Times New Roman"/>
        </w:rPr>
        <w:t>: Current evidence indicates that machine learning models are effective in predicting PICC-related thromboembolism in patients with cancer. However, the majority of current models are limited by suboptimal methodological quality, a lack of external validation, and restricted generalizability. Future research should prioritize external validation and focus on developing clinical decision support tools to facilitate seamless integration into clinical practice.</w:t>
      </w:r>
    </w:p>
    <w:p w14:paraId="39D5AED2" w14:textId="00C12ECF" w:rsidR="00A338BD" w:rsidRPr="00A367E5" w:rsidRDefault="00AA0B36" w:rsidP="00E33F48">
      <w:pPr>
        <w:rPr>
          <w:rFonts w:cs="Times New Roman"/>
        </w:rPr>
      </w:pPr>
      <w:r w:rsidRPr="006A2125">
        <w:rPr>
          <w:rFonts w:cs="Times New Roman"/>
          <w:b/>
          <w:bCs/>
        </w:rPr>
        <w:t>Keywords:</w:t>
      </w:r>
      <w:r w:rsidRPr="00A367E5">
        <w:rPr>
          <w:rFonts w:cs="Times New Roman"/>
          <w:i/>
          <w:iCs/>
        </w:rPr>
        <w:t xml:space="preserve"> </w:t>
      </w:r>
      <w:r w:rsidRPr="00A367E5">
        <w:rPr>
          <w:rFonts w:cs="Times New Roman"/>
        </w:rPr>
        <w:t xml:space="preserve">Peripherally inserted central catheter-related venous thrombosis; Neoplasms; Risk </w:t>
      </w:r>
      <w:r w:rsidR="00A367E5" w:rsidRPr="00A367E5">
        <w:rPr>
          <w:rFonts w:cs="Times New Roman"/>
        </w:rPr>
        <w:t>prediction</w:t>
      </w:r>
      <w:r w:rsidRPr="00A367E5">
        <w:rPr>
          <w:rFonts w:cs="Times New Roman"/>
        </w:rPr>
        <w:t xml:space="preserve">; Machine </w:t>
      </w:r>
      <w:r w:rsidR="00A367E5" w:rsidRPr="00A367E5">
        <w:rPr>
          <w:rFonts w:cs="Times New Roman"/>
        </w:rPr>
        <w:t>learning</w:t>
      </w:r>
      <w:r w:rsidRPr="00A367E5">
        <w:rPr>
          <w:rFonts w:cs="Times New Roman"/>
        </w:rPr>
        <w:t xml:space="preserve">; Systematic </w:t>
      </w:r>
      <w:r w:rsidR="00A367E5" w:rsidRPr="00A367E5">
        <w:rPr>
          <w:rFonts w:cs="Times New Roman"/>
        </w:rPr>
        <w:t>review</w:t>
      </w:r>
    </w:p>
    <w:p w14:paraId="55A08BA6" w14:textId="77777777" w:rsidR="00A338BD" w:rsidRDefault="00A338BD" w:rsidP="00A367E5">
      <w:pPr>
        <w:rPr>
          <w:rFonts w:cs="Times New Roman"/>
        </w:rPr>
      </w:pPr>
    </w:p>
    <w:p w14:paraId="70C68DCB" w14:textId="3F1AD975" w:rsidR="00A367E5" w:rsidRPr="006A2125" w:rsidRDefault="00A367E5" w:rsidP="00E33F48">
      <w:pPr>
        <w:rPr>
          <w:rFonts w:cs="Times New Roman"/>
          <w:b/>
          <w:bCs/>
        </w:rPr>
      </w:pPr>
      <w:r>
        <w:rPr>
          <w:rFonts w:cs="Times New Roman"/>
          <w:b/>
          <w:bCs/>
        </w:rPr>
        <w:t>Online publication:</w:t>
      </w:r>
    </w:p>
    <w:p w14:paraId="0B1A4596" w14:textId="77777777" w:rsidR="00A338BD" w:rsidRPr="00A367E5" w:rsidRDefault="00A338BD" w:rsidP="00E33F48">
      <w:pPr>
        <w:rPr>
          <w:rFonts w:cs="Times New Roman"/>
          <w:i/>
          <w:iCs/>
        </w:rPr>
      </w:pPr>
    </w:p>
    <w:p w14:paraId="09EC3CA6" w14:textId="77777777" w:rsidR="00A338BD" w:rsidRPr="006A2125" w:rsidRDefault="00AA0B36" w:rsidP="006A2125">
      <w:pPr>
        <w:rPr>
          <w:rFonts w:cs="Times New Roman"/>
          <w:b/>
          <w:bCs/>
        </w:rPr>
      </w:pPr>
      <w:r w:rsidRPr="006A2125">
        <w:rPr>
          <w:rFonts w:cs="Times New Roman"/>
          <w:b/>
          <w:bCs/>
        </w:rPr>
        <w:t>1. Introduction</w:t>
      </w:r>
    </w:p>
    <w:p w14:paraId="46DF65C6" w14:textId="08167B19" w:rsidR="00A338BD" w:rsidRPr="00A367E5" w:rsidRDefault="00AA0B36" w:rsidP="00E33F48">
      <w:pPr>
        <w:rPr>
          <w:rFonts w:cs="Times New Roman"/>
        </w:rPr>
      </w:pPr>
      <w:r w:rsidRPr="00A367E5">
        <w:rPr>
          <w:rFonts w:cs="Times New Roman"/>
        </w:rPr>
        <w:t>Peripherally inserted central catheters (PICCs) are extensively utilized in patients with cancer to facilitate chemotherapy, significantly mitigating peripheral vascular injury and toxicity associated with vesicant or irritant agents. However, concomitant with their increasing widespread use, associated complications—particularly catheter-related thrombosis (CRT)—have garnered significant attention. Current evidence indicates that the incidence of PICC-related venous thrombosis (PICC-RVT) ranges from 1.4% t</w:t>
      </w:r>
      <w:r w:rsidRPr="00A367E5">
        <w:rPr>
          <w:rFonts w:cs="Times New Roman"/>
        </w:rPr>
        <w:t>o 51.4%</w:t>
      </w:r>
      <w:r w:rsidR="00E33F48">
        <w:rPr>
          <w:rFonts w:cs="Times New Roman"/>
        </w:rPr>
        <w:t xml:space="preserve"> </w:t>
      </w:r>
      <w:r w:rsidRPr="00A367E5">
        <w:rPr>
          <w:rFonts w:cs="Times New Roman"/>
          <w:vertAlign w:val="superscript"/>
        </w:rPr>
        <w:t>[1-3]</w:t>
      </w:r>
      <w:r w:rsidRPr="00A367E5">
        <w:rPr>
          <w:rFonts w:cs="Times New Roman"/>
        </w:rPr>
        <w:t>.</w:t>
      </w:r>
      <w:r w:rsidRPr="00A367E5">
        <w:rPr>
          <w:rFonts w:cs="Times New Roman"/>
          <w:kern w:val="0"/>
        </w:rPr>
        <w:t xml:space="preserve"> </w:t>
      </w:r>
      <w:r w:rsidRPr="00A367E5">
        <w:rPr>
          <w:rFonts w:cs="Times New Roman"/>
        </w:rPr>
        <w:t xml:space="preserve">PICC-RVT is not only associated with an increased risk </w:t>
      </w:r>
      <w:r w:rsidRPr="00A367E5">
        <w:rPr>
          <w:rFonts w:cs="Times New Roman"/>
        </w:rPr>
        <w:lastRenderedPageBreak/>
        <w:t>of pulmonary embolism but is also closely linked to catheter dysfunction, delays in chemotherapy, and prolonged hospitalization</w:t>
      </w:r>
      <w:r w:rsidR="00E33F48">
        <w:rPr>
          <w:rFonts w:cs="Times New Roman"/>
        </w:rPr>
        <w:t xml:space="preserve"> </w:t>
      </w:r>
      <w:r w:rsidRPr="00A367E5">
        <w:rPr>
          <w:rFonts w:cs="Times New Roman"/>
          <w:vertAlign w:val="superscript"/>
        </w:rPr>
        <w:t>[4]</w:t>
      </w:r>
      <w:r w:rsidRPr="00A367E5">
        <w:rPr>
          <w:rFonts w:cs="Times New Roman"/>
        </w:rPr>
        <w:t xml:space="preserve">. Encouragingly, PICC-RVT can be effectively managed through early prevention strategies and precise risk stratification. The </w:t>
      </w:r>
      <w:r w:rsidRPr="00A367E5">
        <w:rPr>
          <w:rFonts w:cs="Times New Roman"/>
          <w:i/>
          <w:iCs/>
        </w:rPr>
        <w:t>Infusion Therapy Standards of Practice</w:t>
      </w:r>
      <w:r w:rsidRPr="00A367E5">
        <w:rPr>
          <w:rFonts w:cs="Times New Roman"/>
        </w:rPr>
        <w:t xml:space="preserve"> published by the Infusion Nurses Society (INS) explicitly state that risk assessment is effective in preventing PICC-RVT</w:t>
      </w:r>
      <w:r w:rsidR="00E33F48">
        <w:rPr>
          <w:rFonts w:cs="Times New Roman"/>
        </w:rPr>
        <w:t xml:space="preserve"> </w:t>
      </w:r>
      <w:r w:rsidRPr="00A367E5">
        <w:rPr>
          <w:rFonts w:cs="Times New Roman"/>
          <w:vertAlign w:val="superscript"/>
        </w:rPr>
        <w:t>[5]</w:t>
      </w:r>
      <w:r w:rsidRPr="00A367E5">
        <w:rPr>
          <w:rFonts w:cs="Times New Roman"/>
        </w:rPr>
        <w:t>. However, the efficacy of such preventive measures relies heavily on the availability of high-precision assessment tools. Currently, established assessment tools applied to patients with cancer include the Michigan Risk Score (MRS) by Chopra et al</w:t>
      </w:r>
      <w:r w:rsidR="00E33F48">
        <w:rPr>
          <w:rFonts w:cs="Times New Roman"/>
        </w:rPr>
        <w:t xml:space="preserve">. </w:t>
      </w:r>
      <w:r w:rsidRPr="00A367E5">
        <w:rPr>
          <w:rFonts w:cs="Times New Roman"/>
          <w:vertAlign w:val="superscript"/>
        </w:rPr>
        <w:t>[6]</w:t>
      </w:r>
      <w:r w:rsidRPr="00A367E5">
        <w:rPr>
          <w:rFonts w:cs="Times New Roman"/>
        </w:rPr>
        <w:t>, the Seeley prediction model</w:t>
      </w:r>
      <w:r w:rsidR="00E33F48">
        <w:rPr>
          <w:rFonts w:cs="Times New Roman"/>
        </w:rPr>
        <w:t xml:space="preserve"> </w:t>
      </w:r>
      <w:r w:rsidRPr="00A367E5">
        <w:rPr>
          <w:rFonts w:cs="Times New Roman"/>
          <w:vertAlign w:val="superscript"/>
        </w:rPr>
        <w:t>[7]</w:t>
      </w:r>
      <w:r w:rsidRPr="00A367E5">
        <w:rPr>
          <w:rFonts w:cs="Times New Roman"/>
        </w:rPr>
        <w:t>, the Autar scale</w:t>
      </w:r>
      <w:r w:rsidR="00E33F48">
        <w:rPr>
          <w:rFonts w:cs="Times New Roman"/>
        </w:rPr>
        <w:t xml:space="preserve"> </w:t>
      </w:r>
      <w:r w:rsidRPr="00A367E5">
        <w:rPr>
          <w:rFonts w:cs="Times New Roman"/>
          <w:vertAlign w:val="superscript"/>
        </w:rPr>
        <w:t>[8]</w:t>
      </w:r>
      <w:r w:rsidRPr="00A367E5">
        <w:rPr>
          <w:rFonts w:cs="Times New Roman"/>
        </w:rPr>
        <w:t>, and the Caprini risk assessment model</w:t>
      </w:r>
      <w:r w:rsidR="00E33F48">
        <w:rPr>
          <w:rFonts w:cs="Times New Roman"/>
        </w:rPr>
        <w:t xml:space="preserve"> </w:t>
      </w:r>
      <w:r w:rsidRPr="00A367E5">
        <w:rPr>
          <w:rFonts w:cs="Times New Roman"/>
          <w:vertAlign w:val="superscript"/>
        </w:rPr>
        <w:t>[9</w:t>
      </w:r>
      <w:r w:rsidR="007465CA" w:rsidRPr="00A367E5">
        <w:rPr>
          <w:rFonts w:cs="Times New Roman"/>
          <w:vertAlign w:val="superscript"/>
        </w:rPr>
        <w:t>]</w:t>
      </w:r>
      <w:r w:rsidR="007465CA">
        <w:rPr>
          <w:rFonts w:cs="Times New Roman"/>
        </w:rPr>
        <w:t>.</w:t>
      </w:r>
      <w:r w:rsidR="007465CA" w:rsidRPr="00A367E5">
        <w:rPr>
          <w:rFonts w:cs="Times New Roman"/>
        </w:rPr>
        <w:t xml:space="preserve"> </w:t>
      </w:r>
      <w:r w:rsidRPr="00A367E5">
        <w:rPr>
          <w:rFonts w:cs="Times New Roman"/>
        </w:rPr>
        <w:t>Nevertheless, these models often fail to adequately account for the specific characteristics of the oncological population, thereby limiting their clinical applicability.</w:t>
      </w:r>
    </w:p>
    <w:p w14:paraId="035042FC" w14:textId="617D1591" w:rsidR="00A338BD" w:rsidRPr="00A367E5" w:rsidRDefault="00AA0B36" w:rsidP="006A2125">
      <w:pPr>
        <w:ind w:firstLine="420"/>
        <w:rPr>
          <w:rFonts w:cs="Times New Roman"/>
        </w:rPr>
      </w:pPr>
      <w:r w:rsidRPr="00A367E5">
        <w:rPr>
          <w:rFonts w:cs="Times New Roman"/>
        </w:rPr>
        <w:t>In recent years, the increasing accessibility of advanced software and high-performance computing resources has catalyzed the development of artificial intelligence (AI) and machine learning (ML) prediction models in healthcare. Leveraging advantages in data processing and pattern recognition, ML techniques have been demonstrated in numerous studies to outperform traditional statistical methods</w:t>
      </w:r>
      <w:r w:rsidR="00E33F48">
        <w:rPr>
          <w:rFonts w:cs="Times New Roman"/>
        </w:rPr>
        <w:t xml:space="preserve"> </w:t>
      </w:r>
      <w:r w:rsidRPr="00A367E5">
        <w:rPr>
          <w:rFonts w:cs="Times New Roman"/>
          <w:vertAlign w:val="superscript"/>
        </w:rPr>
        <w:t>[10,11]</w:t>
      </w:r>
      <w:r w:rsidRPr="00A367E5">
        <w:rPr>
          <w:rFonts w:cs="Times New Roman"/>
        </w:rPr>
        <w:t>. Concurrently, with intensified research efforts in the field of PICC-related thrombosis, a growing number of AI-based risk prediction models for cancer-associated PICC-RVT have emerged. However, existing studies exhibit significant heterogeneity regarding the ML algorithms employed, the target oncological populations, and the predictor variables included. Furthermore, a comprehensive systematic evaluation of model quality and clinical applicability remains lacking.</w:t>
      </w:r>
    </w:p>
    <w:p w14:paraId="39268029" w14:textId="7C512323" w:rsidR="00A338BD" w:rsidRPr="00A367E5" w:rsidRDefault="00AA0B36" w:rsidP="006A2125">
      <w:pPr>
        <w:ind w:firstLine="420"/>
        <w:rPr>
          <w:rFonts w:cs="Times New Roman"/>
        </w:rPr>
      </w:pPr>
      <w:r w:rsidRPr="00A367E5">
        <w:rPr>
          <w:rFonts w:cs="Times New Roman"/>
        </w:rPr>
        <w:t>The Prediction model Risk of Bias Assessment Tool (PROBAST) provides a framework to enhance the methodological quality and transparency of prediction models</w:t>
      </w:r>
      <w:r w:rsidR="00E33F48">
        <w:rPr>
          <w:rFonts w:cs="Times New Roman"/>
        </w:rPr>
        <w:t xml:space="preserve"> </w:t>
      </w:r>
      <w:r w:rsidRPr="00A367E5">
        <w:rPr>
          <w:rFonts w:cs="Times New Roman"/>
          <w:vertAlign w:val="superscript"/>
        </w:rPr>
        <w:t>[12]</w:t>
      </w:r>
      <w:r w:rsidRPr="00A367E5">
        <w:rPr>
          <w:rFonts w:cs="Times New Roman"/>
        </w:rPr>
        <w:t>. Given the ubiquitous adoption of artificial intelligence (AI), this framework has evolved into the PROBAST+AI extension. This adaptation is specifically tailored to address the unique challenges posed by machine learning models, including ensuring transparency in model development, evaluation, and generalizability.</w:t>
      </w:r>
    </w:p>
    <w:p w14:paraId="150F6ABC" w14:textId="77777777" w:rsidR="00A338BD" w:rsidRPr="00A367E5" w:rsidRDefault="00AA0B36" w:rsidP="006A2125">
      <w:pPr>
        <w:ind w:firstLine="420"/>
        <w:rPr>
          <w:rFonts w:cs="Times New Roman"/>
        </w:rPr>
      </w:pPr>
      <w:r w:rsidRPr="00A367E5">
        <w:rPr>
          <w:rFonts w:cs="Times New Roman"/>
        </w:rPr>
        <w:t>Consequently, we conducted a systematic review to evaluate the performance of AI-based models developed for predicting PICC-RVT. This study aims to synthesize current evidence regarding their predictive performance, thereby providing an evidence-based reference for clinical model selection and the implementation of precision nursing care for patients with cancer.</w:t>
      </w:r>
    </w:p>
    <w:p w14:paraId="0B7E5D81" w14:textId="77777777" w:rsidR="00A338BD" w:rsidRPr="00A367E5" w:rsidRDefault="00A338BD" w:rsidP="006A2125">
      <w:pPr>
        <w:rPr>
          <w:rFonts w:cs="Times New Roman"/>
        </w:rPr>
      </w:pPr>
    </w:p>
    <w:p w14:paraId="09D5E1FA" w14:textId="77777777" w:rsidR="00A338BD" w:rsidRPr="006A2125" w:rsidRDefault="00AA0B36" w:rsidP="006A2125">
      <w:pPr>
        <w:rPr>
          <w:rFonts w:cs="Times New Roman"/>
          <w:b/>
          <w:bCs/>
        </w:rPr>
      </w:pPr>
      <w:r w:rsidRPr="006A2125">
        <w:rPr>
          <w:rFonts w:cs="Times New Roman"/>
          <w:b/>
          <w:bCs/>
        </w:rPr>
        <w:t>2. Methods</w:t>
      </w:r>
    </w:p>
    <w:p w14:paraId="6D4AEB91" w14:textId="77777777" w:rsidR="00A338BD" w:rsidRPr="006A2125" w:rsidRDefault="00AA0B36" w:rsidP="006A2125">
      <w:pPr>
        <w:rPr>
          <w:rFonts w:cs="Times New Roman"/>
          <w:b/>
          <w:bCs/>
        </w:rPr>
      </w:pPr>
      <w:r w:rsidRPr="006A2125">
        <w:rPr>
          <w:rFonts w:cs="Times New Roman"/>
          <w:b/>
          <w:bCs/>
        </w:rPr>
        <w:t>2.1. Design</w:t>
      </w:r>
    </w:p>
    <w:p w14:paraId="6E3BF8E8" w14:textId="7AA30D2C" w:rsidR="00A338BD" w:rsidRPr="00A367E5" w:rsidRDefault="00AA0B36" w:rsidP="00E33F48">
      <w:pPr>
        <w:rPr>
          <w:rFonts w:cs="Times New Roman"/>
        </w:rPr>
      </w:pPr>
      <w:r w:rsidRPr="00A367E5">
        <w:rPr>
          <w:rFonts w:cs="Times New Roman"/>
        </w:rPr>
        <w:t>The study protocol was registered with the International Prospective Register of Systematic Reviews (PROSPERO) prior to data analysis (Registration No. CRD420251246431). This systematic review was conducted in accordance with the Preferred Reporting Items for Systematic Reviews and Meta-Analyses (PRISMA) 2020 statement</w:t>
      </w:r>
      <w:r w:rsidR="00E33F48">
        <w:rPr>
          <w:rFonts w:cs="Times New Roman"/>
        </w:rPr>
        <w:t xml:space="preserve"> </w:t>
      </w:r>
      <w:r w:rsidRPr="00A367E5">
        <w:rPr>
          <w:rFonts w:cs="Times New Roman"/>
          <w:vertAlign w:val="superscript"/>
        </w:rPr>
        <w:t>[13]</w:t>
      </w:r>
      <w:r w:rsidRPr="00A367E5">
        <w:rPr>
          <w:rFonts w:cs="Times New Roman"/>
        </w:rPr>
        <w:t>. Ethical approval was not required, as this study relied exclusively on secondary data from published literature and did not involve direct intervention with human or animal subjects.</w:t>
      </w:r>
    </w:p>
    <w:p w14:paraId="0DC8D764" w14:textId="77777777" w:rsidR="00A338BD" w:rsidRPr="00A367E5" w:rsidRDefault="00AA0B36" w:rsidP="006A2125">
      <w:pPr>
        <w:ind w:firstLine="420"/>
        <w:rPr>
          <w:rFonts w:cs="Times New Roman"/>
        </w:rPr>
      </w:pPr>
      <w:r w:rsidRPr="00A367E5">
        <w:rPr>
          <w:rFonts w:cs="Times New Roman"/>
        </w:rPr>
        <w:t xml:space="preserve">The research question was formulated using the PIPOST framework recommended by the Joanna Briggs Institute (JBI). The specific components were defined as follows: Population (P) comprised patients with cancer undergoing PICC catheterization; Intervention (I) involved the development and validation of machine learning (ML)-based risk prediction models for PICC-RVT; Professionals (P) referred to clinical healthcare providers; Outcomes (O) focused on model performance metrics (e.g., sensitivity, specificity); </w:t>
      </w:r>
      <w:r w:rsidRPr="00A367E5">
        <w:rPr>
          <w:rFonts w:cs="Times New Roman"/>
        </w:rPr>
        <w:t>Setting (S) included inpatient healthcare settings; and Type of Evidence (T) encompassed primary studies, including cohort, case-control, and cross-sectional studies)</w:t>
      </w:r>
      <w:r w:rsidRPr="00A367E5">
        <w:rPr>
          <w:rFonts w:cs="Times New Roman"/>
          <w:vertAlign w:val="superscript"/>
        </w:rPr>
        <w:t>[14]</w:t>
      </w:r>
      <w:r w:rsidRPr="00A367E5">
        <w:rPr>
          <w:rFonts w:cs="Times New Roman"/>
        </w:rPr>
        <w:t>. Due to the significant heterogeneity observed in model development algorithms and analytical approaches across the included studies, a quantitative meta-analysis was not performed; instead, a narrative synthesis was conducted.</w:t>
      </w:r>
    </w:p>
    <w:p w14:paraId="6CFBDB96" w14:textId="77777777" w:rsidR="00A338BD" w:rsidRPr="00A367E5" w:rsidRDefault="00A338BD" w:rsidP="006A2125">
      <w:pPr>
        <w:rPr>
          <w:rFonts w:cs="Times New Roman"/>
        </w:rPr>
      </w:pPr>
    </w:p>
    <w:p w14:paraId="1523F58B" w14:textId="77777777" w:rsidR="00A338BD" w:rsidRPr="006A2125" w:rsidRDefault="00AA0B36" w:rsidP="006A2125">
      <w:pPr>
        <w:rPr>
          <w:rFonts w:cs="Times New Roman"/>
          <w:b/>
          <w:bCs/>
        </w:rPr>
      </w:pPr>
      <w:r w:rsidRPr="006A2125">
        <w:rPr>
          <w:rFonts w:cs="Times New Roman"/>
          <w:b/>
          <w:bCs/>
        </w:rPr>
        <w:t>2.2. Search strategies</w:t>
      </w:r>
    </w:p>
    <w:p w14:paraId="1F8F8647" w14:textId="77777777" w:rsidR="00A338BD" w:rsidRPr="00A367E5" w:rsidRDefault="00AA0B36" w:rsidP="00E33F48">
      <w:pPr>
        <w:rPr>
          <w:rFonts w:cs="Times New Roman"/>
        </w:rPr>
      </w:pPr>
      <w:r w:rsidRPr="00A367E5">
        <w:rPr>
          <w:rFonts w:cs="Times New Roman"/>
        </w:rPr>
        <w:lastRenderedPageBreak/>
        <w:t>Databases including PubMed, Embase, Scopus, Web of Science, the Cochrane Library, and CINAHL were searched. Briefly, the search strategy employed a combination of keywords and controlled vocabulary (e.g., MeSH) related to “Cancer” OR “Malignancy” AND “PICC” AND “Deep Vein Thrombosis” AND “Artificial Intelligence” OR “Machine Learning”. The literature search was executed on December 30, 2025, covering the period from database inception to the search date. The electronic search strategy was developed and veri</w:t>
      </w:r>
      <w:r w:rsidRPr="00A367E5">
        <w:rPr>
          <w:rFonts w:cs="Times New Roman"/>
        </w:rPr>
        <w:t xml:space="preserve">fied by the first author. Subsequently, two independent investigators performed the search across the six aforementioned databases. Reference lists of relevant publications and reviews were hand-searched to identify additional eligible studies. Corresponding authors were contacted via email to request missing data where necessary. </w:t>
      </w:r>
    </w:p>
    <w:p w14:paraId="601F0EC8" w14:textId="77777777" w:rsidR="00A338BD" w:rsidRPr="00A367E5" w:rsidRDefault="00A338BD" w:rsidP="00E33F48">
      <w:pPr>
        <w:rPr>
          <w:rFonts w:cs="Times New Roman"/>
        </w:rPr>
      </w:pPr>
    </w:p>
    <w:p w14:paraId="22870951" w14:textId="77777777" w:rsidR="00A338BD" w:rsidRPr="006A2125" w:rsidRDefault="00AA0B36" w:rsidP="006A2125">
      <w:pPr>
        <w:rPr>
          <w:rFonts w:cs="Times New Roman"/>
          <w:b/>
          <w:bCs/>
        </w:rPr>
      </w:pPr>
      <w:r w:rsidRPr="006A2125">
        <w:rPr>
          <w:rFonts w:cs="Times New Roman"/>
          <w:b/>
          <w:bCs/>
        </w:rPr>
        <w:t>2.3. Inclusion and exclusion criteria</w:t>
      </w:r>
    </w:p>
    <w:p w14:paraId="317D292A" w14:textId="77777777" w:rsidR="00A338BD" w:rsidRPr="00A367E5" w:rsidRDefault="00AA0B36" w:rsidP="00E33F48">
      <w:pPr>
        <w:rPr>
          <w:rFonts w:cs="Times New Roman"/>
        </w:rPr>
      </w:pPr>
      <w:r w:rsidRPr="00A367E5">
        <w:rPr>
          <w:rFonts w:cs="Times New Roman"/>
        </w:rPr>
        <w:t xml:space="preserve">The inclusion criteria were as follows: </w:t>
      </w:r>
    </w:p>
    <w:p w14:paraId="29A107B3" w14:textId="77777777" w:rsidR="00A338BD" w:rsidRPr="00A367E5" w:rsidRDefault="00AA0B36" w:rsidP="006A2125">
      <w:pPr>
        <w:ind w:left="397" w:hanging="397"/>
        <w:rPr>
          <w:rFonts w:cs="Times New Roman"/>
          <w14:ligatures w14:val="none"/>
        </w:rPr>
      </w:pPr>
      <w:r w:rsidRPr="00A367E5">
        <w:rPr>
          <w:rFonts w:cs="Times New Roman"/>
          <w14:ligatures w14:val="none"/>
        </w:rPr>
        <w:t xml:space="preserve">(1) studies focusing on the prediction of PICC-related venous thrombosis (PICC-RVT) in patients with cancer; </w:t>
      </w:r>
    </w:p>
    <w:p w14:paraId="21B136E5" w14:textId="77777777" w:rsidR="00A338BD" w:rsidRPr="00A367E5" w:rsidRDefault="00AA0B36" w:rsidP="006A2125">
      <w:pPr>
        <w:ind w:left="397" w:hanging="397"/>
        <w:rPr>
          <w:rFonts w:cs="Times New Roman"/>
          <w14:ligatures w14:val="none"/>
        </w:rPr>
      </w:pPr>
      <w:r w:rsidRPr="00A367E5">
        <w:rPr>
          <w:rFonts w:cs="Times New Roman"/>
          <w14:ligatures w14:val="none"/>
        </w:rPr>
        <w:t xml:space="preserve">(2) study designs including cohort, case-control, or cross-sectional studies; </w:t>
      </w:r>
    </w:p>
    <w:p w14:paraId="2693B301" w14:textId="77777777" w:rsidR="00A338BD" w:rsidRPr="00A367E5" w:rsidRDefault="00AA0B36" w:rsidP="006A2125">
      <w:pPr>
        <w:ind w:left="397" w:hanging="397"/>
        <w:rPr>
          <w:rFonts w:cs="Times New Roman"/>
          <w14:ligatures w14:val="none"/>
        </w:rPr>
      </w:pPr>
      <w:r w:rsidRPr="00A367E5">
        <w:rPr>
          <w:rFonts w:cs="Times New Roman"/>
          <w14:ligatures w14:val="none"/>
        </w:rPr>
        <w:t xml:space="preserve">(3) risk prediction models developed using machine learning (ML) algorithms; </w:t>
      </w:r>
    </w:p>
    <w:p w14:paraId="0B46EF9A" w14:textId="77777777" w:rsidR="00A338BD" w:rsidRPr="00A367E5" w:rsidRDefault="00AA0B36" w:rsidP="006A2125">
      <w:pPr>
        <w:ind w:left="397" w:hanging="397"/>
        <w:rPr>
          <w:rFonts w:cs="Times New Roman"/>
          <w14:ligatures w14:val="none"/>
        </w:rPr>
      </w:pPr>
      <w:r w:rsidRPr="00A367E5">
        <w:rPr>
          <w:rFonts w:cs="Times New Roman"/>
          <w14:ligatures w14:val="none"/>
        </w:rPr>
        <w:t>(4) studies published in the English language.</w:t>
      </w:r>
    </w:p>
    <w:p w14:paraId="3B62B04D" w14:textId="77777777" w:rsidR="00A338BD" w:rsidRPr="00A367E5" w:rsidRDefault="00AA0B36" w:rsidP="006A2125">
      <w:pPr>
        <w:ind w:firstLine="397"/>
        <w:rPr>
          <w:rFonts w:cs="Times New Roman"/>
        </w:rPr>
      </w:pPr>
      <w:r w:rsidRPr="00A367E5">
        <w:rPr>
          <w:rFonts w:cs="Times New Roman"/>
        </w:rPr>
        <w:t xml:space="preserve">The exclusion criteria were: </w:t>
      </w:r>
    </w:p>
    <w:p w14:paraId="54124D24" w14:textId="77777777" w:rsidR="00A338BD" w:rsidRPr="00A367E5" w:rsidRDefault="00AA0B36" w:rsidP="006A2125">
      <w:pPr>
        <w:ind w:left="397" w:hanging="397"/>
        <w:rPr>
          <w:rFonts w:cs="Times New Roman"/>
          <w14:ligatures w14:val="none"/>
        </w:rPr>
      </w:pPr>
      <w:r w:rsidRPr="00A367E5">
        <w:rPr>
          <w:rFonts w:cs="Times New Roman"/>
          <w14:ligatures w14:val="none"/>
        </w:rPr>
        <w:t xml:space="preserve">(1) studies involving pediatric populations or animal models; </w:t>
      </w:r>
    </w:p>
    <w:p w14:paraId="5D264FBE" w14:textId="77777777" w:rsidR="00A338BD" w:rsidRPr="00A367E5" w:rsidRDefault="00AA0B36" w:rsidP="006A2125">
      <w:pPr>
        <w:ind w:left="397" w:hanging="397"/>
        <w:rPr>
          <w:rFonts w:cs="Times New Roman"/>
        </w:rPr>
      </w:pPr>
      <w:r w:rsidRPr="00A367E5">
        <w:rPr>
          <w:rFonts w:cs="Times New Roman"/>
          <w14:ligatures w14:val="none"/>
        </w:rPr>
        <w:t>(2) studies primarily investigating risk factors f</w:t>
      </w:r>
      <w:r w:rsidRPr="00A367E5">
        <w:rPr>
          <w:rFonts w:cs="Times New Roman"/>
        </w:rPr>
        <w:t xml:space="preserve">or venous thromboembolism (VTE) rather than developing prediction models; </w:t>
      </w:r>
    </w:p>
    <w:p w14:paraId="21CE1AEB" w14:textId="77777777" w:rsidR="00A338BD" w:rsidRPr="00A367E5" w:rsidRDefault="00AA0B36" w:rsidP="006A2125">
      <w:pPr>
        <w:ind w:left="397" w:hanging="397"/>
        <w:rPr>
          <w:rFonts w:cs="Times New Roman"/>
        </w:rPr>
      </w:pPr>
      <w:r w:rsidRPr="00A367E5">
        <w:rPr>
          <w:rFonts w:cs="Times New Roman"/>
        </w:rPr>
        <w:t xml:space="preserve">(3) reviews, letters, editorials, or conference abstracts; </w:t>
      </w:r>
    </w:p>
    <w:p w14:paraId="7AEB7C9D" w14:textId="77777777" w:rsidR="00A338BD" w:rsidRPr="00A367E5" w:rsidRDefault="00AA0B36" w:rsidP="006A2125">
      <w:pPr>
        <w:ind w:left="397" w:hanging="397"/>
        <w:rPr>
          <w:rFonts w:cs="Times New Roman"/>
        </w:rPr>
      </w:pPr>
      <w:r w:rsidRPr="00A367E5">
        <w:rPr>
          <w:rFonts w:cs="Times New Roman"/>
        </w:rPr>
        <w:t xml:space="preserve">(4) models derived from systematic reviews or meta-analyses; </w:t>
      </w:r>
    </w:p>
    <w:p w14:paraId="37188BAC" w14:textId="77777777" w:rsidR="00A338BD" w:rsidRPr="00A367E5" w:rsidRDefault="00AA0B36" w:rsidP="006A2125">
      <w:pPr>
        <w:ind w:left="397" w:hanging="397"/>
        <w:rPr>
          <w:rFonts w:cs="Times New Roman"/>
        </w:rPr>
      </w:pPr>
      <w:r w:rsidRPr="00A367E5">
        <w:rPr>
          <w:rFonts w:cs="Times New Roman"/>
        </w:rPr>
        <w:t xml:space="preserve">(5) studies solely comparing existing models;  </w:t>
      </w:r>
    </w:p>
    <w:p w14:paraId="43B30A0B" w14:textId="77777777" w:rsidR="00A338BD" w:rsidRPr="00A367E5" w:rsidRDefault="00AA0B36" w:rsidP="006A2125">
      <w:pPr>
        <w:ind w:left="397" w:hanging="397"/>
        <w:rPr>
          <w:rFonts w:cs="Times New Roman"/>
        </w:rPr>
      </w:pPr>
      <w:r w:rsidRPr="00A367E5">
        <w:rPr>
          <w:rFonts w:cs="Times New Roman"/>
        </w:rPr>
        <w:t>(6) studies for which full text remained unavailable despite contacting the authors.</w:t>
      </w:r>
    </w:p>
    <w:p w14:paraId="4695298D" w14:textId="77777777" w:rsidR="00A338BD" w:rsidRPr="00A367E5" w:rsidRDefault="00A338BD" w:rsidP="006A2125">
      <w:pPr>
        <w:rPr>
          <w:rFonts w:cs="Times New Roman"/>
        </w:rPr>
      </w:pPr>
    </w:p>
    <w:p w14:paraId="6367F317" w14:textId="77777777" w:rsidR="00A338BD" w:rsidRPr="006A2125" w:rsidRDefault="00AA0B36" w:rsidP="006A2125">
      <w:pPr>
        <w:rPr>
          <w:rFonts w:cs="Times New Roman"/>
          <w:b/>
          <w:bCs/>
        </w:rPr>
      </w:pPr>
      <w:r w:rsidRPr="006A2125">
        <w:rPr>
          <w:rFonts w:cs="Times New Roman"/>
          <w:b/>
          <w:bCs/>
        </w:rPr>
        <w:t>2.4. Study selection</w:t>
      </w:r>
    </w:p>
    <w:p w14:paraId="25E5B6A3" w14:textId="574A37A7" w:rsidR="00A338BD" w:rsidRPr="00A367E5" w:rsidRDefault="00AA0B36" w:rsidP="00E33F48">
      <w:pPr>
        <w:rPr>
          <w:rFonts w:cs="Times New Roman"/>
        </w:rPr>
      </w:pPr>
      <w:r w:rsidRPr="00A367E5">
        <w:rPr>
          <w:rFonts w:cs="Times New Roman"/>
        </w:rPr>
        <w:t>Literature screening and data extraction were performed independently by two investigators</w:t>
      </w:r>
      <w:r w:rsidR="00E33F48">
        <w:rPr>
          <w:rFonts w:cs="Times New Roman"/>
        </w:rPr>
        <w:t xml:space="preserve"> </w:t>
      </w:r>
      <w:r w:rsidRPr="00A367E5">
        <w:rPr>
          <w:rFonts w:cs="Times New Roman"/>
        </w:rPr>
        <w:t>(Rui Wang, LanYing Qiu). Initially, retrieved records were imported into reference management software (EndNote X9), and duplicates were removed. Subsequently, titles and abstracts were screened to exclude irrelevant articles, followed by a full-text review to determine final eligibility based on the inclusion and exclusion criteria. Reference lists of the included studies were also scrutinized to identify any potential relevant studies. Any discrepancies were resolved through discussion and consensus invol</w:t>
      </w:r>
      <w:r w:rsidRPr="00A367E5">
        <w:rPr>
          <w:rFonts w:cs="Times New Roman"/>
        </w:rPr>
        <w:t>ving three investigators (Xi Yang, QingLan Fu, XiaoWei Fu). A standardized data extraction form was developed in accordance with the Critical Appraisal and Data Extraction for Systematic Reviews of Prediction Modelling Studies (CHARMS) checklist</w:t>
      </w:r>
      <w:r w:rsidR="00E33F48">
        <w:rPr>
          <w:rFonts w:cs="Times New Roman"/>
        </w:rPr>
        <w:t xml:space="preserve"> </w:t>
      </w:r>
      <w:r w:rsidRPr="00A367E5">
        <w:rPr>
          <w:rFonts w:cs="Times New Roman"/>
          <w:vertAlign w:val="superscript"/>
        </w:rPr>
        <w:t>[15]</w:t>
      </w:r>
      <w:r w:rsidRPr="00A367E5">
        <w:rPr>
          <w:rFonts w:cs="Times New Roman"/>
        </w:rPr>
        <w:t>. The extracted data items included: first author, publication year, country, study design, study population, sample size, ML algorithms utilized, model validation methods, key predictors, and performance metrics (</w:t>
      </w:r>
      <w:r w:rsidRPr="006A2125">
        <w:rPr>
          <w:rFonts w:cs="Times New Roman"/>
          <w:b/>
          <w:bCs/>
        </w:rPr>
        <w:t>Table 1</w:t>
      </w:r>
      <w:r w:rsidRPr="00A367E5">
        <w:rPr>
          <w:rFonts w:cs="Times New Roman"/>
        </w:rPr>
        <w:t xml:space="preserve"> and </w:t>
      </w:r>
      <w:r w:rsidRPr="006A2125">
        <w:rPr>
          <w:rFonts w:cs="Times New Roman"/>
          <w:b/>
          <w:bCs/>
        </w:rPr>
        <w:t>Table 2</w:t>
      </w:r>
      <w:r w:rsidRPr="00A367E5">
        <w:rPr>
          <w:rFonts w:cs="Times New Roman"/>
        </w:rPr>
        <w:t>).</w:t>
      </w:r>
    </w:p>
    <w:p w14:paraId="789C59A9" w14:textId="77777777" w:rsidR="00A338BD" w:rsidRPr="00A367E5" w:rsidRDefault="00A338BD" w:rsidP="00E33F48">
      <w:pPr>
        <w:rPr>
          <w:rFonts w:cs="Times New Roman"/>
        </w:rPr>
      </w:pPr>
    </w:p>
    <w:p w14:paraId="30DE5BA3" w14:textId="2B894AA6" w:rsidR="00A338BD" w:rsidRPr="00A367E5" w:rsidRDefault="00AA0B36" w:rsidP="006A2125">
      <w:pPr>
        <w:rPr>
          <w:rFonts w:cs="Times New Roman"/>
          <w:color w:val="000000"/>
        </w:rPr>
      </w:pPr>
      <w:r w:rsidRPr="006A2125">
        <w:rPr>
          <w:rFonts w:cs="Times New Roman"/>
          <w:b/>
          <w:bCs/>
        </w:rPr>
        <w:t>Table 1.</w:t>
      </w:r>
      <w:r w:rsidRPr="00A367E5">
        <w:rPr>
          <w:rFonts w:cs="Times New Roman"/>
        </w:rPr>
        <w:t xml:space="preserve"> Characteristic of the included studies</w:t>
      </w:r>
    </w:p>
    <w:tbl>
      <w:tblPr>
        <w:tblStyle w:val="TableGrid"/>
        <w:tblW w:w="5000" w:type="pct"/>
        <w:jc w:val="center"/>
        <w:tblBorders>
          <w:top w:val="none" w:sz="8" w:space="0" w:color="auto"/>
          <w:left w:val="none" w:sz="0" w:space="0" w:color="auto"/>
          <w:bottom w:val="none" w:sz="8"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1561"/>
        <w:gridCol w:w="867"/>
        <w:gridCol w:w="1254"/>
        <w:gridCol w:w="2146"/>
        <w:gridCol w:w="761"/>
        <w:gridCol w:w="813"/>
        <w:gridCol w:w="1238"/>
      </w:tblGrid>
      <w:tr w:rsidR="00A338BD" w:rsidRPr="00A367E5" w14:paraId="3F29E92D" w14:textId="77777777" w:rsidTr="006A2125">
        <w:trPr>
          <w:tblHeader/>
          <w:jc w:val="center"/>
        </w:trPr>
        <w:tc>
          <w:tcPr>
            <w:tcW w:w="527" w:type="pct"/>
            <w:tcBorders>
              <w:top w:val="single" w:sz="12" w:space="0" w:color="auto"/>
              <w:left w:val="nil"/>
              <w:bottom w:val="nil"/>
              <w:right w:val="nil"/>
            </w:tcBorders>
            <w:tcMar>
              <w:top w:w="-1" w:type="dxa"/>
              <w:left w:w="-1" w:type="dxa"/>
              <w:bottom w:w="-1" w:type="dxa"/>
              <w:right w:w="-1" w:type="dxa"/>
            </w:tcMar>
          </w:tcPr>
          <w:p w14:paraId="5D6E45CB" w14:textId="77777777" w:rsidR="00A338BD" w:rsidRPr="006A2125" w:rsidRDefault="00AA0B36" w:rsidP="006A2125">
            <w:pPr>
              <w:jc w:val="left"/>
              <w:rPr>
                <w:rFonts w:cs="Times New Roman"/>
                <w:b/>
                <w:bCs/>
              </w:rPr>
            </w:pPr>
            <w:r w:rsidRPr="006A2125">
              <w:rPr>
                <w:rFonts w:cs="Times New Roman"/>
                <w:b/>
                <w:bCs/>
              </w:rPr>
              <w:t>Author, year</w:t>
            </w:r>
          </w:p>
        </w:tc>
        <w:tc>
          <w:tcPr>
            <w:tcW w:w="819" w:type="pct"/>
            <w:tcBorders>
              <w:top w:val="single" w:sz="12" w:space="0" w:color="auto"/>
              <w:left w:val="nil"/>
              <w:bottom w:val="nil"/>
              <w:right w:val="nil"/>
            </w:tcBorders>
            <w:tcMar>
              <w:top w:w="-1" w:type="dxa"/>
              <w:left w:w="-1" w:type="dxa"/>
              <w:bottom w:w="-1" w:type="dxa"/>
              <w:right w:w="-1" w:type="dxa"/>
            </w:tcMar>
          </w:tcPr>
          <w:p w14:paraId="6A7864D2" w14:textId="77777777" w:rsidR="00A338BD" w:rsidRPr="006A2125" w:rsidRDefault="00AA0B36" w:rsidP="00E33F48">
            <w:pPr>
              <w:jc w:val="center"/>
              <w:rPr>
                <w:rFonts w:cs="Times New Roman"/>
                <w:b/>
                <w:bCs/>
              </w:rPr>
            </w:pPr>
            <w:r w:rsidRPr="006A2125">
              <w:rPr>
                <w:rFonts w:cs="Times New Roman"/>
                <w:b/>
                <w:bCs/>
              </w:rPr>
              <w:t>Design</w:t>
            </w:r>
          </w:p>
        </w:tc>
        <w:tc>
          <w:tcPr>
            <w:tcW w:w="408" w:type="pct"/>
            <w:tcBorders>
              <w:top w:val="single" w:sz="12" w:space="0" w:color="auto"/>
              <w:left w:val="nil"/>
              <w:bottom w:val="nil"/>
              <w:right w:val="nil"/>
            </w:tcBorders>
            <w:tcMar>
              <w:top w:w="-1" w:type="dxa"/>
              <w:left w:w="-1" w:type="dxa"/>
              <w:bottom w:w="-1" w:type="dxa"/>
              <w:right w:w="-1" w:type="dxa"/>
            </w:tcMar>
          </w:tcPr>
          <w:p w14:paraId="27C0B198" w14:textId="77777777" w:rsidR="00A338BD" w:rsidRPr="006A2125" w:rsidRDefault="00AA0B36" w:rsidP="00E33F48">
            <w:pPr>
              <w:jc w:val="center"/>
              <w:rPr>
                <w:rFonts w:cs="Times New Roman"/>
                <w:b/>
                <w:bCs/>
              </w:rPr>
            </w:pPr>
            <w:r w:rsidRPr="006A2125">
              <w:rPr>
                <w:rFonts w:cs="Times New Roman"/>
                <w:b/>
                <w:bCs/>
              </w:rPr>
              <w:t>Country</w:t>
            </w:r>
          </w:p>
        </w:tc>
        <w:tc>
          <w:tcPr>
            <w:tcW w:w="639" w:type="pct"/>
            <w:tcBorders>
              <w:top w:val="single" w:sz="12" w:space="0" w:color="auto"/>
              <w:left w:val="nil"/>
              <w:bottom w:val="nil"/>
              <w:right w:val="nil"/>
            </w:tcBorders>
            <w:tcMar>
              <w:top w:w="-1" w:type="dxa"/>
              <w:left w:w="-1" w:type="dxa"/>
              <w:bottom w:w="-1" w:type="dxa"/>
              <w:right w:w="-1" w:type="dxa"/>
            </w:tcMar>
          </w:tcPr>
          <w:p w14:paraId="2669DDE0" w14:textId="77777777" w:rsidR="00A338BD" w:rsidRPr="006A2125" w:rsidRDefault="00AA0B36" w:rsidP="00E33F48">
            <w:pPr>
              <w:jc w:val="center"/>
              <w:rPr>
                <w:rFonts w:cs="Times New Roman"/>
                <w:b/>
                <w:bCs/>
              </w:rPr>
            </w:pPr>
            <w:r w:rsidRPr="006A2125">
              <w:rPr>
                <w:rFonts w:cs="Times New Roman"/>
                <w:b/>
                <w:bCs/>
              </w:rPr>
              <w:t>Participants</w:t>
            </w:r>
          </w:p>
        </w:tc>
        <w:tc>
          <w:tcPr>
            <w:tcW w:w="1122" w:type="pct"/>
            <w:tcBorders>
              <w:top w:val="single" w:sz="12" w:space="0" w:color="auto"/>
              <w:left w:val="nil"/>
              <w:bottom w:val="nil"/>
              <w:right w:val="nil"/>
            </w:tcBorders>
            <w:tcMar>
              <w:top w:w="-1" w:type="dxa"/>
              <w:left w:w="-1" w:type="dxa"/>
              <w:bottom w:w="-1" w:type="dxa"/>
              <w:right w:w="-1" w:type="dxa"/>
            </w:tcMar>
          </w:tcPr>
          <w:p w14:paraId="4671A30E" w14:textId="77777777" w:rsidR="00A338BD" w:rsidRPr="006A2125" w:rsidRDefault="00AA0B36" w:rsidP="00E33F48">
            <w:pPr>
              <w:jc w:val="center"/>
              <w:rPr>
                <w:rFonts w:cs="Times New Roman"/>
                <w:b/>
                <w:bCs/>
              </w:rPr>
            </w:pPr>
            <w:r w:rsidRPr="006A2125">
              <w:rPr>
                <w:rFonts w:cs="Times New Roman"/>
                <w:b/>
                <w:bCs/>
              </w:rPr>
              <w:t>Database</w:t>
            </w:r>
          </w:p>
        </w:tc>
        <w:tc>
          <w:tcPr>
            <w:tcW w:w="399" w:type="pct"/>
            <w:tcBorders>
              <w:top w:val="single" w:sz="12" w:space="0" w:color="auto"/>
              <w:left w:val="nil"/>
              <w:bottom w:val="nil"/>
              <w:right w:val="nil"/>
            </w:tcBorders>
            <w:tcMar>
              <w:top w:w="-1" w:type="dxa"/>
              <w:left w:w="-1" w:type="dxa"/>
              <w:bottom w:w="-1" w:type="dxa"/>
              <w:right w:w="-1" w:type="dxa"/>
            </w:tcMar>
          </w:tcPr>
          <w:p w14:paraId="10893145" w14:textId="77777777" w:rsidR="00A338BD" w:rsidRPr="006A2125" w:rsidRDefault="00AA0B36" w:rsidP="00E33F48">
            <w:pPr>
              <w:jc w:val="center"/>
              <w:rPr>
                <w:rFonts w:cs="Times New Roman"/>
                <w:b/>
                <w:bCs/>
              </w:rPr>
            </w:pPr>
            <w:r w:rsidRPr="006A2125">
              <w:rPr>
                <w:rFonts w:cs="Times New Roman"/>
                <w:b/>
                <w:bCs/>
              </w:rPr>
              <w:t>Sample Size</w:t>
            </w:r>
          </w:p>
        </w:tc>
        <w:tc>
          <w:tcPr>
            <w:tcW w:w="435" w:type="pct"/>
            <w:tcBorders>
              <w:top w:val="single" w:sz="12" w:space="0" w:color="auto"/>
              <w:left w:val="nil"/>
              <w:bottom w:val="nil"/>
              <w:right w:val="nil"/>
            </w:tcBorders>
            <w:tcMar>
              <w:top w:w="-1" w:type="dxa"/>
              <w:left w:w="-1" w:type="dxa"/>
              <w:bottom w:w="-1" w:type="dxa"/>
              <w:right w:w="-1" w:type="dxa"/>
            </w:tcMar>
          </w:tcPr>
          <w:p w14:paraId="7A33EE18" w14:textId="77777777" w:rsidR="00A338BD" w:rsidRPr="006A2125" w:rsidRDefault="00AA0B36" w:rsidP="00E33F48">
            <w:pPr>
              <w:jc w:val="center"/>
              <w:rPr>
                <w:rFonts w:cs="Times New Roman"/>
                <w:b/>
                <w:bCs/>
              </w:rPr>
            </w:pPr>
            <w:r w:rsidRPr="006A2125">
              <w:rPr>
                <w:rFonts w:cs="Times New Roman"/>
                <w:b/>
                <w:bCs/>
              </w:rPr>
              <w:t>RVT cases, n (%)</w:t>
            </w:r>
          </w:p>
        </w:tc>
        <w:tc>
          <w:tcPr>
            <w:tcW w:w="652" w:type="pct"/>
            <w:tcBorders>
              <w:top w:val="single" w:sz="12" w:space="0" w:color="auto"/>
              <w:left w:val="nil"/>
              <w:bottom w:val="nil"/>
              <w:right w:val="nil"/>
            </w:tcBorders>
            <w:tcMar>
              <w:top w:w="-1" w:type="dxa"/>
              <w:left w:w="-1" w:type="dxa"/>
              <w:bottom w:w="-1" w:type="dxa"/>
              <w:right w:w="-1" w:type="dxa"/>
            </w:tcMar>
          </w:tcPr>
          <w:p w14:paraId="3541FA3E" w14:textId="77777777" w:rsidR="00A338BD" w:rsidRPr="006A2125" w:rsidRDefault="00AA0B36" w:rsidP="00E33F48">
            <w:pPr>
              <w:jc w:val="center"/>
              <w:rPr>
                <w:rFonts w:cs="Times New Roman"/>
                <w:b/>
                <w:bCs/>
              </w:rPr>
            </w:pPr>
            <w:r w:rsidRPr="006A2125">
              <w:rPr>
                <w:rFonts w:cs="Times New Roman"/>
                <w:b/>
                <w:bCs/>
              </w:rPr>
              <w:t>Measuring tools</w:t>
            </w:r>
          </w:p>
        </w:tc>
      </w:tr>
      <w:tr w:rsidR="00A338BD" w:rsidRPr="00A367E5" w14:paraId="2EB0E72A" w14:textId="77777777" w:rsidTr="006A2125">
        <w:trPr>
          <w:jc w:val="center"/>
        </w:trPr>
        <w:tc>
          <w:tcPr>
            <w:tcW w:w="527" w:type="pct"/>
            <w:tcBorders>
              <w:top w:val="single" w:sz="4" w:space="0" w:color="auto"/>
              <w:left w:val="nil"/>
              <w:bottom w:val="nil"/>
              <w:right w:val="nil"/>
            </w:tcBorders>
            <w:tcMar>
              <w:top w:w="-1" w:type="dxa"/>
              <w:left w:w="-1" w:type="dxa"/>
              <w:bottom w:w="-1" w:type="dxa"/>
              <w:right w:w="-1" w:type="dxa"/>
            </w:tcMar>
          </w:tcPr>
          <w:p w14:paraId="45E33638" w14:textId="77777777" w:rsidR="00A338BD" w:rsidRPr="00A367E5" w:rsidRDefault="00AA0B36" w:rsidP="006A2125">
            <w:pPr>
              <w:jc w:val="left"/>
              <w:rPr>
                <w:rFonts w:cs="Times New Roman"/>
              </w:rPr>
            </w:pPr>
            <w:r w:rsidRPr="006A2125">
              <w:rPr>
                <w:rFonts w:cs="Times New Roman"/>
              </w:rPr>
              <w:t>Feifei Zhang 2024</w:t>
            </w:r>
          </w:p>
        </w:tc>
        <w:tc>
          <w:tcPr>
            <w:tcW w:w="819" w:type="pct"/>
            <w:tcBorders>
              <w:top w:val="single" w:sz="4" w:space="0" w:color="auto"/>
              <w:left w:val="nil"/>
              <w:bottom w:val="nil"/>
              <w:right w:val="nil"/>
            </w:tcBorders>
            <w:tcMar>
              <w:top w:w="-1" w:type="dxa"/>
              <w:left w:w="-1" w:type="dxa"/>
              <w:bottom w:w="-1" w:type="dxa"/>
              <w:right w:w="-1" w:type="dxa"/>
            </w:tcMar>
          </w:tcPr>
          <w:p w14:paraId="38A3D823" w14:textId="77777777" w:rsidR="00A338BD" w:rsidRPr="00A367E5" w:rsidRDefault="00AA0B36" w:rsidP="00E33F48">
            <w:pPr>
              <w:jc w:val="center"/>
              <w:rPr>
                <w:rFonts w:cs="Times New Roman"/>
              </w:rPr>
            </w:pPr>
            <w:r w:rsidRPr="006A2125">
              <w:rPr>
                <w:rFonts w:cs="Times New Roman"/>
              </w:rPr>
              <w:t>Retrospective cohort study</w:t>
            </w:r>
          </w:p>
        </w:tc>
        <w:tc>
          <w:tcPr>
            <w:tcW w:w="408" w:type="pct"/>
            <w:tcBorders>
              <w:top w:val="single" w:sz="4" w:space="0" w:color="auto"/>
              <w:left w:val="nil"/>
              <w:bottom w:val="nil"/>
              <w:right w:val="nil"/>
            </w:tcBorders>
            <w:tcMar>
              <w:top w:w="-1" w:type="dxa"/>
              <w:left w:w="-1" w:type="dxa"/>
              <w:bottom w:w="-1" w:type="dxa"/>
              <w:right w:w="-1" w:type="dxa"/>
            </w:tcMar>
          </w:tcPr>
          <w:p w14:paraId="00A78FBC" w14:textId="77777777" w:rsidR="00A338BD" w:rsidRPr="00A367E5" w:rsidRDefault="00AA0B36" w:rsidP="00E33F48">
            <w:pPr>
              <w:jc w:val="center"/>
              <w:rPr>
                <w:rFonts w:cs="Times New Roman"/>
              </w:rPr>
            </w:pPr>
            <w:r w:rsidRPr="006A2125">
              <w:rPr>
                <w:rFonts w:cs="Times New Roman"/>
              </w:rPr>
              <w:t>China</w:t>
            </w:r>
          </w:p>
        </w:tc>
        <w:tc>
          <w:tcPr>
            <w:tcW w:w="639" w:type="pct"/>
            <w:tcBorders>
              <w:top w:val="single" w:sz="4" w:space="0" w:color="auto"/>
              <w:left w:val="nil"/>
              <w:bottom w:val="nil"/>
              <w:right w:val="nil"/>
            </w:tcBorders>
            <w:tcMar>
              <w:top w:w="-1" w:type="dxa"/>
              <w:left w:w="-1" w:type="dxa"/>
              <w:bottom w:w="-1" w:type="dxa"/>
              <w:right w:w="-1" w:type="dxa"/>
            </w:tcMar>
          </w:tcPr>
          <w:p w14:paraId="3741CAAE" w14:textId="77777777" w:rsidR="00A338BD" w:rsidRPr="00A367E5" w:rsidRDefault="00AA0B36" w:rsidP="00E33F48">
            <w:pPr>
              <w:jc w:val="center"/>
              <w:rPr>
                <w:rFonts w:cs="Times New Roman"/>
              </w:rPr>
            </w:pPr>
            <w:r w:rsidRPr="006A2125">
              <w:rPr>
                <w:rFonts w:cs="Times New Roman"/>
              </w:rPr>
              <w:t>cancer patients</w:t>
            </w:r>
          </w:p>
        </w:tc>
        <w:tc>
          <w:tcPr>
            <w:tcW w:w="1122" w:type="pct"/>
            <w:tcBorders>
              <w:top w:val="single" w:sz="4" w:space="0" w:color="auto"/>
              <w:left w:val="nil"/>
              <w:bottom w:val="nil"/>
              <w:right w:val="nil"/>
            </w:tcBorders>
            <w:tcMar>
              <w:top w:w="-1" w:type="dxa"/>
              <w:left w:w="-1" w:type="dxa"/>
              <w:bottom w:w="-1" w:type="dxa"/>
              <w:right w:w="-1" w:type="dxa"/>
            </w:tcMar>
          </w:tcPr>
          <w:p w14:paraId="72095591" w14:textId="77777777" w:rsidR="00A338BD" w:rsidRPr="00A367E5" w:rsidRDefault="00AA0B36" w:rsidP="00E33F48">
            <w:pPr>
              <w:jc w:val="center"/>
              <w:rPr>
                <w:rFonts w:cs="Times New Roman"/>
              </w:rPr>
            </w:pPr>
            <w:r w:rsidRPr="006A2125">
              <w:rPr>
                <w:rFonts w:cs="Times New Roman"/>
              </w:rPr>
              <w:t>Ningbo No.2 Hospital</w:t>
            </w:r>
          </w:p>
        </w:tc>
        <w:tc>
          <w:tcPr>
            <w:tcW w:w="399" w:type="pct"/>
            <w:tcBorders>
              <w:top w:val="single" w:sz="4" w:space="0" w:color="auto"/>
              <w:left w:val="nil"/>
              <w:bottom w:val="nil"/>
              <w:right w:val="nil"/>
            </w:tcBorders>
            <w:tcMar>
              <w:top w:w="-1" w:type="dxa"/>
              <w:left w:w="-1" w:type="dxa"/>
              <w:bottom w:w="-1" w:type="dxa"/>
              <w:right w:w="-1" w:type="dxa"/>
            </w:tcMar>
          </w:tcPr>
          <w:p w14:paraId="6B24979B" w14:textId="77777777" w:rsidR="00A338BD" w:rsidRPr="00A367E5" w:rsidRDefault="00AA0B36" w:rsidP="00E33F48">
            <w:pPr>
              <w:jc w:val="center"/>
              <w:rPr>
                <w:rFonts w:cs="Times New Roman"/>
              </w:rPr>
            </w:pPr>
            <w:r w:rsidRPr="006A2125">
              <w:rPr>
                <w:rFonts w:cs="Times New Roman"/>
              </w:rPr>
              <w:t>266</w:t>
            </w:r>
          </w:p>
        </w:tc>
        <w:tc>
          <w:tcPr>
            <w:tcW w:w="435" w:type="pct"/>
            <w:tcBorders>
              <w:top w:val="single" w:sz="4" w:space="0" w:color="auto"/>
              <w:left w:val="nil"/>
              <w:bottom w:val="nil"/>
              <w:right w:val="nil"/>
            </w:tcBorders>
            <w:tcMar>
              <w:top w:w="-1" w:type="dxa"/>
              <w:left w:w="-1" w:type="dxa"/>
              <w:bottom w:w="-1" w:type="dxa"/>
              <w:right w:w="-1" w:type="dxa"/>
            </w:tcMar>
          </w:tcPr>
          <w:p w14:paraId="75D8FFEE" w14:textId="77777777" w:rsidR="00A338BD" w:rsidRPr="00A367E5" w:rsidRDefault="00AA0B36" w:rsidP="00E33F48">
            <w:pPr>
              <w:jc w:val="center"/>
              <w:rPr>
                <w:rFonts w:cs="Times New Roman"/>
              </w:rPr>
            </w:pPr>
            <w:r w:rsidRPr="006A2125">
              <w:rPr>
                <w:rFonts w:cs="Times New Roman"/>
              </w:rPr>
              <w:t>3.00%</w:t>
            </w:r>
          </w:p>
        </w:tc>
        <w:tc>
          <w:tcPr>
            <w:tcW w:w="652" w:type="pct"/>
            <w:tcBorders>
              <w:top w:val="single" w:sz="4" w:space="0" w:color="auto"/>
              <w:left w:val="nil"/>
              <w:bottom w:val="nil"/>
              <w:right w:val="nil"/>
            </w:tcBorders>
            <w:tcMar>
              <w:top w:w="-1" w:type="dxa"/>
              <w:left w:w="-1" w:type="dxa"/>
              <w:bottom w:w="-1" w:type="dxa"/>
              <w:right w:w="-1" w:type="dxa"/>
            </w:tcMar>
          </w:tcPr>
          <w:p w14:paraId="20DF3996" w14:textId="77777777" w:rsidR="00A338BD" w:rsidRPr="00A367E5" w:rsidRDefault="00AA0B36" w:rsidP="00E33F48">
            <w:pPr>
              <w:jc w:val="center"/>
              <w:rPr>
                <w:rFonts w:cs="Times New Roman"/>
              </w:rPr>
            </w:pPr>
            <w:r w:rsidRPr="006A2125">
              <w:rPr>
                <w:rFonts w:cs="Times New Roman"/>
              </w:rPr>
              <w:t>vascular Doppler ultrasound</w:t>
            </w:r>
          </w:p>
        </w:tc>
      </w:tr>
      <w:tr w:rsidR="00A338BD" w:rsidRPr="00A367E5" w14:paraId="129B828B" w14:textId="77777777" w:rsidTr="006A2125">
        <w:trPr>
          <w:jc w:val="center"/>
        </w:trPr>
        <w:tc>
          <w:tcPr>
            <w:tcW w:w="527" w:type="pct"/>
            <w:tcBorders>
              <w:top w:val="nil"/>
              <w:left w:val="nil"/>
              <w:bottom w:val="nil"/>
              <w:right w:val="nil"/>
            </w:tcBorders>
            <w:tcMar>
              <w:top w:w="-1" w:type="dxa"/>
              <w:left w:w="-1" w:type="dxa"/>
              <w:bottom w:w="-1" w:type="dxa"/>
              <w:right w:w="-1" w:type="dxa"/>
            </w:tcMar>
          </w:tcPr>
          <w:p w14:paraId="53A10E86" w14:textId="77777777" w:rsidR="00A338BD" w:rsidRPr="00A367E5" w:rsidRDefault="00AA0B36" w:rsidP="006A2125">
            <w:pPr>
              <w:jc w:val="left"/>
              <w:rPr>
                <w:rFonts w:cs="Times New Roman"/>
              </w:rPr>
            </w:pPr>
            <w:r w:rsidRPr="006A2125">
              <w:rPr>
                <w:rFonts w:cs="Times New Roman"/>
              </w:rPr>
              <w:t>Guiyuan Ma 2024</w:t>
            </w:r>
          </w:p>
        </w:tc>
        <w:tc>
          <w:tcPr>
            <w:tcW w:w="819" w:type="pct"/>
            <w:tcBorders>
              <w:top w:val="nil"/>
              <w:left w:val="nil"/>
              <w:bottom w:val="nil"/>
              <w:right w:val="nil"/>
            </w:tcBorders>
            <w:tcMar>
              <w:top w:w="-1" w:type="dxa"/>
              <w:left w:w="-1" w:type="dxa"/>
              <w:bottom w:w="-1" w:type="dxa"/>
              <w:right w:w="-1" w:type="dxa"/>
            </w:tcMar>
          </w:tcPr>
          <w:p w14:paraId="64B70378" w14:textId="77777777" w:rsidR="00A338BD" w:rsidRPr="00A367E5" w:rsidRDefault="00AA0B36" w:rsidP="00E33F48">
            <w:pPr>
              <w:jc w:val="center"/>
              <w:rPr>
                <w:rFonts w:cs="Times New Roman"/>
              </w:rPr>
            </w:pPr>
            <w:r w:rsidRPr="006A2125">
              <w:rPr>
                <w:rFonts w:cs="Times New Roman"/>
              </w:rPr>
              <w:t>Prospective cohort study</w:t>
            </w:r>
          </w:p>
        </w:tc>
        <w:tc>
          <w:tcPr>
            <w:tcW w:w="408" w:type="pct"/>
            <w:tcBorders>
              <w:top w:val="nil"/>
              <w:left w:val="nil"/>
              <w:bottom w:val="nil"/>
              <w:right w:val="nil"/>
            </w:tcBorders>
            <w:tcMar>
              <w:top w:w="-1" w:type="dxa"/>
              <w:left w:w="-1" w:type="dxa"/>
              <w:bottom w:w="-1" w:type="dxa"/>
              <w:right w:w="-1" w:type="dxa"/>
            </w:tcMar>
          </w:tcPr>
          <w:p w14:paraId="5C0CF5CC"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nil"/>
              <w:right w:val="nil"/>
            </w:tcBorders>
            <w:tcMar>
              <w:top w:w="-1" w:type="dxa"/>
              <w:left w:w="-1" w:type="dxa"/>
              <w:bottom w:w="-1" w:type="dxa"/>
              <w:right w:w="-1" w:type="dxa"/>
            </w:tcMar>
          </w:tcPr>
          <w:p w14:paraId="783E7FD4" w14:textId="77777777" w:rsidR="00A338BD" w:rsidRPr="00A367E5" w:rsidRDefault="00AA0B36" w:rsidP="00E33F48">
            <w:pPr>
              <w:jc w:val="center"/>
              <w:rPr>
                <w:rFonts w:cs="Times New Roman"/>
              </w:rPr>
            </w:pPr>
            <w:r w:rsidRPr="006A2125">
              <w:rPr>
                <w:rFonts w:cs="Times New Roman"/>
              </w:rPr>
              <w:t>cancer patients</w:t>
            </w:r>
          </w:p>
        </w:tc>
        <w:tc>
          <w:tcPr>
            <w:tcW w:w="1122" w:type="pct"/>
            <w:tcBorders>
              <w:top w:val="nil"/>
              <w:left w:val="nil"/>
              <w:bottom w:val="nil"/>
              <w:right w:val="nil"/>
            </w:tcBorders>
            <w:tcMar>
              <w:top w:w="-1" w:type="dxa"/>
              <w:left w:w="-1" w:type="dxa"/>
              <w:bottom w:w="-1" w:type="dxa"/>
              <w:right w:w="-1" w:type="dxa"/>
            </w:tcMar>
          </w:tcPr>
          <w:p w14:paraId="10BAD75D" w14:textId="77777777" w:rsidR="00A338BD" w:rsidRPr="00A367E5" w:rsidRDefault="00AA0B36" w:rsidP="00E33F48">
            <w:pPr>
              <w:jc w:val="center"/>
              <w:rPr>
                <w:rFonts w:cs="Times New Roman"/>
              </w:rPr>
            </w:pPr>
            <w:r w:rsidRPr="006A2125">
              <w:rPr>
                <w:rFonts w:cs="Times New Roman"/>
              </w:rPr>
              <w:t>Xiangya Hospital of Central South University:</w:t>
            </w:r>
            <w:r w:rsidRPr="006A2125">
              <w:rPr>
                <w:rFonts w:cs="Times New Roman"/>
              </w:rPr>
              <w:br/>
            </w:r>
            <w:r w:rsidRPr="006A2125">
              <w:rPr>
                <w:rFonts w:cs="Times New Roman"/>
              </w:rPr>
              <w:lastRenderedPageBreak/>
              <w:t>Qinghai University Affiliated Hospital and Hainan Provincial People’s Hospital</w:t>
            </w:r>
          </w:p>
        </w:tc>
        <w:tc>
          <w:tcPr>
            <w:tcW w:w="399" w:type="pct"/>
            <w:tcBorders>
              <w:top w:val="nil"/>
              <w:left w:val="nil"/>
              <w:bottom w:val="nil"/>
              <w:right w:val="nil"/>
            </w:tcBorders>
            <w:tcMar>
              <w:top w:w="-1" w:type="dxa"/>
              <w:left w:w="-1" w:type="dxa"/>
              <w:bottom w:w="-1" w:type="dxa"/>
              <w:right w:w="-1" w:type="dxa"/>
            </w:tcMar>
          </w:tcPr>
          <w:p w14:paraId="6AE4BB43" w14:textId="77777777" w:rsidR="00A338BD" w:rsidRPr="00A367E5" w:rsidRDefault="00AA0B36" w:rsidP="00E33F48">
            <w:pPr>
              <w:jc w:val="center"/>
              <w:rPr>
                <w:rFonts w:cs="Times New Roman"/>
              </w:rPr>
            </w:pPr>
            <w:r w:rsidRPr="006A2125">
              <w:rPr>
                <w:rFonts w:cs="Times New Roman"/>
              </w:rPr>
              <w:lastRenderedPageBreak/>
              <w:t>831</w:t>
            </w:r>
          </w:p>
        </w:tc>
        <w:tc>
          <w:tcPr>
            <w:tcW w:w="435" w:type="pct"/>
            <w:tcBorders>
              <w:top w:val="nil"/>
              <w:left w:val="nil"/>
              <w:bottom w:val="nil"/>
              <w:right w:val="nil"/>
            </w:tcBorders>
            <w:tcMar>
              <w:top w:w="-1" w:type="dxa"/>
              <w:left w:w="-1" w:type="dxa"/>
              <w:bottom w:w="-1" w:type="dxa"/>
              <w:right w:w="-1" w:type="dxa"/>
            </w:tcMar>
          </w:tcPr>
          <w:p w14:paraId="63F0E72F" w14:textId="77777777" w:rsidR="00A338BD" w:rsidRPr="00A367E5" w:rsidRDefault="00AA0B36" w:rsidP="00E33F48">
            <w:pPr>
              <w:jc w:val="center"/>
              <w:rPr>
                <w:rFonts w:cs="Times New Roman"/>
              </w:rPr>
            </w:pPr>
            <w:r w:rsidRPr="006A2125">
              <w:rPr>
                <w:rFonts w:cs="Times New Roman"/>
              </w:rPr>
              <w:t>4.68%</w:t>
            </w:r>
          </w:p>
        </w:tc>
        <w:tc>
          <w:tcPr>
            <w:tcW w:w="652" w:type="pct"/>
            <w:tcBorders>
              <w:top w:val="nil"/>
              <w:left w:val="nil"/>
              <w:bottom w:val="nil"/>
              <w:right w:val="nil"/>
            </w:tcBorders>
            <w:tcMar>
              <w:top w:w="-1" w:type="dxa"/>
              <w:left w:w="-1" w:type="dxa"/>
              <w:bottom w:w="-1" w:type="dxa"/>
              <w:right w:w="-1" w:type="dxa"/>
            </w:tcMar>
          </w:tcPr>
          <w:p w14:paraId="2BE1DB01" w14:textId="77777777" w:rsidR="00A338BD" w:rsidRPr="00A367E5" w:rsidRDefault="00AA0B36" w:rsidP="00E33F48">
            <w:pPr>
              <w:jc w:val="center"/>
              <w:rPr>
                <w:rFonts w:cs="Times New Roman"/>
              </w:rPr>
            </w:pPr>
            <w:r w:rsidRPr="006A2125">
              <w:rPr>
                <w:rFonts w:cs="Times New Roman"/>
              </w:rPr>
              <w:t>vascular Doppler ultrasound</w:t>
            </w:r>
          </w:p>
        </w:tc>
      </w:tr>
      <w:tr w:rsidR="00A338BD" w:rsidRPr="00A367E5" w14:paraId="173F0498" w14:textId="77777777" w:rsidTr="006A2125">
        <w:trPr>
          <w:jc w:val="center"/>
        </w:trPr>
        <w:tc>
          <w:tcPr>
            <w:tcW w:w="527" w:type="pct"/>
            <w:tcBorders>
              <w:top w:val="nil"/>
              <w:left w:val="nil"/>
              <w:bottom w:val="nil"/>
              <w:right w:val="nil"/>
            </w:tcBorders>
            <w:tcMar>
              <w:top w:w="-1" w:type="dxa"/>
              <w:left w:w="-1" w:type="dxa"/>
              <w:bottom w:w="-1" w:type="dxa"/>
              <w:right w:w="-1" w:type="dxa"/>
            </w:tcMar>
          </w:tcPr>
          <w:p w14:paraId="72EBC56A" w14:textId="77777777" w:rsidR="00A338BD" w:rsidRPr="00A367E5" w:rsidRDefault="00AA0B36" w:rsidP="006A2125">
            <w:pPr>
              <w:jc w:val="left"/>
              <w:rPr>
                <w:rFonts w:cs="Times New Roman"/>
              </w:rPr>
            </w:pPr>
            <w:r w:rsidRPr="006A2125">
              <w:rPr>
                <w:rFonts w:cs="Times New Roman"/>
              </w:rPr>
              <w:t>Hankui Hu 2024</w:t>
            </w:r>
          </w:p>
        </w:tc>
        <w:tc>
          <w:tcPr>
            <w:tcW w:w="819" w:type="pct"/>
            <w:tcBorders>
              <w:top w:val="nil"/>
              <w:left w:val="nil"/>
              <w:bottom w:val="nil"/>
              <w:right w:val="nil"/>
            </w:tcBorders>
            <w:tcMar>
              <w:top w:w="-1" w:type="dxa"/>
              <w:left w:w="-1" w:type="dxa"/>
              <w:bottom w:w="-1" w:type="dxa"/>
              <w:right w:w="-1" w:type="dxa"/>
            </w:tcMar>
          </w:tcPr>
          <w:p w14:paraId="5A01792E" w14:textId="77777777" w:rsidR="00A338BD" w:rsidRPr="00A367E5" w:rsidRDefault="00AA0B36" w:rsidP="00E33F48">
            <w:pPr>
              <w:jc w:val="center"/>
              <w:rPr>
                <w:rFonts w:cs="Times New Roman"/>
              </w:rPr>
            </w:pPr>
            <w:r w:rsidRPr="006A2125">
              <w:rPr>
                <w:rFonts w:cs="Times New Roman"/>
              </w:rPr>
              <w:t>Prospective cohort study</w:t>
            </w:r>
          </w:p>
        </w:tc>
        <w:tc>
          <w:tcPr>
            <w:tcW w:w="408" w:type="pct"/>
            <w:tcBorders>
              <w:top w:val="nil"/>
              <w:left w:val="nil"/>
              <w:bottom w:val="nil"/>
              <w:right w:val="nil"/>
            </w:tcBorders>
            <w:tcMar>
              <w:top w:w="-1" w:type="dxa"/>
              <w:left w:w="-1" w:type="dxa"/>
              <w:bottom w:w="-1" w:type="dxa"/>
              <w:right w:w="-1" w:type="dxa"/>
            </w:tcMar>
          </w:tcPr>
          <w:p w14:paraId="0592B55A"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nil"/>
              <w:right w:val="nil"/>
            </w:tcBorders>
            <w:tcMar>
              <w:top w:w="-1" w:type="dxa"/>
              <w:left w:w="-1" w:type="dxa"/>
              <w:bottom w:w="-1" w:type="dxa"/>
              <w:right w:w="-1" w:type="dxa"/>
            </w:tcMar>
          </w:tcPr>
          <w:p w14:paraId="6843F6CA" w14:textId="77777777" w:rsidR="00A338BD" w:rsidRPr="00A367E5" w:rsidRDefault="00AA0B36" w:rsidP="00E33F48">
            <w:pPr>
              <w:jc w:val="center"/>
              <w:rPr>
                <w:rFonts w:cs="Times New Roman"/>
              </w:rPr>
            </w:pPr>
            <w:r w:rsidRPr="006A2125">
              <w:rPr>
                <w:rFonts w:cs="Times New Roman"/>
              </w:rPr>
              <w:t>cancer patients</w:t>
            </w:r>
          </w:p>
        </w:tc>
        <w:tc>
          <w:tcPr>
            <w:tcW w:w="1122" w:type="pct"/>
            <w:tcBorders>
              <w:top w:val="nil"/>
              <w:left w:val="nil"/>
              <w:bottom w:val="nil"/>
              <w:right w:val="nil"/>
            </w:tcBorders>
            <w:tcMar>
              <w:top w:w="-1" w:type="dxa"/>
              <w:left w:w="-1" w:type="dxa"/>
              <w:bottom w:w="-1" w:type="dxa"/>
              <w:right w:w="-1" w:type="dxa"/>
            </w:tcMar>
          </w:tcPr>
          <w:p w14:paraId="125F8CF6" w14:textId="77777777" w:rsidR="00A338BD" w:rsidRPr="00A367E5" w:rsidRDefault="00AA0B36" w:rsidP="00E33F48">
            <w:pPr>
              <w:jc w:val="center"/>
              <w:rPr>
                <w:rFonts w:cs="Times New Roman"/>
              </w:rPr>
            </w:pPr>
            <w:r w:rsidRPr="006A2125">
              <w:rPr>
                <w:rFonts w:cs="Times New Roman"/>
              </w:rPr>
              <w:t>West China Hospital of Sichuan University</w:t>
            </w:r>
          </w:p>
        </w:tc>
        <w:tc>
          <w:tcPr>
            <w:tcW w:w="399" w:type="pct"/>
            <w:tcBorders>
              <w:top w:val="nil"/>
              <w:left w:val="nil"/>
              <w:bottom w:val="nil"/>
              <w:right w:val="nil"/>
            </w:tcBorders>
            <w:tcMar>
              <w:top w:w="-1" w:type="dxa"/>
              <w:left w:w="-1" w:type="dxa"/>
              <w:bottom w:w="-1" w:type="dxa"/>
              <w:right w:w="-1" w:type="dxa"/>
            </w:tcMar>
          </w:tcPr>
          <w:p w14:paraId="76AF6A38" w14:textId="77777777" w:rsidR="00A338BD" w:rsidRPr="00A367E5" w:rsidRDefault="00AA0B36" w:rsidP="00E33F48">
            <w:pPr>
              <w:jc w:val="center"/>
              <w:rPr>
                <w:rFonts w:cs="Times New Roman"/>
              </w:rPr>
            </w:pPr>
            <w:r w:rsidRPr="006A2125">
              <w:rPr>
                <w:rFonts w:cs="Times New Roman"/>
              </w:rPr>
              <w:t>452</w:t>
            </w:r>
          </w:p>
        </w:tc>
        <w:tc>
          <w:tcPr>
            <w:tcW w:w="435" w:type="pct"/>
            <w:tcBorders>
              <w:top w:val="nil"/>
              <w:left w:val="nil"/>
              <w:bottom w:val="nil"/>
              <w:right w:val="nil"/>
            </w:tcBorders>
            <w:tcMar>
              <w:top w:w="-1" w:type="dxa"/>
              <w:left w:w="-1" w:type="dxa"/>
              <w:bottom w:w="-1" w:type="dxa"/>
              <w:right w:w="-1" w:type="dxa"/>
            </w:tcMar>
          </w:tcPr>
          <w:p w14:paraId="428AD0AB" w14:textId="77777777" w:rsidR="00A338BD" w:rsidRPr="00A367E5" w:rsidRDefault="00AA0B36" w:rsidP="00E33F48">
            <w:pPr>
              <w:jc w:val="center"/>
              <w:rPr>
                <w:rFonts w:cs="Times New Roman"/>
              </w:rPr>
            </w:pPr>
            <w:r w:rsidRPr="006A2125">
              <w:rPr>
                <w:rFonts w:cs="Times New Roman"/>
              </w:rPr>
              <w:t>16.10%</w:t>
            </w:r>
          </w:p>
        </w:tc>
        <w:tc>
          <w:tcPr>
            <w:tcW w:w="652" w:type="pct"/>
            <w:tcBorders>
              <w:top w:val="nil"/>
              <w:left w:val="nil"/>
              <w:bottom w:val="nil"/>
              <w:right w:val="nil"/>
            </w:tcBorders>
            <w:tcMar>
              <w:top w:w="-1" w:type="dxa"/>
              <w:left w:w="-1" w:type="dxa"/>
              <w:bottom w:w="-1" w:type="dxa"/>
              <w:right w:w="-1" w:type="dxa"/>
            </w:tcMar>
          </w:tcPr>
          <w:p w14:paraId="6274005E" w14:textId="77777777" w:rsidR="00A338BD" w:rsidRPr="00A367E5" w:rsidRDefault="00AA0B36" w:rsidP="00E33F48">
            <w:pPr>
              <w:jc w:val="center"/>
              <w:rPr>
                <w:rFonts w:cs="Times New Roman"/>
              </w:rPr>
            </w:pPr>
            <w:r w:rsidRPr="006A2125">
              <w:rPr>
                <w:rFonts w:cs="Times New Roman"/>
              </w:rPr>
              <w:t>vascular Doppler ultrasound</w:t>
            </w:r>
          </w:p>
        </w:tc>
      </w:tr>
      <w:tr w:rsidR="00A338BD" w:rsidRPr="00A367E5" w14:paraId="00F5A83C" w14:textId="77777777" w:rsidTr="006A2125">
        <w:trPr>
          <w:jc w:val="center"/>
        </w:trPr>
        <w:tc>
          <w:tcPr>
            <w:tcW w:w="527" w:type="pct"/>
            <w:tcBorders>
              <w:top w:val="nil"/>
              <w:left w:val="nil"/>
              <w:bottom w:val="nil"/>
              <w:right w:val="nil"/>
            </w:tcBorders>
            <w:tcMar>
              <w:top w:w="-1" w:type="dxa"/>
              <w:left w:w="-1" w:type="dxa"/>
              <w:bottom w:w="-1" w:type="dxa"/>
              <w:right w:w="-1" w:type="dxa"/>
            </w:tcMar>
          </w:tcPr>
          <w:p w14:paraId="67A00B04" w14:textId="77777777" w:rsidR="00A338BD" w:rsidRPr="00A367E5" w:rsidRDefault="00AA0B36" w:rsidP="006A2125">
            <w:pPr>
              <w:jc w:val="left"/>
              <w:rPr>
                <w:rFonts w:cs="Times New Roman"/>
              </w:rPr>
            </w:pPr>
            <w:r w:rsidRPr="006A2125">
              <w:rPr>
                <w:rFonts w:cs="Times New Roman"/>
              </w:rPr>
              <w:t>Jianqin Fu 2022</w:t>
            </w:r>
          </w:p>
        </w:tc>
        <w:tc>
          <w:tcPr>
            <w:tcW w:w="819" w:type="pct"/>
            <w:tcBorders>
              <w:top w:val="nil"/>
              <w:left w:val="nil"/>
              <w:bottom w:val="nil"/>
              <w:right w:val="nil"/>
            </w:tcBorders>
            <w:tcMar>
              <w:top w:w="-1" w:type="dxa"/>
              <w:left w:w="-1" w:type="dxa"/>
              <w:bottom w:w="-1" w:type="dxa"/>
              <w:right w:w="-1" w:type="dxa"/>
            </w:tcMar>
          </w:tcPr>
          <w:p w14:paraId="01D38374" w14:textId="77777777" w:rsidR="00A338BD" w:rsidRPr="00A367E5" w:rsidRDefault="00AA0B36" w:rsidP="00E33F48">
            <w:pPr>
              <w:jc w:val="center"/>
              <w:rPr>
                <w:rFonts w:cs="Times New Roman"/>
              </w:rPr>
            </w:pPr>
            <w:r w:rsidRPr="006A2125">
              <w:rPr>
                <w:rFonts w:cs="Times New Roman"/>
              </w:rPr>
              <w:t>Prospective cohort study</w:t>
            </w:r>
          </w:p>
        </w:tc>
        <w:tc>
          <w:tcPr>
            <w:tcW w:w="408" w:type="pct"/>
            <w:tcBorders>
              <w:top w:val="nil"/>
              <w:left w:val="nil"/>
              <w:bottom w:val="nil"/>
              <w:right w:val="nil"/>
            </w:tcBorders>
            <w:tcMar>
              <w:top w:w="-1" w:type="dxa"/>
              <w:left w:w="-1" w:type="dxa"/>
              <w:bottom w:w="-1" w:type="dxa"/>
              <w:right w:w="-1" w:type="dxa"/>
            </w:tcMar>
          </w:tcPr>
          <w:p w14:paraId="2A66BB4E"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nil"/>
              <w:right w:val="nil"/>
            </w:tcBorders>
            <w:tcMar>
              <w:top w:w="-1" w:type="dxa"/>
              <w:left w:w="-1" w:type="dxa"/>
              <w:bottom w:w="-1" w:type="dxa"/>
              <w:right w:w="-1" w:type="dxa"/>
            </w:tcMar>
          </w:tcPr>
          <w:p w14:paraId="422C61BA" w14:textId="77777777" w:rsidR="00A338BD" w:rsidRPr="00A367E5" w:rsidRDefault="00AA0B36" w:rsidP="00E33F48">
            <w:pPr>
              <w:jc w:val="center"/>
              <w:rPr>
                <w:rFonts w:cs="Times New Roman"/>
              </w:rPr>
            </w:pPr>
            <w:r w:rsidRPr="006A2125">
              <w:rPr>
                <w:rFonts w:cs="Times New Roman"/>
              </w:rPr>
              <w:t>breast cancer patients</w:t>
            </w:r>
          </w:p>
        </w:tc>
        <w:tc>
          <w:tcPr>
            <w:tcW w:w="1122" w:type="pct"/>
            <w:tcBorders>
              <w:top w:val="nil"/>
              <w:left w:val="nil"/>
              <w:bottom w:val="nil"/>
              <w:right w:val="nil"/>
            </w:tcBorders>
            <w:tcMar>
              <w:top w:w="-1" w:type="dxa"/>
              <w:left w:w="-1" w:type="dxa"/>
              <w:bottom w:w="-1" w:type="dxa"/>
              <w:right w:w="-1" w:type="dxa"/>
            </w:tcMar>
          </w:tcPr>
          <w:p w14:paraId="3BADE481" w14:textId="77777777" w:rsidR="00A338BD" w:rsidRPr="00A367E5" w:rsidRDefault="00AA0B36" w:rsidP="00E33F48">
            <w:pPr>
              <w:jc w:val="center"/>
              <w:rPr>
                <w:rFonts w:cs="Times New Roman"/>
              </w:rPr>
            </w:pPr>
            <w:r w:rsidRPr="006A2125">
              <w:rPr>
                <w:rFonts w:cs="Times New Roman"/>
              </w:rPr>
              <w:t>Fujian Medical University Union Hospital</w:t>
            </w:r>
          </w:p>
        </w:tc>
        <w:tc>
          <w:tcPr>
            <w:tcW w:w="399" w:type="pct"/>
            <w:tcBorders>
              <w:top w:val="nil"/>
              <w:left w:val="nil"/>
              <w:bottom w:val="nil"/>
              <w:right w:val="nil"/>
            </w:tcBorders>
            <w:tcMar>
              <w:top w:w="-1" w:type="dxa"/>
              <w:left w:w="-1" w:type="dxa"/>
              <w:bottom w:w="-1" w:type="dxa"/>
              <w:right w:w="-1" w:type="dxa"/>
            </w:tcMar>
          </w:tcPr>
          <w:p w14:paraId="1923EABA" w14:textId="77777777" w:rsidR="00A338BD" w:rsidRPr="00A367E5" w:rsidRDefault="00AA0B36" w:rsidP="00E33F48">
            <w:pPr>
              <w:jc w:val="center"/>
              <w:rPr>
                <w:rFonts w:cs="Times New Roman"/>
              </w:rPr>
            </w:pPr>
            <w:r w:rsidRPr="006A2125">
              <w:rPr>
                <w:rFonts w:cs="Times New Roman"/>
              </w:rPr>
              <w:t>1844</w:t>
            </w:r>
          </w:p>
        </w:tc>
        <w:tc>
          <w:tcPr>
            <w:tcW w:w="435" w:type="pct"/>
            <w:tcBorders>
              <w:top w:val="nil"/>
              <w:left w:val="nil"/>
              <w:bottom w:val="nil"/>
              <w:right w:val="nil"/>
            </w:tcBorders>
            <w:tcMar>
              <w:top w:w="-1" w:type="dxa"/>
              <w:left w:w="-1" w:type="dxa"/>
              <w:bottom w:w="-1" w:type="dxa"/>
              <w:right w:w="-1" w:type="dxa"/>
            </w:tcMar>
          </w:tcPr>
          <w:p w14:paraId="11F0AE73" w14:textId="77777777" w:rsidR="00A338BD" w:rsidRPr="00A367E5" w:rsidRDefault="00AA0B36" w:rsidP="00E33F48">
            <w:pPr>
              <w:jc w:val="center"/>
              <w:rPr>
                <w:rFonts w:cs="Times New Roman"/>
              </w:rPr>
            </w:pPr>
            <w:r w:rsidRPr="006A2125">
              <w:rPr>
                <w:rFonts w:cs="Times New Roman"/>
              </w:rPr>
              <w:t>13.90%</w:t>
            </w:r>
          </w:p>
        </w:tc>
        <w:tc>
          <w:tcPr>
            <w:tcW w:w="652" w:type="pct"/>
            <w:tcBorders>
              <w:top w:val="nil"/>
              <w:left w:val="nil"/>
              <w:bottom w:val="nil"/>
              <w:right w:val="nil"/>
            </w:tcBorders>
            <w:tcMar>
              <w:top w:w="-1" w:type="dxa"/>
              <w:left w:w="-1" w:type="dxa"/>
              <w:bottom w:w="-1" w:type="dxa"/>
              <w:right w:w="-1" w:type="dxa"/>
            </w:tcMar>
          </w:tcPr>
          <w:p w14:paraId="59613330" w14:textId="77777777" w:rsidR="00A338BD" w:rsidRPr="00A367E5" w:rsidRDefault="00AA0B36" w:rsidP="00E33F48">
            <w:pPr>
              <w:jc w:val="center"/>
              <w:rPr>
                <w:rFonts w:cs="Times New Roman"/>
              </w:rPr>
            </w:pPr>
            <w:r w:rsidRPr="006A2125">
              <w:rPr>
                <w:rFonts w:cs="Times New Roman"/>
              </w:rPr>
              <w:t>vascular Doppler ultrasound</w:t>
            </w:r>
          </w:p>
        </w:tc>
      </w:tr>
      <w:tr w:rsidR="00A338BD" w:rsidRPr="00A367E5" w14:paraId="573A886D" w14:textId="77777777" w:rsidTr="006A2125">
        <w:trPr>
          <w:jc w:val="center"/>
        </w:trPr>
        <w:tc>
          <w:tcPr>
            <w:tcW w:w="527" w:type="pct"/>
            <w:tcBorders>
              <w:top w:val="nil"/>
              <w:left w:val="nil"/>
              <w:bottom w:val="nil"/>
              <w:right w:val="nil"/>
            </w:tcBorders>
            <w:tcMar>
              <w:top w:w="-1" w:type="dxa"/>
              <w:left w:w="-1" w:type="dxa"/>
              <w:bottom w:w="-1" w:type="dxa"/>
              <w:right w:w="-1" w:type="dxa"/>
            </w:tcMar>
          </w:tcPr>
          <w:p w14:paraId="6B43B992" w14:textId="77777777" w:rsidR="00A338BD" w:rsidRPr="00A367E5" w:rsidRDefault="00AA0B36" w:rsidP="006A2125">
            <w:pPr>
              <w:jc w:val="left"/>
              <w:rPr>
                <w:rFonts w:cs="Times New Roman"/>
              </w:rPr>
            </w:pPr>
            <w:r w:rsidRPr="006A2125">
              <w:rPr>
                <w:rFonts w:cs="Times New Roman"/>
              </w:rPr>
              <w:t>Shanshan Liu 2019</w:t>
            </w:r>
          </w:p>
        </w:tc>
        <w:tc>
          <w:tcPr>
            <w:tcW w:w="819" w:type="pct"/>
            <w:tcBorders>
              <w:top w:val="nil"/>
              <w:left w:val="nil"/>
              <w:bottom w:val="nil"/>
              <w:right w:val="nil"/>
            </w:tcBorders>
            <w:tcMar>
              <w:top w:w="-1" w:type="dxa"/>
              <w:left w:w="-1" w:type="dxa"/>
              <w:bottom w:w="-1" w:type="dxa"/>
              <w:right w:w="-1" w:type="dxa"/>
            </w:tcMar>
          </w:tcPr>
          <w:p w14:paraId="20330396" w14:textId="77777777" w:rsidR="00A338BD" w:rsidRPr="00A367E5" w:rsidRDefault="00AA0B36" w:rsidP="00E33F48">
            <w:pPr>
              <w:jc w:val="center"/>
              <w:rPr>
                <w:rFonts w:cs="Times New Roman"/>
              </w:rPr>
            </w:pPr>
            <w:r w:rsidRPr="006A2125">
              <w:rPr>
                <w:rFonts w:cs="Times New Roman"/>
              </w:rPr>
              <w:t>Prospective cohort study</w:t>
            </w:r>
          </w:p>
        </w:tc>
        <w:tc>
          <w:tcPr>
            <w:tcW w:w="408" w:type="pct"/>
            <w:tcBorders>
              <w:top w:val="nil"/>
              <w:left w:val="nil"/>
              <w:bottom w:val="nil"/>
              <w:right w:val="nil"/>
            </w:tcBorders>
            <w:tcMar>
              <w:top w:w="-1" w:type="dxa"/>
              <w:left w:w="-1" w:type="dxa"/>
              <w:bottom w:w="-1" w:type="dxa"/>
              <w:right w:w="-1" w:type="dxa"/>
            </w:tcMar>
          </w:tcPr>
          <w:p w14:paraId="601D65EF"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nil"/>
              <w:right w:val="nil"/>
            </w:tcBorders>
            <w:tcMar>
              <w:top w:w="-1" w:type="dxa"/>
              <w:left w:w="-1" w:type="dxa"/>
              <w:bottom w:w="-1" w:type="dxa"/>
              <w:right w:w="-1" w:type="dxa"/>
            </w:tcMar>
          </w:tcPr>
          <w:p w14:paraId="62DC76DC" w14:textId="77777777" w:rsidR="00A338BD" w:rsidRPr="00A367E5" w:rsidRDefault="00AA0B36" w:rsidP="00E33F48">
            <w:pPr>
              <w:jc w:val="center"/>
              <w:rPr>
                <w:rFonts w:cs="Times New Roman"/>
              </w:rPr>
            </w:pPr>
            <w:r w:rsidRPr="006A2125">
              <w:rPr>
                <w:rFonts w:cs="Times New Roman"/>
              </w:rPr>
              <w:t>cancer patients</w:t>
            </w:r>
          </w:p>
        </w:tc>
        <w:tc>
          <w:tcPr>
            <w:tcW w:w="1122" w:type="pct"/>
            <w:tcBorders>
              <w:top w:val="nil"/>
              <w:left w:val="nil"/>
              <w:bottom w:val="nil"/>
              <w:right w:val="nil"/>
            </w:tcBorders>
            <w:tcMar>
              <w:top w:w="-1" w:type="dxa"/>
              <w:left w:w="-1" w:type="dxa"/>
              <w:bottom w:w="-1" w:type="dxa"/>
              <w:right w:w="-1" w:type="dxa"/>
            </w:tcMar>
          </w:tcPr>
          <w:p w14:paraId="3EC8CB7C" w14:textId="77777777" w:rsidR="00A338BD" w:rsidRPr="00A367E5" w:rsidRDefault="00AA0B36" w:rsidP="00E33F48">
            <w:pPr>
              <w:jc w:val="center"/>
              <w:rPr>
                <w:rFonts w:cs="Times New Roman"/>
              </w:rPr>
            </w:pPr>
            <w:r w:rsidRPr="006A2125">
              <w:rPr>
                <w:rFonts w:cs="Times New Roman"/>
              </w:rPr>
              <w:t>the Department of Oncology of West China Hospital</w:t>
            </w:r>
          </w:p>
        </w:tc>
        <w:tc>
          <w:tcPr>
            <w:tcW w:w="399" w:type="pct"/>
            <w:tcBorders>
              <w:top w:val="nil"/>
              <w:left w:val="nil"/>
              <w:bottom w:val="nil"/>
              <w:right w:val="nil"/>
            </w:tcBorders>
            <w:tcMar>
              <w:top w:w="-1" w:type="dxa"/>
              <w:left w:w="-1" w:type="dxa"/>
              <w:bottom w:w="-1" w:type="dxa"/>
              <w:right w:w="-1" w:type="dxa"/>
            </w:tcMar>
          </w:tcPr>
          <w:p w14:paraId="38332DA9" w14:textId="77777777" w:rsidR="00A338BD" w:rsidRPr="00A367E5" w:rsidRDefault="00AA0B36" w:rsidP="00E33F48">
            <w:pPr>
              <w:jc w:val="center"/>
              <w:rPr>
                <w:rFonts w:cs="Times New Roman"/>
              </w:rPr>
            </w:pPr>
            <w:r w:rsidRPr="006A2125">
              <w:rPr>
                <w:rFonts w:cs="Times New Roman"/>
              </w:rPr>
              <w:t>348</w:t>
            </w:r>
          </w:p>
        </w:tc>
        <w:tc>
          <w:tcPr>
            <w:tcW w:w="435" w:type="pct"/>
            <w:tcBorders>
              <w:top w:val="nil"/>
              <w:left w:val="nil"/>
              <w:bottom w:val="nil"/>
              <w:right w:val="nil"/>
            </w:tcBorders>
            <w:tcMar>
              <w:top w:w="-1" w:type="dxa"/>
              <w:left w:w="-1" w:type="dxa"/>
              <w:bottom w:w="-1" w:type="dxa"/>
              <w:right w:w="-1" w:type="dxa"/>
            </w:tcMar>
          </w:tcPr>
          <w:p w14:paraId="1E6B8F87" w14:textId="77777777" w:rsidR="00A338BD" w:rsidRPr="00A367E5" w:rsidRDefault="00AA0B36" w:rsidP="00E33F48">
            <w:pPr>
              <w:jc w:val="center"/>
              <w:rPr>
                <w:rFonts w:cs="Times New Roman"/>
              </w:rPr>
            </w:pPr>
            <w:r w:rsidRPr="006A2125">
              <w:rPr>
                <w:rFonts w:cs="Times New Roman"/>
              </w:rPr>
              <w:t>16.30%</w:t>
            </w:r>
          </w:p>
        </w:tc>
        <w:tc>
          <w:tcPr>
            <w:tcW w:w="652" w:type="pct"/>
            <w:tcBorders>
              <w:top w:val="nil"/>
              <w:left w:val="nil"/>
              <w:bottom w:val="nil"/>
              <w:right w:val="nil"/>
            </w:tcBorders>
            <w:tcMar>
              <w:top w:w="-1" w:type="dxa"/>
              <w:left w:w="-1" w:type="dxa"/>
              <w:bottom w:w="-1" w:type="dxa"/>
              <w:right w:w="-1" w:type="dxa"/>
            </w:tcMar>
          </w:tcPr>
          <w:p w14:paraId="1F6DED6F" w14:textId="77777777" w:rsidR="00A338BD" w:rsidRPr="00A367E5" w:rsidRDefault="00AA0B36" w:rsidP="00E33F48">
            <w:pPr>
              <w:jc w:val="center"/>
              <w:rPr>
                <w:rFonts w:cs="Times New Roman"/>
              </w:rPr>
            </w:pPr>
            <w:r w:rsidRPr="006A2125">
              <w:rPr>
                <w:rFonts w:cs="Times New Roman"/>
              </w:rPr>
              <w:t>vascular Doppler ultrasound</w:t>
            </w:r>
          </w:p>
        </w:tc>
      </w:tr>
      <w:tr w:rsidR="00A338BD" w:rsidRPr="00A367E5" w14:paraId="143CA919" w14:textId="77777777" w:rsidTr="006A2125">
        <w:trPr>
          <w:jc w:val="center"/>
        </w:trPr>
        <w:tc>
          <w:tcPr>
            <w:tcW w:w="527" w:type="pct"/>
            <w:tcBorders>
              <w:top w:val="nil"/>
              <w:left w:val="nil"/>
              <w:bottom w:val="nil"/>
              <w:right w:val="nil"/>
            </w:tcBorders>
            <w:tcMar>
              <w:top w:w="-1" w:type="dxa"/>
              <w:left w:w="-1" w:type="dxa"/>
              <w:bottom w:w="-1" w:type="dxa"/>
              <w:right w:w="-1" w:type="dxa"/>
            </w:tcMar>
          </w:tcPr>
          <w:p w14:paraId="7B9093E9" w14:textId="77777777" w:rsidR="00A338BD" w:rsidRPr="00A367E5" w:rsidRDefault="00AA0B36" w:rsidP="006A2125">
            <w:pPr>
              <w:jc w:val="left"/>
              <w:rPr>
                <w:rFonts w:cs="Times New Roman"/>
              </w:rPr>
            </w:pPr>
            <w:r w:rsidRPr="006A2125">
              <w:rPr>
                <w:rFonts w:cs="Times New Roman"/>
              </w:rPr>
              <w:t>Tao An 2025</w:t>
            </w:r>
          </w:p>
        </w:tc>
        <w:tc>
          <w:tcPr>
            <w:tcW w:w="819" w:type="pct"/>
            <w:tcBorders>
              <w:top w:val="nil"/>
              <w:left w:val="nil"/>
              <w:bottom w:val="nil"/>
              <w:right w:val="nil"/>
            </w:tcBorders>
            <w:tcMar>
              <w:top w:w="-1" w:type="dxa"/>
              <w:left w:w="-1" w:type="dxa"/>
              <w:bottom w:w="-1" w:type="dxa"/>
              <w:right w:w="-1" w:type="dxa"/>
            </w:tcMar>
          </w:tcPr>
          <w:p w14:paraId="74875B6F" w14:textId="77777777" w:rsidR="00A338BD" w:rsidRPr="00A367E5" w:rsidRDefault="00AA0B36" w:rsidP="00E33F48">
            <w:pPr>
              <w:jc w:val="center"/>
              <w:rPr>
                <w:rFonts w:cs="Times New Roman"/>
              </w:rPr>
            </w:pPr>
            <w:r w:rsidRPr="006A2125">
              <w:rPr>
                <w:rFonts w:cs="Times New Roman"/>
              </w:rPr>
              <w:t>Retrospective cohort study</w:t>
            </w:r>
          </w:p>
        </w:tc>
        <w:tc>
          <w:tcPr>
            <w:tcW w:w="408" w:type="pct"/>
            <w:tcBorders>
              <w:top w:val="nil"/>
              <w:left w:val="nil"/>
              <w:bottom w:val="nil"/>
              <w:right w:val="nil"/>
            </w:tcBorders>
            <w:tcMar>
              <w:top w:w="-1" w:type="dxa"/>
              <w:left w:w="-1" w:type="dxa"/>
              <w:bottom w:w="-1" w:type="dxa"/>
              <w:right w:w="-1" w:type="dxa"/>
            </w:tcMar>
          </w:tcPr>
          <w:p w14:paraId="07CBB307"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nil"/>
              <w:right w:val="nil"/>
            </w:tcBorders>
            <w:tcMar>
              <w:top w:w="-1" w:type="dxa"/>
              <w:left w:w="-1" w:type="dxa"/>
              <w:bottom w:w="-1" w:type="dxa"/>
              <w:right w:w="-1" w:type="dxa"/>
            </w:tcMar>
          </w:tcPr>
          <w:p w14:paraId="2C9FD734" w14:textId="77777777" w:rsidR="00A338BD" w:rsidRPr="00A367E5" w:rsidRDefault="00AA0B36" w:rsidP="00E33F48">
            <w:pPr>
              <w:jc w:val="center"/>
              <w:rPr>
                <w:rFonts w:cs="Times New Roman"/>
              </w:rPr>
            </w:pPr>
            <w:r w:rsidRPr="006A2125">
              <w:rPr>
                <w:rFonts w:cs="Times New Roman"/>
              </w:rPr>
              <w:t>breast cancer patients</w:t>
            </w:r>
          </w:p>
        </w:tc>
        <w:tc>
          <w:tcPr>
            <w:tcW w:w="1122" w:type="pct"/>
            <w:tcBorders>
              <w:top w:val="nil"/>
              <w:left w:val="nil"/>
              <w:bottom w:val="nil"/>
              <w:right w:val="nil"/>
            </w:tcBorders>
            <w:tcMar>
              <w:top w:w="-1" w:type="dxa"/>
              <w:left w:w="-1" w:type="dxa"/>
              <w:bottom w:w="-1" w:type="dxa"/>
              <w:right w:w="-1" w:type="dxa"/>
            </w:tcMar>
          </w:tcPr>
          <w:p w14:paraId="0B0FC08F" w14:textId="77777777" w:rsidR="00A338BD" w:rsidRPr="00A367E5" w:rsidRDefault="00AA0B36" w:rsidP="00E33F48">
            <w:pPr>
              <w:jc w:val="center"/>
              <w:rPr>
                <w:rFonts w:cs="Times New Roman"/>
              </w:rPr>
            </w:pPr>
            <w:r w:rsidRPr="006A2125">
              <w:rPr>
                <w:rFonts w:cs="Times New Roman"/>
              </w:rPr>
              <w:t>National Canter-National Clinical Research Center for the Cancer Hospital, Chinese Academy of Medical Sciences</w:t>
            </w:r>
          </w:p>
        </w:tc>
        <w:tc>
          <w:tcPr>
            <w:tcW w:w="399" w:type="pct"/>
            <w:tcBorders>
              <w:top w:val="nil"/>
              <w:left w:val="nil"/>
              <w:bottom w:val="nil"/>
              <w:right w:val="nil"/>
            </w:tcBorders>
            <w:tcMar>
              <w:top w:w="-1" w:type="dxa"/>
              <w:left w:w="-1" w:type="dxa"/>
              <w:bottom w:w="-1" w:type="dxa"/>
              <w:right w:w="-1" w:type="dxa"/>
            </w:tcMar>
          </w:tcPr>
          <w:p w14:paraId="765AD92E" w14:textId="77777777" w:rsidR="00A338BD" w:rsidRPr="00A367E5" w:rsidRDefault="00AA0B36" w:rsidP="00E33F48">
            <w:pPr>
              <w:jc w:val="center"/>
              <w:rPr>
                <w:rFonts w:cs="Times New Roman"/>
              </w:rPr>
            </w:pPr>
            <w:r w:rsidRPr="006A2125">
              <w:rPr>
                <w:rFonts w:cs="Times New Roman"/>
              </w:rPr>
              <w:t>1137</w:t>
            </w:r>
          </w:p>
        </w:tc>
        <w:tc>
          <w:tcPr>
            <w:tcW w:w="435" w:type="pct"/>
            <w:tcBorders>
              <w:top w:val="nil"/>
              <w:left w:val="nil"/>
              <w:bottom w:val="nil"/>
              <w:right w:val="nil"/>
            </w:tcBorders>
            <w:tcMar>
              <w:top w:w="-1" w:type="dxa"/>
              <w:left w:w="-1" w:type="dxa"/>
              <w:bottom w:w="-1" w:type="dxa"/>
              <w:right w:w="-1" w:type="dxa"/>
            </w:tcMar>
          </w:tcPr>
          <w:p w14:paraId="164AB280" w14:textId="77777777" w:rsidR="00A338BD" w:rsidRPr="00A367E5" w:rsidRDefault="00AA0B36" w:rsidP="00E33F48">
            <w:pPr>
              <w:jc w:val="center"/>
              <w:rPr>
                <w:rFonts w:cs="Times New Roman"/>
              </w:rPr>
            </w:pPr>
            <w:r w:rsidRPr="006A2125">
              <w:rPr>
                <w:rFonts w:cs="Times New Roman"/>
              </w:rPr>
              <w:t>9.05%</w:t>
            </w:r>
          </w:p>
        </w:tc>
        <w:tc>
          <w:tcPr>
            <w:tcW w:w="652" w:type="pct"/>
            <w:tcBorders>
              <w:top w:val="nil"/>
              <w:left w:val="nil"/>
              <w:bottom w:val="nil"/>
              <w:right w:val="nil"/>
            </w:tcBorders>
            <w:tcMar>
              <w:top w:w="-1" w:type="dxa"/>
              <w:left w:w="-1" w:type="dxa"/>
              <w:bottom w:w="-1" w:type="dxa"/>
              <w:right w:w="-1" w:type="dxa"/>
            </w:tcMar>
          </w:tcPr>
          <w:p w14:paraId="4AAE847C" w14:textId="77777777" w:rsidR="00A338BD" w:rsidRPr="00A367E5" w:rsidRDefault="00AA0B36" w:rsidP="00E33F48">
            <w:pPr>
              <w:jc w:val="center"/>
              <w:rPr>
                <w:rFonts w:cs="Times New Roman"/>
              </w:rPr>
            </w:pPr>
            <w:r w:rsidRPr="006A2125">
              <w:rPr>
                <w:rFonts w:cs="Times New Roman"/>
              </w:rPr>
              <w:t>vascular Doppler ultrasound/</w:t>
            </w:r>
          </w:p>
          <w:p w14:paraId="241D546D" w14:textId="77777777" w:rsidR="00A338BD" w:rsidRPr="00A367E5" w:rsidRDefault="00AA0B36" w:rsidP="00E33F48">
            <w:pPr>
              <w:jc w:val="center"/>
              <w:rPr>
                <w:rFonts w:cs="Times New Roman"/>
              </w:rPr>
            </w:pPr>
            <w:r w:rsidRPr="006A2125">
              <w:rPr>
                <w:rFonts w:cs="Times New Roman"/>
              </w:rPr>
              <w:t>color imaging</w:t>
            </w:r>
          </w:p>
        </w:tc>
      </w:tr>
      <w:tr w:rsidR="00A338BD" w:rsidRPr="00A367E5" w14:paraId="7AB4F90F" w14:textId="77777777" w:rsidTr="006A2125">
        <w:trPr>
          <w:jc w:val="center"/>
        </w:trPr>
        <w:tc>
          <w:tcPr>
            <w:tcW w:w="527" w:type="pct"/>
            <w:tcBorders>
              <w:top w:val="nil"/>
              <w:left w:val="nil"/>
              <w:bottom w:val="single" w:sz="12" w:space="0" w:color="auto"/>
              <w:right w:val="nil"/>
            </w:tcBorders>
            <w:tcMar>
              <w:top w:w="-1" w:type="dxa"/>
              <w:left w:w="-1" w:type="dxa"/>
              <w:bottom w:w="-1" w:type="dxa"/>
              <w:right w:w="-1" w:type="dxa"/>
            </w:tcMar>
          </w:tcPr>
          <w:p w14:paraId="762FF334" w14:textId="77777777" w:rsidR="00A338BD" w:rsidRPr="00A367E5" w:rsidRDefault="00AA0B36" w:rsidP="006A2125">
            <w:pPr>
              <w:jc w:val="left"/>
              <w:rPr>
                <w:rFonts w:cs="Times New Roman"/>
              </w:rPr>
            </w:pPr>
            <w:r w:rsidRPr="006A2125">
              <w:rPr>
                <w:rFonts w:cs="Times New Roman"/>
              </w:rPr>
              <w:t>Yue Li 2025</w:t>
            </w:r>
          </w:p>
        </w:tc>
        <w:tc>
          <w:tcPr>
            <w:tcW w:w="819" w:type="pct"/>
            <w:tcBorders>
              <w:top w:val="nil"/>
              <w:left w:val="nil"/>
              <w:bottom w:val="single" w:sz="12" w:space="0" w:color="auto"/>
              <w:right w:val="nil"/>
            </w:tcBorders>
            <w:tcMar>
              <w:top w:w="-1" w:type="dxa"/>
              <w:left w:w="-1" w:type="dxa"/>
              <w:bottom w:w="-1" w:type="dxa"/>
              <w:right w:w="-1" w:type="dxa"/>
            </w:tcMar>
          </w:tcPr>
          <w:p w14:paraId="28920AE7" w14:textId="77777777" w:rsidR="00A338BD" w:rsidRPr="00A367E5" w:rsidRDefault="00AA0B36" w:rsidP="00E33F48">
            <w:pPr>
              <w:jc w:val="center"/>
              <w:rPr>
                <w:rFonts w:cs="Times New Roman"/>
              </w:rPr>
            </w:pPr>
            <w:r w:rsidRPr="006A2125">
              <w:rPr>
                <w:rFonts w:cs="Times New Roman"/>
              </w:rPr>
              <w:t>Retrospective multi-center cohort study</w:t>
            </w:r>
          </w:p>
        </w:tc>
        <w:tc>
          <w:tcPr>
            <w:tcW w:w="408" w:type="pct"/>
            <w:tcBorders>
              <w:top w:val="nil"/>
              <w:left w:val="nil"/>
              <w:bottom w:val="single" w:sz="12" w:space="0" w:color="auto"/>
              <w:right w:val="nil"/>
            </w:tcBorders>
            <w:tcMar>
              <w:top w:w="-1" w:type="dxa"/>
              <w:left w:w="-1" w:type="dxa"/>
              <w:bottom w:w="-1" w:type="dxa"/>
              <w:right w:w="-1" w:type="dxa"/>
            </w:tcMar>
          </w:tcPr>
          <w:p w14:paraId="05B900E2" w14:textId="77777777" w:rsidR="00A338BD" w:rsidRPr="00A367E5" w:rsidRDefault="00AA0B36" w:rsidP="00E33F48">
            <w:pPr>
              <w:jc w:val="center"/>
              <w:rPr>
                <w:rFonts w:cs="Times New Roman"/>
              </w:rPr>
            </w:pPr>
            <w:r w:rsidRPr="006A2125">
              <w:rPr>
                <w:rFonts w:cs="Times New Roman"/>
              </w:rPr>
              <w:t>China</w:t>
            </w:r>
          </w:p>
        </w:tc>
        <w:tc>
          <w:tcPr>
            <w:tcW w:w="639" w:type="pct"/>
            <w:tcBorders>
              <w:top w:val="nil"/>
              <w:left w:val="nil"/>
              <w:bottom w:val="single" w:sz="12" w:space="0" w:color="auto"/>
              <w:right w:val="nil"/>
            </w:tcBorders>
            <w:tcMar>
              <w:top w:w="-1" w:type="dxa"/>
              <w:left w:w="-1" w:type="dxa"/>
              <w:bottom w:w="-1" w:type="dxa"/>
              <w:right w:w="-1" w:type="dxa"/>
            </w:tcMar>
          </w:tcPr>
          <w:p w14:paraId="2563A416" w14:textId="77777777" w:rsidR="00A338BD" w:rsidRPr="00A367E5" w:rsidRDefault="00AA0B36" w:rsidP="00E33F48">
            <w:pPr>
              <w:jc w:val="center"/>
              <w:rPr>
                <w:rFonts w:cs="Times New Roman"/>
              </w:rPr>
            </w:pPr>
            <w:r w:rsidRPr="006A2125">
              <w:rPr>
                <w:rFonts w:cs="Times New Roman"/>
              </w:rPr>
              <w:t>cancer patients</w:t>
            </w:r>
          </w:p>
        </w:tc>
        <w:tc>
          <w:tcPr>
            <w:tcW w:w="1122" w:type="pct"/>
            <w:tcBorders>
              <w:top w:val="nil"/>
              <w:left w:val="nil"/>
              <w:bottom w:val="single" w:sz="12" w:space="0" w:color="auto"/>
              <w:right w:val="nil"/>
            </w:tcBorders>
            <w:tcMar>
              <w:top w:w="-1" w:type="dxa"/>
              <w:left w:w="-1" w:type="dxa"/>
              <w:bottom w:w="-1" w:type="dxa"/>
              <w:right w:w="-1" w:type="dxa"/>
            </w:tcMar>
          </w:tcPr>
          <w:p w14:paraId="7A9AAC7E" w14:textId="77777777" w:rsidR="00A338BD" w:rsidRPr="00A367E5" w:rsidRDefault="00AA0B36" w:rsidP="00E33F48">
            <w:pPr>
              <w:jc w:val="center"/>
              <w:rPr>
                <w:rFonts w:cs="Times New Roman"/>
              </w:rPr>
            </w:pPr>
            <w:r w:rsidRPr="006A2125">
              <w:rPr>
                <w:rFonts w:cs="Times New Roman"/>
              </w:rPr>
              <w:t>27 hospitals in China</w:t>
            </w:r>
          </w:p>
        </w:tc>
        <w:tc>
          <w:tcPr>
            <w:tcW w:w="399" w:type="pct"/>
            <w:tcBorders>
              <w:top w:val="nil"/>
              <w:left w:val="nil"/>
              <w:bottom w:val="single" w:sz="12" w:space="0" w:color="auto"/>
              <w:right w:val="nil"/>
            </w:tcBorders>
            <w:tcMar>
              <w:top w:w="-1" w:type="dxa"/>
              <w:left w:w="-1" w:type="dxa"/>
              <w:bottom w:w="-1" w:type="dxa"/>
              <w:right w:w="-1" w:type="dxa"/>
            </w:tcMar>
          </w:tcPr>
          <w:p w14:paraId="1AD84913" w14:textId="77777777" w:rsidR="00A338BD" w:rsidRPr="00A367E5" w:rsidRDefault="00AA0B36" w:rsidP="00E33F48">
            <w:pPr>
              <w:jc w:val="center"/>
              <w:rPr>
                <w:rFonts w:cs="Times New Roman"/>
              </w:rPr>
            </w:pPr>
            <w:r w:rsidRPr="006A2125">
              <w:rPr>
                <w:rFonts w:cs="Times New Roman"/>
              </w:rPr>
              <w:t>3453</w:t>
            </w:r>
          </w:p>
        </w:tc>
        <w:tc>
          <w:tcPr>
            <w:tcW w:w="435" w:type="pct"/>
            <w:tcBorders>
              <w:top w:val="nil"/>
              <w:left w:val="nil"/>
              <w:bottom w:val="single" w:sz="12" w:space="0" w:color="auto"/>
              <w:right w:val="nil"/>
            </w:tcBorders>
            <w:tcMar>
              <w:top w:w="-1" w:type="dxa"/>
              <w:left w:w="-1" w:type="dxa"/>
              <w:bottom w:w="-1" w:type="dxa"/>
              <w:right w:w="-1" w:type="dxa"/>
            </w:tcMar>
          </w:tcPr>
          <w:p w14:paraId="76781592" w14:textId="77777777" w:rsidR="00A338BD" w:rsidRPr="00A367E5" w:rsidRDefault="00AA0B36" w:rsidP="00E33F48">
            <w:pPr>
              <w:jc w:val="center"/>
              <w:rPr>
                <w:rFonts w:cs="Times New Roman"/>
              </w:rPr>
            </w:pPr>
            <w:r w:rsidRPr="006A2125">
              <w:rPr>
                <w:rFonts w:cs="Times New Roman"/>
              </w:rPr>
              <w:t>15.20%</w:t>
            </w:r>
          </w:p>
        </w:tc>
        <w:tc>
          <w:tcPr>
            <w:tcW w:w="652" w:type="pct"/>
            <w:tcBorders>
              <w:top w:val="nil"/>
              <w:left w:val="nil"/>
              <w:bottom w:val="single" w:sz="12" w:space="0" w:color="auto"/>
              <w:right w:val="nil"/>
            </w:tcBorders>
            <w:tcMar>
              <w:top w:w="-1" w:type="dxa"/>
              <w:left w:w="-1" w:type="dxa"/>
              <w:bottom w:w="-1" w:type="dxa"/>
              <w:right w:w="-1" w:type="dxa"/>
            </w:tcMar>
          </w:tcPr>
          <w:p w14:paraId="77E080AA" w14:textId="77777777" w:rsidR="00A338BD" w:rsidRPr="00A367E5" w:rsidRDefault="00AA0B36" w:rsidP="00E33F48">
            <w:pPr>
              <w:jc w:val="center"/>
              <w:rPr>
                <w:rFonts w:cs="Times New Roman"/>
              </w:rPr>
            </w:pPr>
            <w:r w:rsidRPr="006A2125">
              <w:rPr>
                <w:rFonts w:cs="Times New Roman"/>
              </w:rPr>
              <w:t>vascular Doppler ultrasound</w:t>
            </w:r>
          </w:p>
        </w:tc>
      </w:tr>
    </w:tbl>
    <w:p w14:paraId="0BC3A5AB" w14:textId="77777777" w:rsidR="00A338BD" w:rsidRPr="00A367E5" w:rsidRDefault="00A338BD" w:rsidP="00E33F48">
      <w:pPr>
        <w:rPr>
          <w:rFonts w:cs="Times New Roman"/>
        </w:rPr>
      </w:pPr>
    </w:p>
    <w:p w14:paraId="6BB75647" w14:textId="4CD6A267" w:rsidR="00A338BD" w:rsidRPr="00A367E5" w:rsidRDefault="00AA0B36" w:rsidP="006A2125">
      <w:pPr>
        <w:rPr>
          <w:rFonts w:cs="Times New Roman"/>
          <w:color w:val="000000"/>
        </w:rPr>
      </w:pPr>
      <w:r w:rsidRPr="006A2125">
        <w:rPr>
          <w:rFonts w:cs="Times New Roman"/>
          <w:b/>
          <w:bCs/>
          <w:color w:val="000000"/>
        </w:rPr>
        <w:t>Table 2.</w:t>
      </w:r>
      <w:r w:rsidRPr="00A367E5">
        <w:rPr>
          <w:rFonts w:cs="Times New Roman"/>
          <w:color w:val="000000"/>
        </w:rPr>
        <w:t xml:space="preserve"> Information </w:t>
      </w:r>
      <w:r w:rsidR="007465CA">
        <w:rPr>
          <w:rFonts w:cs="Times New Roman"/>
          <w:color w:val="000000"/>
        </w:rPr>
        <w:t>on</w:t>
      </w:r>
      <w:r w:rsidR="007465CA" w:rsidRPr="00A367E5">
        <w:rPr>
          <w:rFonts w:cs="Times New Roman"/>
          <w:color w:val="000000"/>
        </w:rPr>
        <w:t xml:space="preserve"> </w:t>
      </w:r>
      <w:r w:rsidRPr="00A367E5">
        <w:rPr>
          <w:rFonts w:cs="Times New Roman"/>
          <w:color w:val="000000"/>
        </w:rPr>
        <w:t>the included prediction models</w:t>
      </w:r>
    </w:p>
    <w:tbl>
      <w:tblPr>
        <w:tblStyle w:val="TableGrid"/>
        <w:tblW w:w="5000" w:type="pct"/>
        <w:jc w:val="center"/>
        <w:tblBorders>
          <w:top w:val="none" w:sz="8" w:space="0" w:color="auto"/>
          <w:left w:val="none" w:sz="0" w:space="0" w:color="auto"/>
          <w:bottom w:val="none" w:sz="8" w:space="0" w:color="auto"/>
          <w:right w:val="none" w:sz="0" w:space="0" w:color="auto"/>
          <w:insideH w:val="none" w:sz="0" w:space="0" w:color="auto"/>
          <w:insideV w:val="none" w:sz="0" w:space="0" w:color="auto"/>
        </w:tblBorders>
        <w:tblLook w:val="04A0" w:firstRow="1" w:lastRow="0" w:firstColumn="1" w:lastColumn="0" w:noHBand="0" w:noVBand="1"/>
      </w:tblPr>
      <w:tblGrid>
        <w:gridCol w:w="722"/>
        <w:gridCol w:w="1507"/>
        <w:gridCol w:w="732"/>
        <w:gridCol w:w="1108"/>
        <w:gridCol w:w="1459"/>
        <w:gridCol w:w="931"/>
        <w:gridCol w:w="931"/>
        <w:gridCol w:w="1035"/>
        <w:gridCol w:w="1213"/>
      </w:tblGrid>
      <w:tr w:rsidR="00A338BD" w:rsidRPr="00A367E5" w14:paraId="408405EE" w14:textId="77777777" w:rsidTr="006A2125">
        <w:trPr>
          <w:tblHeader/>
          <w:jc w:val="center"/>
        </w:trPr>
        <w:tc>
          <w:tcPr>
            <w:tcW w:w="390" w:type="pct"/>
            <w:tcBorders>
              <w:top w:val="single" w:sz="12" w:space="0" w:color="auto"/>
              <w:left w:val="nil"/>
              <w:bottom w:val="nil"/>
              <w:right w:val="nil"/>
            </w:tcBorders>
            <w:tcMar>
              <w:top w:w="-1" w:type="dxa"/>
              <w:left w:w="-1" w:type="dxa"/>
              <w:bottom w:w="-1" w:type="dxa"/>
              <w:right w:w="-1" w:type="dxa"/>
            </w:tcMar>
          </w:tcPr>
          <w:p w14:paraId="7375D4BB" w14:textId="77777777" w:rsidR="00A338BD" w:rsidRPr="006A2125" w:rsidRDefault="00AA0B36" w:rsidP="006A2125">
            <w:pPr>
              <w:jc w:val="left"/>
              <w:rPr>
                <w:rFonts w:cs="Times New Roman"/>
                <w:b/>
                <w:bCs/>
              </w:rPr>
            </w:pPr>
            <w:r w:rsidRPr="006A2125">
              <w:rPr>
                <w:rFonts w:cs="Times New Roman"/>
                <w:b/>
                <w:bCs/>
              </w:rPr>
              <w:t>Author, year</w:t>
            </w:r>
          </w:p>
        </w:tc>
        <w:tc>
          <w:tcPr>
            <w:tcW w:w="615" w:type="pct"/>
            <w:tcBorders>
              <w:top w:val="single" w:sz="12" w:space="0" w:color="auto"/>
              <w:left w:val="nil"/>
              <w:bottom w:val="nil"/>
              <w:right w:val="nil"/>
            </w:tcBorders>
            <w:tcMar>
              <w:top w:w="-1" w:type="dxa"/>
              <w:left w:w="-1" w:type="dxa"/>
              <w:bottom w:w="-1" w:type="dxa"/>
              <w:right w:w="-1" w:type="dxa"/>
            </w:tcMar>
          </w:tcPr>
          <w:p w14:paraId="0A6EFC5A" w14:textId="77777777" w:rsidR="00A338BD" w:rsidRPr="006A2125" w:rsidRDefault="00AA0B36" w:rsidP="00E33F48">
            <w:pPr>
              <w:jc w:val="center"/>
              <w:rPr>
                <w:rFonts w:cs="Times New Roman"/>
                <w:b/>
                <w:bCs/>
              </w:rPr>
            </w:pPr>
            <w:r w:rsidRPr="006A2125">
              <w:rPr>
                <w:rFonts w:cs="Times New Roman"/>
                <w:b/>
                <w:bCs/>
              </w:rPr>
              <w:t>Model development</w:t>
            </w:r>
          </w:p>
        </w:tc>
        <w:tc>
          <w:tcPr>
            <w:tcW w:w="440" w:type="pct"/>
            <w:tcBorders>
              <w:top w:val="single" w:sz="12" w:space="0" w:color="auto"/>
              <w:left w:val="nil"/>
              <w:bottom w:val="nil"/>
              <w:right w:val="nil"/>
            </w:tcBorders>
            <w:tcMar>
              <w:top w:w="-1" w:type="dxa"/>
              <w:left w:w="-1" w:type="dxa"/>
              <w:bottom w:w="-1" w:type="dxa"/>
              <w:right w:w="-1" w:type="dxa"/>
            </w:tcMar>
          </w:tcPr>
          <w:p w14:paraId="5ED3CA42" w14:textId="77777777" w:rsidR="00A338BD" w:rsidRPr="006A2125" w:rsidRDefault="00AA0B36" w:rsidP="00E33F48">
            <w:pPr>
              <w:jc w:val="center"/>
              <w:rPr>
                <w:rFonts w:cs="Times New Roman"/>
                <w:b/>
                <w:bCs/>
              </w:rPr>
            </w:pPr>
            <w:r w:rsidRPr="006A2125">
              <w:rPr>
                <w:rFonts w:cs="Times New Roman"/>
                <w:b/>
                <w:bCs/>
              </w:rPr>
              <w:t>Missing data</w:t>
            </w:r>
          </w:p>
        </w:tc>
        <w:tc>
          <w:tcPr>
            <w:tcW w:w="665" w:type="pct"/>
            <w:tcBorders>
              <w:top w:val="single" w:sz="12" w:space="0" w:color="auto"/>
              <w:left w:val="nil"/>
              <w:bottom w:val="nil"/>
              <w:right w:val="nil"/>
            </w:tcBorders>
            <w:tcMar>
              <w:top w:w="-1" w:type="dxa"/>
              <w:left w:w="-1" w:type="dxa"/>
              <w:bottom w:w="-1" w:type="dxa"/>
              <w:right w:w="-1" w:type="dxa"/>
            </w:tcMar>
          </w:tcPr>
          <w:p w14:paraId="7E031D57" w14:textId="77777777" w:rsidR="00A338BD" w:rsidRPr="006A2125" w:rsidRDefault="00AA0B36" w:rsidP="00E33F48">
            <w:pPr>
              <w:jc w:val="center"/>
              <w:rPr>
                <w:rFonts w:cs="Times New Roman"/>
                <w:b/>
                <w:bCs/>
              </w:rPr>
            </w:pPr>
            <w:r w:rsidRPr="006A2125">
              <w:rPr>
                <w:rFonts w:cs="Times New Roman"/>
                <w:b/>
                <w:bCs/>
              </w:rPr>
              <w:t>Continuous variable processing method</w:t>
            </w:r>
          </w:p>
        </w:tc>
        <w:tc>
          <w:tcPr>
            <w:tcW w:w="546" w:type="pct"/>
            <w:tcBorders>
              <w:top w:val="single" w:sz="12" w:space="0" w:color="auto"/>
              <w:left w:val="nil"/>
              <w:bottom w:val="nil"/>
              <w:right w:val="nil"/>
            </w:tcBorders>
            <w:tcMar>
              <w:top w:w="-1" w:type="dxa"/>
              <w:left w:w="-1" w:type="dxa"/>
              <w:bottom w:w="-1" w:type="dxa"/>
              <w:right w:w="-1" w:type="dxa"/>
            </w:tcMar>
          </w:tcPr>
          <w:p w14:paraId="58898ADD" w14:textId="77777777" w:rsidR="00A338BD" w:rsidRPr="006A2125" w:rsidRDefault="00AA0B36" w:rsidP="00E33F48">
            <w:pPr>
              <w:jc w:val="center"/>
              <w:rPr>
                <w:rFonts w:cs="Times New Roman"/>
                <w:b/>
                <w:bCs/>
              </w:rPr>
            </w:pPr>
            <w:r w:rsidRPr="006A2125">
              <w:rPr>
                <w:rFonts w:cs="Times New Roman"/>
                <w:b/>
                <w:bCs/>
              </w:rPr>
              <w:t>Feature selection</w:t>
            </w:r>
          </w:p>
        </w:tc>
        <w:tc>
          <w:tcPr>
            <w:tcW w:w="499" w:type="pct"/>
            <w:tcBorders>
              <w:top w:val="single" w:sz="12" w:space="0" w:color="auto"/>
              <w:left w:val="nil"/>
              <w:bottom w:val="nil"/>
              <w:right w:val="nil"/>
            </w:tcBorders>
            <w:tcMar>
              <w:top w:w="-1" w:type="dxa"/>
              <w:left w:w="-1" w:type="dxa"/>
              <w:bottom w:w="-1" w:type="dxa"/>
              <w:right w:w="-1" w:type="dxa"/>
            </w:tcMar>
          </w:tcPr>
          <w:p w14:paraId="2FA12EA8" w14:textId="77777777" w:rsidR="00A338BD" w:rsidRPr="006A2125" w:rsidRDefault="00AA0B36" w:rsidP="00E33F48">
            <w:pPr>
              <w:jc w:val="center"/>
              <w:rPr>
                <w:rFonts w:cs="Times New Roman"/>
                <w:b/>
                <w:bCs/>
              </w:rPr>
            </w:pPr>
            <w:r w:rsidRPr="006A2125">
              <w:rPr>
                <w:rFonts w:cs="Times New Roman"/>
                <w:b/>
                <w:bCs/>
              </w:rPr>
              <w:t>Validation method</w:t>
            </w:r>
          </w:p>
        </w:tc>
        <w:tc>
          <w:tcPr>
            <w:tcW w:w="559" w:type="pct"/>
            <w:tcBorders>
              <w:top w:val="single" w:sz="12" w:space="0" w:color="auto"/>
              <w:left w:val="nil"/>
              <w:bottom w:val="nil"/>
              <w:right w:val="nil"/>
            </w:tcBorders>
            <w:tcMar>
              <w:top w:w="-1" w:type="dxa"/>
              <w:left w:w="-1" w:type="dxa"/>
              <w:bottom w:w="-1" w:type="dxa"/>
              <w:right w:w="-1" w:type="dxa"/>
            </w:tcMar>
          </w:tcPr>
          <w:p w14:paraId="5587ABDC" w14:textId="77777777" w:rsidR="00A338BD" w:rsidRPr="006A2125" w:rsidRDefault="00AA0B36" w:rsidP="00E33F48">
            <w:pPr>
              <w:jc w:val="center"/>
              <w:rPr>
                <w:rFonts w:cs="Times New Roman"/>
                <w:b/>
                <w:bCs/>
              </w:rPr>
            </w:pPr>
            <w:r w:rsidRPr="006A2125">
              <w:rPr>
                <w:rFonts w:cs="Times New Roman"/>
                <w:b/>
                <w:bCs/>
              </w:rPr>
              <w:t>Calibration method</w:t>
            </w:r>
          </w:p>
        </w:tc>
        <w:tc>
          <w:tcPr>
            <w:tcW w:w="621" w:type="pct"/>
            <w:tcBorders>
              <w:top w:val="single" w:sz="12" w:space="0" w:color="auto"/>
              <w:left w:val="nil"/>
              <w:bottom w:val="nil"/>
              <w:right w:val="nil"/>
            </w:tcBorders>
            <w:tcMar>
              <w:top w:w="-1" w:type="dxa"/>
              <w:left w:w="-1" w:type="dxa"/>
              <w:bottom w:w="-1" w:type="dxa"/>
              <w:right w:w="-1" w:type="dxa"/>
            </w:tcMar>
          </w:tcPr>
          <w:p w14:paraId="50D9060A" w14:textId="77777777" w:rsidR="00A338BD" w:rsidRPr="006A2125" w:rsidRDefault="00AA0B36" w:rsidP="00E33F48">
            <w:pPr>
              <w:jc w:val="center"/>
              <w:rPr>
                <w:rFonts w:cs="Times New Roman"/>
                <w:b/>
                <w:bCs/>
              </w:rPr>
            </w:pPr>
            <w:r w:rsidRPr="006A2125">
              <w:rPr>
                <w:rFonts w:cs="Times New Roman"/>
                <w:b/>
                <w:bCs/>
              </w:rPr>
              <w:t>Model performance</w:t>
            </w:r>
          </w:p>
        </w:tc>
        <w:tc>
          <w:tcPr>
            <w:tcW w:w="665" w:type="pct"/>
            <w:tcBorders>
              <w:top w:val="single" w:sz="12" w:space="0" w:color="auto"/>
              <w:left w:val="nil"/>
              <w:bottom w:val="nil"/>
              <w:right w:val="nil"/>
            </w:tcBorders>
            <w:tcMar>
              <w:top w:w="-1" w:type="dxa"/>
              <w:left w:w="-1" w:type="dxa"/>
              <w:bottom w:w="-1" w:type="dxa"/>
              <w:right w:w="-1" w:type="dxa"/>
            </w:tcMar>
          </w:tcPr>
          <w:p w14:paraId="30C995C9" w14:textId="77777777" w:rsidR="00A338BD" w:rsidRPr="006A2125" w:rsidRDefault="00AA0B36" w:rsidP="00E33F48">
            <w:pPr>
              <w:jc w:val="center"/>
              <w:rPr>
                <w:rFonts w:cs="Times New Roman"/>
                <w:b/>
                <w:bCs/>
              </w:rPr>
            </w:pPr>
            <w:r w:rsidRPr="006A2125">
              <w:rPr>
                <w:rFonts w:cs="Times New Roman"/>
                <w:b/>
                <w:bCs/>
              </w:rPr>
              <w:t>Features included</w:t>
            </w:r>
          </w:p>
        </w:tc>
      </w:tr>
      <w:tr w:rsidR="00A338BD" w:rsidRPr="00A367E5" w14:paraId="63099858" w14:textId="77777777" w:rsidTr="006A2125">
        <w:trPr>
          <w:jc w:val="center"/>
        </w:trPr>
        <w:tc>
          <w:tcPr>
            <w:tcW w:w="390" w:type="pct"/>
            <w:tcBorders>
              <w:top w:val="single" w:sz="4" w:space="0" w:color="auto"/>
              <w:left w:val="nil"/>
              <w:bottom w:val="nil"/>
              <w:right w:val="nil"/>
            </w:tcBorders>
            <w:tcMar>
              <w:top w:w="-1" w:type="dxa"/>
              <w:left w:w="-1" w:type="dxa"/>
              <w:bottom w:w="-1" w:type="dxa"/>
              <w:right w:w="-1" w:type="dxa"/>
            </w:tcMar>
          </w:tcPr>
          <w:p w14:paraId="23E440FF" w14:textId="77777777" w:rsidR="00A338BD" w:rsidRPr="006A2125" w:rsidRDefault="00AA0B36" w:rsidP="006A2125">
            <w:pPr>
              <w:jc w:val="left"/>
              <w:rPr>
                <w:rFonts w:cs="Times New Roman"/>
              </w:rPr>
            </w:pPr>
            <w:r w:rsidRPr="006A2125">
              <w:rPr>
                <w:rFonts w:cs="Times New Roman"/>
              </w:rPr>
              <w:t>Feifei Zhang 2024</w:t>
            </w:r>
          </w:p>
        </w:tc>
        <w:tc>
          <w:tcPr>
            <w:tcW w:w="615" w:type="pct"/>
            <w:tcBorders>
              <w:top w:val="single" w:sz="4" w:space="0" w:color="auto"/>
              <w:left w:val="nil"/>
              <w:bottom w:val="nil"/>
              <w:right w:val="nil"/>
            </w:tcBorders>
            <w:tcMar>
              <w:top w:w="-1" w:type="dxa"/>
              <w:left w:w="-1" w:type="dxa"/>
              <w:bottom w:w="-1" w:type="dxa"/>
              <w:right w:w="-1" w:type="dxa"/>
            </w:tcMar>
          </w:tcPr>
          <w:p w14:paraId="069E3FB2" w14:textId="77777777" w:rsidR="00A338BD" w:rsidRPr="006A2125" w:rsidRDefault="00AA0B36" w:rsidP="00E33F48">
            <w:pPr>
              <w:jc w:val="center"/>
              <w:rPr>
                <w:rFonts w:cs="Times New Roman"/>
              </w:rPr>
            </w:pPr>
            <w:r w:rsidRPr="006A2125">
              <w:rPr>
                <w:rFonts w:cs="Times New Roman"/>
              </w:rPr>
              <w:t>LASSO, SVM, GBM, RF</w:t>
            </w:r>
          </w:p>
        </w:tc>
        <w:tc>
          <w:tcPr>
            <w:tcW w:w="440" w:type="pct"/>
            <w:tcBorders>
              <w:top w:val="single" w:sz="4" w:space="0" w:color="auto"/>
              <w:left w:val="nil"/>
              <w:bottom w:val="nil"/>
              <w:right w:val="nil"/>
            </w:tcBorders>
            <w:tcMar>
              <w:top w:w="-1" w:type="dxa"/>
              <w:left w:w="-1" w:type="dxa"/>
              <w:bottom w:w="-1" w:type="dxa"/>
              <w:right w:w="-1" w:type="dxa"/>
            </w:tcMar>
          </w:tcPr>
          <w:p w14:paraId="7FFE46F5" w14:textId="77777777" w:rsidR="00A338BD" w:rsidRPr="006A2125" w:rsidRDefault="00AA0B36" w:rsidP="00E33F48">
            <w:pPr>
              <w:jc w:val="center"/>
              <w:rPr>
                <w:rFonts w:cs="Times New Roman"/>
              </w:rPr>
            </w:pPr>
            <w:r w:rsidRPr="006A2125">
              <w:rPr>
                <w:rFonts w:cs="Times New Roman"/>
              </w:rPr>
              <w:t>——</w:t>
            </w:r>
          </w:p>
        </w:tc>
        <w:tc>
          <w:tcPr>
            <w:tcW w:w="665" w:type="pct"/>
            <w:tcBorders>
              <w:top w:val="single" w:sz="4" w:space="0" w:color="auto"/>
              <w:left w:val="nil"/>
              <w:bottom w:val="nil"/>
              <w:right w:val="nil"/>
            </w:tcBorders>
            <w:tcMar>
              <w:top w:w="-1" w:type="dxa"/>
              <w:left w:w="-1" w:type="dxa"/>
              <w:bottom w:w="-1" w:type="dxa"/>
              <w:right w:w="-1" w:type="dxa"/>
            </w:tcMar>
          </w:tcPr>
          <w:p w14:paraId="58F52727" w14:textId="77777777" w:rsidR="00A338BD" w:rsidRPr="006A2125" w:rsidRDefault="00AA0B36" w:rsidP="00E33F48">
            <w:pPr>
              <w:jc w:val="center"/>
              <w:rPr>
                <w:rFonts w:cs="Times New Roman"/>
              </w:rPr>
            </w:pPr>
            <w:r w:rsidRPr="006A2125">
              <w:rPr>
                <w:rFonts w:cs="Times New Roman"/>
              </w:rPr>
              <w:t>Normalization Continuous variable</w:t>
            </w:r>
          </w:p>
        </w:tc>
        <w:tc>
          <w:tcPr>
            <w:tcW w:w="546" w:type="pct"/>
            <w:tcBorders>
              <w:top w:val="single" w:sz="4" w:space="0" w:color="auto"/>
              <w:left w:val="nil"/>
              <w:bottom w:val="nil"/>
              <w:right w:val="nil"/>
            </w:tcBorders>
            <w:tcMar>
              <w:top w:w="-1" w:type="dxa"/>
              <w:left w:w="-1" w:type="dxa"/>
              <w:bottom w:w="-1" w:type="dxa"/>
              <w:right w:w="-1" w:type="dxa"/>
            </w:tcMar>
          </w:tcPr>
          <w:p w14:paraId="4FEBF0A3" w14:textId="77777777" w:rsidR="00A338BD" w:rsidRPr="006A2125" w:rsidRDefault="00AA0B36" w:rsidP="00E33F48">
            <w:pPr>
              <w:jc w:val="center"/>
              <w:rPr>
                <w:rFonts w:cs="Times New Roman"/>
              </w:rPr>
            </w:pPr>
            <w:r w:rsidRPr="006A2125">
              <w:rPr>
                <w:rFonts w:cs="Times New Roman"/>
              </w:rPr>
              <w:t>multivariate LASSO logistic regression</w:t>
            </w:r>
          </w:p>
        </w:tc>
        <w:tc>
          <w:tcPr>
            <w:tcW w:w="499" w:type="pct"/>
            <w:tcBorders>
              <w:top w:val="single" w:sz="4" w:space="0" w:color="auto"/>
              <w:left w:val="nil"/>
              <w:bottom w:val="nil"/>
              <w:right w:val="nil"/>
            </w:tcBorders>
            <w:tcMar>
              <w:top w:w="-1" w:type="dxa"/>
              <w:left w:w="-1" w:type="dxa"/>
              <w:bottom w:w="-1" w:type="dxa"/>
              <w:right w:w="-1" w:type="dxa"/>
            </w:tcMar>
          </w:tcPr>
          <w:p w14:paraId="297B8584" w14:textId="77777777" w:rsidR="00A338BD" w:rsidRPr="006A2125" w:rsidRDefault="00AA0B36" w:rsidP="00E33F48">
            <w:pPr>
              <w:jc w:val="center"/>
              <w:rPr>
                <w:rFonts w:cs="Times New Roman"/>
              </w:rPr>
            </w:pPr>
            <w:r w:rsidRPr="006A2125">
              <w:rPr>
                <w:rFonts w:cs="Times New Roman"/>
              </w:rPr>
              <w:t>Random split validation</w:t>
            </w:r>
          </w:p>
        </w:tc>
        <w:tc>
          <w:tcPr>
            <w:tcW w:w="559" w:type="pct"/>
            <w:tcBorders>
              <w:top w:val="single" w:sz="4" w:space="0" w:color="auto"/>
              <w:left w:val="nil"/>
              <w:bottom w:val="nil"/>
              <w:right w:val="nil"/>
            </w:tcBorders>
            <w:tcMar>
              <w:top w:w="-1" w:type="dxa"/>
              <w:left w:w="-1" w:type="dxa"/>
              <w:bottom w:w="-1" w:type="dxa"/>
              <w:right w:w="-1" w:type="dxa"/>
            </w:tcMar>
          </w:tcPr>
          <w:p w14:paraId="02BDECCD" w14:textId="77777777" w:rsidR="00A338BD" w:rsidRPr="006A2125" w:rsidRDefault="00AA0B36" w:rsidP="00E33F48">
            <w:pPr>
              <w:jc w:val="center"/>
              <w:rPr>
                <w:rFonts w:cs="Times New Roman"/>
              </w:rPr>
            </w:pPr>
            <w:r w:rsidRPr="006A2125">
              <w:rPr>
                <w:rFonts w:cs="Times New Roman"/>
              </w:rPr>
              <w:t>——</w:t>
            </w:r>
          </w:p>
        </w:tc>
        <w:tc>
          <w:tcPr>
            <w:tcW w:w="621" w:type="pct"/>
            <w:tcBorders>
              <w:top w:val="single" w:sz="4" w:space="0" w:color="auto"/>
              <w:left w:val="nil"/>
              <w:bottom w:val="nil"/>
              <w:right w:val="nil"/>
            </w:tcBorders>
            <w:tcMar>
              <w:top w:w="-1" w:type="dxa"/>
              <w:left w:w="-1" w:type="dxa"/>
              <w:bottom w:w="-1" w:type="dxa"/>
              <w:right w:w="-1" w:type="dxa"/>
            </w:tcMar>
          </w:tcPr>
          <w:p w14:paraId="4B3231C3" w14:textId="77777777" w:rsidR="00A338BD" w:rsidRPr="006A2125" w:rsidRDefault="00AA0B36" w:rsidP="00E33F48">
            <w:pPr>
              <w:jc w:val="center"/>
              <w:rPr>
                <w:rFonts w:cs="Times New Roman"/>
              </w:rPr>
            </w:pPr>
            <w:r w:rsidRPr="006A2125">
              <w:rPr>
                <w:rFonts w:cs="Times New Roman"/>
              </w:rPr>
              <w:t>B: 0.790</w:t>
            </w:r>
          </w:p>
        </w:tc>
        <w:tc>
          <w:tcPr>
            <w:tcW w:w="665" w:type="pct"/>
            <w:tcBorders>
              <w:top w:val="single" w:sz="4" w:space="0" w:color="auto"/>
              <w:left w:val="nil"/>
              <w:bottom w:val="nil"/>
              <w:right w:val="nil"/>
            </w:tcBorders>
            <w:tcMar>
              <w:top w:w="-1" w:type="dxa"/>
              <w:left w:w="-1" w:type="dxa"/>
              <w:bottom w:w="-1" w:type="dxa"/>
              <w:right w:w="-1" w:type="dxa"/>
            </w:tcMar>
          </w:tcPr>
          <w:p w14:paraId="5FABF602" w14:textId="77777777" w:rsidR="00A338BD" w:rsidRPr="006A2125" w:rsidRDefault="00AA0B36" w:rsidP="00E33F48">
            <w:pPr>
              <w:jc w:val="center"/>
              <w:rPr>
                <w:rFonts w:cs="Times New Roman"/>
              </w:rPr>
            </w:pPr>
            <w:r w:rsidRPr="006A2125">
              <w:rPr>
                <w:rFonts w:cs="Times New Roman"/>
              </w:rPr>
              <w:t>BMI, diabetic status and age</w:t>
            </w:r>
          </w:p>
        </w:tc>
      </w:tr>
      <w:tr w:rsidR="00A338BD" w:rsidRPr="00A367E5" w14:paraId="2787CA55" w14:textId="77777777" w:rsidTr="006A2125">
        <w:trPr>
          <w:jc w:val="center"/>
        </w:trPr>
        <w:tc>
          <w:tcPr>
            <w:tcW w:w="390" w:type="pct"/>
            <w:tcBorders>
              <w:top w:val="nil"/>
              <w:left w:val="nil"/>
              <w:bottom w:val="nil"/>
              <w:right w:val="nil"/>
            </w:tcBorders>
            <w:tcMar>
              <w:top w:w="-1" w:type="dxa"/>
              <w:left w:w="-1" w:type="dxa"/>
              <w:bottom w:w="-1" w:type="dxa"/>
              <w:right w:w="-1" w:type="dxa"/>
            </w:tcMar>
          </w:tcPr>
          <w:p w14:paraId="02265E36" w14:textId="77777777" w:rsidR="00A338BD" w:rsidRPr="006A2125" w:rsidRDefault="00AA0B36" w:rsidP="006A2125">
            <w:pPr>
              <w:jc w:val="left"/>
              <w:rPr>
                <w:rFonts w:cs="Times New Roman"/>
              </w:rPr>
            </w:pPr>
            <w:r w:rsidRPr="006A2125">
              <w:rPr>
                <w:rFonts w:cs="Times New Roman"/>
              </w:rPr>
              <w:t>Guiyuan Ma 2024</w:t>
            </w:r>
          </w:p>
        </w:tc>
        <w:tc>
          <w:tcPr>
            <w:tcW w:w="615" w:type="pct"/>
            <w:tcBorders>
              <w:top w:val="nil"/>
              <w:left w:val="nil"/>
              <w:bottom w:val="nil"/>
              <w:right w:val="nil"/>
            </w:tcBorders>
            <w:tcMar>
              <w:top w:w="-1" w:type="dxa"/>
              <w:left w:w="-1" w:type="dxa"/>
              <w:bottom w:w="-1" w:type="dxa"/>
              <w:right w:w="-1" w:type="dxa"/>
            </w:tcMar>
          </w:tcPr>
          <w:p w14:paraId="14F8E2DC" w14:textId="77777777" w:rsidR="00A338BD" w:rsidRPr="006A2125" w:rsidRDefault="00AA0B36" w:rsidP="00E33F48">
            <w:pPr>
              <w:jc w:val="center"/>
              <w:rPr>
                <w:rFonts w:cs="Times New Roman"/>
              </w:rPr>
            </w:pPr>
            <w:r w:rsidRPr="006A2125">
              <w:rPr>
                <w:rFonts w:cs="Times New Roman"/>
              </w:rPr>
              <w:t>LR, RF, SVM</w:t>
            </w:r>
          </w:p>
        </w:tc>
        <w:tc>
          <w:tcPr>
            <w:tcW w:w="440" w:type="pct"/>
            <w:tcBorders>
              <w:top w:val="nil"/>
              <w:left w:val="nil"/>
              <w:bottom w:val="nil"/>
              <w:right w:val="nil"/>
            </w:tcBorders>
            <w:tcMar>
              <w:top w:w="-1" w:type="dxa"/>
              <w:left w:w="-1" w:type="dxa"/>
              <w:bottom w:w="-1" w:type="dxa"/>
              <w:right w:w="-1" w:type="dxa"/>
            </w:tcMar>
          </w:tcPr>
          <w:p w14:paraId="2B23CFF7" w14:textId="77777777" w:rsidR="00A338BD" w:rsidRPr="006A2125" w:rsidRDefault="00AA0B36" w:rsidP="00E33F48">
            <w:pPr>
              <w:jc w:val="center"/>
              <w:rPr>
                <w:rFonts w:cs="Times New Roman"/>
              </w:rPr>
            </w:pPr>
            <w:r w:rsidRPr="006A2125">
              <w:rPr>
                <w:rFonts w:cs="Times New Roman"/>
              </w:rPr>
              <w:t>Complete Case Analysis</w:t>
            </w:r>
          </w:p>
        </w:tc>
        <w:tc>
          <w:tcPr>
            <w:tcW w:w="665" w:type="pct"/>
            <w:tcBorders>
              <w:top w:val="nil"/>
              <w:left w:val="nil"/>
              <w:bottom w:val="nil"/>
              <w:right w:val="nil"/>
            </w:tcBorders>
            <w:tcMar>
              <w:top w:w="-1" w:type="dxa"/>
              <w:left w:w="-1" w:type="dxa"/>
              <w:bottom w:w="-1" w:type="dxa"/>
              <w:right w:w="-1" w:type="dxa"/>
            </w:tcMar>
          </w:tcPr>
          <w:p w14:paraId="17EE107F" w14:textId="77777777" w:rsidR="00A338BD" w:rsidRPr="006A2125" w:rsidRDefault="00AA0B36" w:rsidP="00E33F48">
            <w:pPr>
              <w:jc w:val="center"/>
              <w:rPr>
                <w:rFonts w:cs="Times New Roman"/>
              </w:rPr>
            </w:pPr>
            <w:r w:rsidRPr="006A2125">
              <w:rPr>
                <w:rFonts w:cs="Times New Roman"/>
              </w:rPr>
              <w:t>Categorization</w:t>
            </w:r>
          </w:p>
        </w:tc>
        <w:tc>
          <w:tcPr>
            <w:tcW w:w="546" w:type="pct"/>
            <w:tcBorders>
              <w:top w:val="nil"/>
              <w:left w:val="nil"/>
              <w:bottom w:val="nil"/>
              <w:right w:val="nil"/>
            </w:tcBorders>
            <w:tcMar>
              <w:top w:w="-1" w:type="dxa"/>
              <w:left w:w="-1" w:type="dxa"/>
              <w:bottom w:w="-1" w:type="dxa"/>
              <w:right w:w="-1" w:type="dxa"/>
            </w:tcMar>
          </w:tcPr>
          <w:p w14:paraId="22FBA2D8" w14:textId="77777777" w:rsidR="00A338BD" w:rsidRPr="006A2125" w:rsidRDefault="00AA0B36" w:rsidP="00E33F48">
            <w:pPr>
              <w:jc w:val="center"/>
              <w:rPr>
                <w:rFonts w:cs="Times New Roman"/>
              </w:rPr>
            </w:pPr>
            <w:r w:rsidRPr="006A2125">
              <w:rPr>
                <w:rFonts w:cs="Times New Roman"/>
              </w:rPr>
              <w:t>LASSO</w:t>
            </w:r>
          </w:p>
        </w:tc>
        <w:tc>
          <w:tcPr>
            <w:tcW w:w="499" w:type="pct"/>
            <w:tcBorders>
              <w:top w:val="nil"/>
              <w:left w:val="nil"/>
              <w:bottom w:val="nil"/>
              <w:right w:val="nil"/>
            </w:tcBorders>
            <w:tcMar>
              <w:top w:w="-1" w:type="dxa"/>
              <w:left w:w="-1" w:type="dxa"/>
              <w:bottom w:w="-1" w:type="dxa"/>
              <w:right w:w="-1" w:type="dxa"/>
            </w:tcMar>
          </w:tcPr>
          <w:p w14:paraId="2AA2EF9E" w14:textId="77777777" w:rsidR="00A338BD" w:rsidRPr="006A2125" w:rsidRDefault="00AA0B36" w:rsidP="00E33F48">
            <w:pPr>
              <w:jc w:val="center"/>
              <w:rPr>
                <w:rFonts w:cs="Times New Roman"/>
              </w:rPr>
            </w:pPr>
            <w:r w:rsidRPr="006A2125">
              <w:rPr>
                <w:rFonts w:cs="Times New Roman"/>
              </w:rPr>
              <w:t>Random split validation</w:t>
            </w:r>
          </w:p>
        </w:tc>
        <w:tc>
          <w:tcPr>
            <w:tcW w:w="559" w:type="pct"/>
            <w:tcBorders>
              <w:top w:val="nil"/>
              <w:left w:val="nil"/>
              <w:bottom w:val="nil"/>
              <w:right w:val="nil"/>
            </w:tcBorders>
            <w:tcMar>
              <w:top w:w="-1" w:type="dxa"/>
              <w:left w:w="-1" w:type="dxa"/>
              <w:bottom w:w="-1" w:type="dxa"/>
              <w:right w:w="-1" w:type="dxa"/>
            </w:tcMar>
          </w:tcPr>
          <w:p w14:paraId="47CF4E40" w14:textId="77777777" w:rsidR="00A338BD" w:rsidRPr="006A2125" w:rsidRDefault="00AA0B36" w:rsidP="00E33F48">
            <w:pPr>
              <w:jc w:val="center"/>
              <w:rPr>
                <w:rFonts w:cs="Times New Roman"/>
              </w:rPr>
            </w:pPr>
            <w:r w:rsidRPr="006A2125">
              <w:rPr>
                <w:rFonts w:cs="Times New Roman"/>
              </w:rPr>
              <w:t>H-L test</w:t>
            </w:r>
          </w:p>
        </w:tc>
        <w:tc>
          <w:tcPr>
            <w:tcW w:w="621" w:type="pct"/>
            <w:tcBorders>
              <w:top w:val="nil"/>
              <w:left w:val="nil"/>
              <w:bottom w:val="nil"/>
              <w:right w:val="nil"/>
            </w:tcBorders>
            <w:tcMar>
              <w:top w:w="-1" w:type="dxa"/>
              <w:left w:w="-1" w:type="dxa"/>
              <w:bottom w:w="-1" w:type="dxa"/>
              <w:right w:w="-1" w:type="dxa"/>
            </w:tcMar>
          </w:tcPr>
          <w:p w14:paraId="76F9BC85" w14:textId="77777777" w:rsidR="00A338BD" w:rsidRPr="006A2125" w:rsidRDefault="00AA0B36" w:rsidP="00E33F48">
            <w:pPr>
              <w:jc w:val="center"/>
              <w:rPr>
                <w:rFonts w:cs="Times New Roman"/>
              </w:rPr>
            </w:pPr>
            <w:r w:rsidRPr="006A2125">
              <w:rPr>
                <w:rFonts w:cs="Times New Roman"/>
              </w:rPr>
              <w:t>A: 0.868</w:t>
            </w:r>
          </w:p>
          <w:p w14:paraId="65C24143" w14:textId="77777777" w:rsidR="00A338BD" w:rsidRPr="006A2125" w:rsidRDefault="00AA0B36" w:rsidP="00E33F48">
            <w:pPr>
              <w:jc w:val="center"/>
              <w:rPr>
                <w:rFonts w:cs="Times New Roman"/>
              </w:rPr>
            </w:pPr>
            <w:r w:rsidRPr="006A2125">
              <w:rPr>
                <w:rFonts w:cs="Times New Roman"/>
              </w:rPr>
              <w:t>B: 0.806</w:t>
            </w:r>
            <w:r w:rsidRPr="006A2125">
              <w:rPr>
                <w:rFonts w:cs="Times New Roman"/>
              </w:rPr>
              <w:br/>
              <w:t>C: 0.708</w:t>
            </w:r>
          </w:p>
        </w:tc>
        <w:tc>
          <w:tcPr>
            <w:tcW w:w="665" w:type="pct"/>
            <w:tcBorders>
              <w:top w:val="nil"/>
              <w:left w:val="nil"/>
              <w:bottom w:val="nil"/>
              <w:right w:val="nil"/>
            </w:tcBorders>
            <w:tcMar>
              <w:top w:w="-1" w:type="dxa"/>
              <w:left w:w="-1" w:type="dxa"/>
              <w:bottom w:w="-1" w:type="dxa"/>
              <w:right w:w="-1" w:type="dxa"/>
            </w:tcMar>
          </w:tcPr>
          <w:p w14:paraId="684E866C" w14:textId="77777777" w:rsidR="00A338BD" w:rsidRPr="006A2125" w:rsidRDefault="00AA0B36" w:rsidP="00E33F48">
            <w:pPr>
              <w:jc w:val="center"/>
              <w:rPr>
                <w:rFonts w:cs="Times New Roman"/>
              </w:rPr>
            </w:pPr>
            <w:r w:rsidRPr="006A2125">
              <w:rPr>
                <w:rFonts w:cs="Times New Roman"/>
              </w:rPr>
              <w:t xml:space="preserve">Age, catheterisation method, catheter valve, catheter material, infection, insertion history, D-dimer concentration, operation history </w:t>
            </w:r>
            <w:r w:rsidRPr="006A2125">
              <w:rPr>
                <w:rFonts w:cs="Times New Roman"/>
              </w:rPr>
              <w:lastRenderedPageBreak/>
              <w:t>anaemia, diabetes and targeted drugs</w:t>
            </w:r>
          </w:p>
        </w:tc>
      </w:tr>
      <w:tr w:rsidR="00A338BD" w:rsidRPr="00A367E5" w14:paraId="08E8C536" w14:textId="77777777" w:rsidTr="006A2125">
        <w:trPr>
          <w:jc w:val="center"/>
        </w:trPr>
        <w:tc>
          <w:tcPr>
            <w:tcW w:w="390" w:type="pct"/>
            <w:tcBorders>
              <w:top w:val="nil"/>
              <w:left w:val="nil"/>
              <w:bottom w:val="nil"/>
              <w:right w:val="nil"/>
            </w:tcBorders>
            <w:tcMar>
              <w:top w:w="-1" w:type="dxa"/>
              <w:left w:w="-1" w:type="dxa"/>
              <w:bottom w:w="-1" w:type="dxa"/>
              <w:right w:w="-1" w:type="dxa"/>
            </w:tcMar>
          </w:tcPr>
          <w:p w14:paraId="1F69E457" w14:textId="77777777" w:rsidR="00A338BD" w:rsidRPr="006A2125" w:rsidRDefault="00AA0B36" w:rsidP="006A2125">
            <w:pPr>
              <w:jc w:val="left"/>
              <w:rPr>
                <w:rFonts w:cs="Times New Roman"/>
              </w:rPr>
            </w:pPr>
            <w:r w:rsidRPr="006A2125">
              <w:rPr>
                <w:rFonts w:cs="Times New Roman"/>
              </w:rPr>
              <w:lastRenderedPageBreak/>
              <w:t>Hankui Hu 2024</w:t>
            </w:r>
          </w:p>
        </w:tc>
        <w:tc>
          <w:tcPr>
            <w:tcW w:w="615" w:type="pct"/>
            <w:tcBorders>
              <w:top w:val="nil"/>
              <w:left w:val="nil"/>
              <w:bottom w:val="nil"/>
              <w:right w:val="nil"/>
            </w:tcBorders>
            <w:tcMar>
              <w:top w:w="-1" w:type="dxa"/>
              <w:left w:w="-1" w:type="dxa"/>
              <w:bottom w:w="-1" w:type="dxa"/>
              <w:right w:w="-1" w:type="dxa"/>
            </w:tcMar>
          </w:tcPr>
          <w:p w14:paraId="3C699FB1" w14:textId="77777777" w:rsidR="00A338BD" w:rsidRPr="006A2125" w:rsidRDefault="00AA0B36" w:rsidP="00E33F48">
            <w:pPr>
              <w:jc w:val="center"/>
              <w:rPr>
                <w:rFonts w:cs="Times New Roman"/>
              </w:rPr>
            </w:pPr>
            <w:r w:rsidRPr="006A2125">
              <w:rPr>
                <w:rFonts w:cs="Times New Roman"/>
              </w:rPr>
              <w:t>ML-seeley-LASSO, ML-LASSO</w:t>
            </w:r>
          </w:p>
        </w:tc>
        <w:tc>
          <w:tcPr>
            <w:tcW w:w="440" w:type="pct"/>
            <w:tcBorders>
              <w:top w:val="nil"/>
              <w:left w:val="nil"/>
              <w:bottom w:val="nil"/>
              <w:right w:val="nil"/>
            </w:tcBorders>
            <w:tcMar>
              <w:top w:w="-1" w:type="dxa"/>
              <w:left w:w="-1" w:type="dxa"/>
              <w:bottom w:w="-1" w:type="dxa"/>
              <w:right w:w="-1" w:type="dxa"/>
            </w:tcMar>
          </w:tcPr>
          <w:p w14:paraId="3B202B15" w14:textId="77777777" w:rsidR="00A338BD" w:rsidRPr="006A2125" w:rsidRDefault="00AA0B36" w:rsidP="00E33F48">
            <w:pPr>
              <w:jc w:val="center"/>
              <w:rPr>
                <w:rFonts w:cs="Times New Roman"/>
              </w:rPr>
            </w:pPr>
            <w:r w:rsidRPr="006A2125">
              <w:rPr>
                <w:rFonts w:cs="Times New Roman"/>
              </w:rPr>
              <w:t>——</w:t>
            </w:r>
          </w:p>
        </w:tc>
        <w:tc>
          <w:tcPr>
            <w:tcW w:w="665" w:type="pct"/>
            <w:tcBorders>
              <w:top w:val="nil"/>
              <w:left w:val="nil"/>
              <w:bottom w:val="nil"/>
              <w:right w:val="nil"/>
            </w:tcBorders>
            <w:tcMar>
              <w:top w:w="-1" w:type="dxa"/>
              <w:left w:w="-1" w:type="dxa"/>
              <w:bottom w:w="-1" w:type="dxa"/>
              <w:right w:w="-1" w:type="dxa"/>
            </w:tcMar>
          </w:tcPr>
          <w:p w14:paraId="5C21A00A" w14:textId="77777777" w:rsidR="00A338BD" w:rsidRPr="006A2125" w:rsidRDefault="00AA0B36" w:rsidP="00E33F48">
            <w:pPr>
              <w:jc w:val="center"/>
              <w:rPr>
                <w:rFonts w:cs="Times New Roman"/>
              </w:rPr>
            </w:pPr>
            <w:r w:rsidRPr="006A2125">
              <w:rPr>
                <w:rFonts w:cs="Times New Roman"/>
              </w:rPr>
              <w:t>Mixed Processing</w:t>
            </w:r>
          </w:p>
        </w:tc>
        <w:tc>
          <w:tcPr>
            <w:tcW w:w="546" w:type="pct"/>
            <w:tcBorders>
              <w:top w:val="nil"/>
              <w:left w:val="nil"/>
              <w:bottom w:val="nil"/>
              <w:right w:val="nil"/>
            </w:tcBorders>
            <w:tcMar>
              <w:top w:w="-1" w:type="dxa"/>
              <w:left w:w="-1" w:type="dxa"/>
              <w:bottom w:w="-1" w:type="dxa"/>
              <w:right w:w="-1" w:type="dxa"/>
            </w:tcMar>
          </w:tcPr>
          <w:p w14:paraId="1105908E" w14:textId="77777777" w:rsidR="00A338BD" w:rsidRPr="006A2125" w:rsidRDefault="00AA0B36" w:rsidP="00E33F48">
            <w:pPr>
              <w:jc w:val="center"/>
              <w:rPr>
                <w:rFonts w:cs="Times New Roman"/>
              </w:rPr>
            </w:pPr>
            <w:r w:rsidRPr="006A2125">
              <w:rPr>
                <w:rFonts w:cs="Times New Roman"/>
              </w:rPr>
              <w:t>LASSO</w:t>
            </w:r>
          </w:p>
        </w:tc>
        <w:tc>
          <w:tcPr>
            <w:tcW w:w="499" w:type="pct"/>
            <w:tcBorders>
              <w:top w:val="nil"/>
              <w:left w:val="nil"/>
              <w:bottom w:val="nil"/>
              <w:right w:val="nil"/>
            </w:tcBorders>
            <w:tcMar>
              <w:top w:w="-1" w:type="dxa"/>
              <w:left w:w="-1" w:type="dxa"/>
              <w:bottom w:w="-1" w:type="dxa"/>
              <w:right w:w="-1" w:type="dxa"/>
            </w:tcMar>
          </w:tcPr>
          <w:p w14:paraId="1D8740CD" w14:textId="77777777" w:rsidR="00A338BD" w:rsidRPr="006A2125" w:rsidRDefault="00AA0B36" w:rsidP="00E33F48">
            <w:pPr>
              <w:jc w:val="center"/>
              <w:rPr>
                <w:rFonts w:cs="Times New Roman"/>
              </w:rPr>
            </w:pPr>
            <w:r w:rsidRPr="006A2125">
              <w:rPr>
                <w:rFonts w:cs="Times New Roman"/>
              </w:rPr>
              <w:t>——</w:t>
            </w:r>
          </w:p>
        </w:tc>
        <w:tc>
          <w:tcPr>
            <w:tcW w:w="559" w:type="pct"/>
            <w:tcBorders>
              <w:top w:val="nil"/>
              <w:left w:val="nil"/>
              <w:bottom w:val="nil"/>
              <w:right w:val="nil"/>
            </w:tcBorders>
            <w:tcMar>
              <w:top w:w="-1" w:type="dxa"/>
              <w:left w:w="-1" w:type="dxa"/>
              <w:bottom w:w="-1" w:type="dxa"/>
              <w:right w:w="-1" w:type="dxa"/>
            </w:tcMar>
          </w:tcPr>
          <w:p w14:paraId="68CDA833" w14:textId="77777777" w:rsidR="00A338BD" w:rsidRPr="006A2125" w:rsidRDefault="00AA0B36" w:rsidP="00E33F48">
            <w:pPr>
              <w:jc w:val="center"/>
              <w:rPr>
                <w:rFonts w:cs="Times New Roman"/>
              </w:rPr>
            </w:pPr>
            <w:r w:rsidRPr="006A2125">
              <w:rPr>
                <w:rFonts w:cs="Times New Roman"/>
              </w:rPr>
              <w:t>——</w:t>
            </w:r>
          </w:p>
        </w:tc>
        <w:tc>
          <w:tcPr>
            <w:tcW w:w="621" w:type="pct"/>
            <w:tcBorders>
              <w:top w:val="nil"/>
              <w:left w:val="nil"/>
              <w:bottom w:val="nil"/>
              <w:right w:val="nil"/>
            </w:tcBorders>
            <w:tcMar>
              <w:top w:w="-1" w:type="dxa"/>
              <w:left w:w="-1" w:type="dxa"/>
              <w:bottom w:w="-1" w:type="dxa"/>
              <w:right w:w="-1" w:type="dxa"/>
            </w:tcMar>
          </w:tcPr>
          <w:p w14:paraId="34BAA16B" w14:textId="77777777" w:rsidR="00A338BD" w:rsidRPr="006A2125" w:rsidRDefault="00AA0B36" w:rsidP="00E33F48">
            <w:pPr>
              <w:jc w:val="center"/>
              <w:rPr>
                <w:rFonts w:cs="Times New Roman"/>
              </w:rPr>
            </w:pPr>
            <w:r w:rsidRPr="006A2125">
              <w:rPr>
                <w:rFonts w:cs="Times New Roman"/>
              </w:rPr>
              <w:t>B: 0.856</w:t>
            </w:r>
          </w:p>
        </w:tc>
        <w:tc>
          <w:tcPr>
            <w:tcW w:w="665" w:type="pct"/>
            <w:tcBorders>
              <w:top w:val="nil"/>
              <w:left w:val="nil"/>
              <w:bottom w:val="nil"/>
              <w:right w:val="nil"/>
            </w:tcBorders>
            <w:tcMar>
              <w:top w:w="-1" w:type="dxa"/>
              <w:left w:w="-1" w:type="dxa"/>
              <w:bottom w:w="-1" w:type="dxa"/>
              <w:right w:w="-1" w:type="dxa"/>
            </w:tcMar>
          </w:tcPr>
          <w:p w14:paraId="76CF4721" w14:textId="77777777" w:rsidR="00A338BD" w:rsidRPr="006A2125" w:rsidRDefault="00AA0B36" w:rsidP="00E33F48">
            <w:pPr>
              <w:jc w:val="center"/>
              <w:rPr>
                <w:rFonts w:cs="Times New Roman"/>
              </w:rPr>
            </w:pPr>
            <w:r w:rsidRPr="006A2125">
              <w:rPr>
                <w:rFonts w:cs="Times New Roman"/>
              </w:rPr>
              <w:t>BMI, smoking, family history of DVT, NRS2002</w:t>
            </w:r>
          </w:p>
        </w:tc>
      </w:tr>
      <w:tr w:rsidR="00A338BD" w:rsidRPr="00A367E5" w14:paraId="643A9D6E" w14:textId="77777777" w:rsidTr="006A2125">
        <w:trPr>
          <w:jc w:val="center"/>
        </w:trPr>
        <w:tc>
          <w:tcPr>
            <w:tcW w:w="390" w:type="pct"/>
            <w:tcBorders>
              <w:top w:val="nil"/>
              <w:left w:val="nil"/>
              <w:bottom w:val="nil"/>
              <w:right w:val="nil"/>
            </w:tcBorders>
            <w:tcMar>
              <w:top w:w="-1" w:type="dxa"/>
              <w:left w:w="-1" w:type="dxa"/>
              <w:bottom w:w="-1" w:type="dxa"/>
              <w:right w:w="-1" w:type="dxa"/>
            </w:tcMar>
          </w:tcPr>
          <w:p w14:paraId="64E264C8" w14:textId="77777777" w:rsidR="00A338BD" w:rsidRPr="006A2125" w:rsidRDefault="00AA0B36" w:rsidP="006A2125">
            <w:pPr>
              <w:jc w:val="left"/>
              <w:rPr>
                <w:rFonts w:cs="Times New Roman"/>
              </w:rPr>
            </w:pPr>
            <w:r w:rsidRPr="006A2125">
              <w:rPr>
                <w:rFonts w:cs="Times New Roman"/>
              </w:rPr>
              <w:t>Jianqin Fu 2022</w:t>
            </w:r>
          </w:p>
        </w:tc>
        <w:tc>
          <w:tcPr>
            <w:tcW w:w="615" w:type="pct"/>
            <w:tcBorders>
              <w:top w:val="nil"/>
              <w:left w:val="nil"/>
              <w:bottom w:val="nil"/>
              <w:right w:val="nil"/>
            </w:tcBorders>
            <w:tcMar>
              <w:top w:w="-1" w:type="dxa"/>
              <w:left w:w="-1" w:type="dxa"/>
              <w:bottom w:w="-1" w:type="dxa"/>
              <w:right w:w="-1" w:type="dxa"/>
            </w:tcMar>
          </w:tcPr>
          <w:p w14:paraId="5C414763" w14:textId="77777777" w:rsidR="00A338BD" w:rsidRPr="006A2125" w:rsidRDefault="00AA0B36" w:rsidP="00E33F48">
            <w:pPr>
              <w:jc w:val="center"/>
              <w:rPr>
                <w:rFonts w:cs="Times New Roman"/>
              </w:rPr>
            </w:pPr>
            <w:r w:rsidRPr="006A2125">
              <w:rPr>
                <w:rFonts w:cs="Times New Roman"/>
              </w:rPr>
              <w:t>ANN</w:t>
            </w:r>
          </w:p>
        </w:tc>
        <w:tc>
          <w:tcPr>
            <w:tcW w:w="440" w:type="pct"/>
            <w:tcBorders>
              <w:top w:val="nil"/>
              <w:left w:val="nil"/>
              <w:bottom w:val="nil"/>
              <w:right w:val="nil"/>
            </w:tcBorders>
            <w:tcMar>
              <w:top w:w="-1" w:type="dxa"/>
              <w:left w:w="-1" w:type="dxa"/>
              <w:bottom w:w="-1" w:type="dxa"/>
              <w:right w:w="-1" w:type="dxa"/>
            </w:tcMar>
          </w:tcPr>
          <w:p w14:paraId="4F5C8F09" w14:textId="77777777" w:rsidR="00A338BD" w:rsidRPr="006A2125" w:rsidRDefault="00AA0B36" w:rsidP="00E33F48">
            <w:pPr>
              <w:jc w:val="center"/>
              <w:rPr>
                <w:rFonts w:cs="Times New Roman"/>
              </w:rPr>
            </w:pPr>
            <w:r w:rsidRPr="006A2125">
              <w:rPr>
                <w:rFonts w:cs="Times New Roman"/>
              </w:rPr>
              <w:t>——</w:t>
            </w:r>
          </w:p>
        </w:tc>
        <w:tc>
          <w:tcPr>
            <w:tcW w:w="665" w:type="pct"/>
            <w:tcBorders>
              <w:top w:val="nil"/>
              <w:left w:val="nil"/>
              <w:bottom w:val="nil"/>
              <w:right w:val="nil"/>
            </w:tcBorders>
            <w:tcMar>
              <w:top w:w="-1" w:type="dxa"/>
              <w:left w:w="-1" w:type="dxa"/>
              <w:bottom w:w="-1" w:type="dxa"/>
              <w:right w:w="-1" w:type="dxa"/>
            </w:tcMar>
          </w:tcPr>
          <w:p w14:paraId="2CE81F97" w14:textId="77777777" w:rsidR="00A338BD" w:rsidRPr="006A2125" w:rsidRDefault="00AA0B36" w:rsidP="00E33F48">
            <w:pPr>
              <w:jc w:val="center"/>
              <w:rPr>
                <w:rFonts w:cs="Times New Roman"/>
              </w:rPr>
            </w:pPr>
            <w:r w:rsidRPr="006A2125">
              <w:rPr>
                <w:rFonts w:cs="Times New Roman"/>
              </w:rPr>
              <w:t>Normalization</w:t>
            </w:r>
            <w:r w:rsidRPr="006A2125">
              <w:rPr>
                <w:rFonts w:cs="Times New Roman"/>
              </w:rPr>
              <w:br/>
              <w:t>Continuous variable</w:t>
            </w:r>
          </w:p>
        </w:tc>
        <w:tc>
          <w:tcPr>
            <w:tcW w:w="546" w:type="pct"/>
            <w:tcBorders>
              <w:top w:val="nil"/>
              <w:left w:val="nil"/>
              <w:bottom w:val="nil"/>
              <w:right w:val="nil"/>
            </w:tcBorders>
            <w:tcMar>
              <w:top w:w="-1" w:type="dxa"/>
              <w:left w:w="-1" w:type="dxa"/>
              <w:bottom w:w="-1" w:type="dxa"/>
              <w:right w:w="-1" w:type="dxa"/>
            </w:tcMar>
          </w:tcPr>
          <w:p w14:paraId="6010BD18" w14:textId="77777777" w:rsidR="00A338BD" w:rsidRPr="006A2125" w:rsidRDefault="00AA0B36" w:rsidP="00E33F48">
            <w:pPr>
              <w:jc w:val="center"/>
              <w:rPr>
                <w:rFonts w:cs="Times New Roman"/>
              </w:rPr>
            </w:pPr>
            <w:r w:rsidRPr="006A2125">
              <w:rPr>
                <w:rFonts w:cs="Times New Roman"/>
              </w:rPr>
              <w:t>Stepwise logistic regression</w:t>
            </w:r>
          </w:p>
        </w:tc>
        <w:tc>
          <w:tcPr>
            <w:tcW w:w="499" w:type="pct"/>
            <w:tcBorders>
              <w:top w:val="nil"/>
              <w:left w:val="nil"/>
              <w:bottom w:val="nil"/>
              <w:right w:val="nil"/>
            </w:tcBorders>
            <w:tcMar>
              <w:top w:w="-1" w:type="dxa"/>
              <w:left w:w="-1" w:type="dxa"/>
              <w:bottom w:w="-1" w:type="dxa"/>
              <w:right w:w="-1" w:type="dxa"/>
            </w:tcMar>
          </w:tcPr>
          <w:p w14:paraId="7D33285E" w14:textId="77777777" w:rsidR="00A338BD" w:rsidRPr="006A2125" w:rsidRDefault="00AA0B36" w:rsidP="00E33F48">
            <w:pPr>
              <w:jc w:val="center"/>
              <w:rPr>
                <w:rFonts w:cs="Times New Roman"/>
              </w:rPr>
            </w:pPr>
            <w:r w:rsidRPr="006A2125">
              <w:rPr>
                <w:rFonts w:cs="Times New Roman"/>
              </w:rPr>
              <w:t>Bootstrap</w:t>
            </w:r>
          </w:p>
        </w:tc>
        <w:tc>
          <w:tcPr>
            <w:tcW w:w="559" w:type="pct"/>
            <w:tcBorders>
              <w:top w:val="nil"/>
              <w:left w:val="nil"/>
              <w:bottom w:val="nil"/>
              <w:right w:val="nil"/>
            </w:tcBorders>
            <w:tcMar>
              <w:top w:w="-1" w:type="dxa"/>
              <w:left w:w="-1" w:type="dxa"/>
              <w:bottom w:w="-1" w:type="dxa"/>
              <w:right w:w="-1" w:type="dxa"/>
            </w:tcMar>
          </w:tcPr>
          <w:p w14:paraId="2EA09882" w14:textId="77777777" w:rsidR="00A338BD" w:rsidRPr="006A2125" w:rsidRDefault="00AA0B36" w:rsidP="00E33F48">
            <w:pPr>
              <w:jc w:val="center"/>
              <w:rPr>
                <w:rFonts w:cs="Times New Roman"/>
              </w:rPr>
            </w:pPr>
            <w:r w:rsidRPr="006A2125">
              <w:rPr>
                <w:rFonts w:cs="Times New Roman"/>
              </w:rPr>
              <w:t>——</w:t>
            </w:r>
          </w:p>
        </w:tc>
        <w:tc>
          <w:tcPr>
            <w:tcW w:w="621" w:type="pct"/>
            <w:tcBorders>
              <w:top w:val="nil"/>
              <w:left w:val="nil"/>
              <w:bottom w:val="nil"/>
              <w:right w:val="nil"/>
            </w:tcBorders>
            <w:tcMar>
              <w:top w:w="-1" w:type="dxa"/>
              <w:left w:w="-1" w:type="dxa"/>
              <w:bottom w:w="-1" w:type="dxa"/>
              <w:right w:w="-1" w:type="dxa"/>
            </w:tcMar>
          </w:tcPr>
          <w:p w14:paraId="62077E87" w14:textId="77777777" w:rsidR="00A338BD" w:rsidRPr="006A2125" w:rsidRDefault="00AA0B36" w:rsidP="00E33F48">
            <w:pPr>
              <w:jc w:val="center"/>
              <w:rPr>
                <w:rFonts w:cs="Times New Roman"/>
              </w:rPr>
            </w:pPr>
            <w:r w:rsidRPr="006A2125">
              <w:rPr>
                <w:rFonts w:cs="Times New Roman"/>
              </w:rPr>
              <w:t>B: 0.742</w:t>
            </w:r>
          </w:p>
        </w:tc>
        <w:tc>
          <w:tcPr>
            <w:tcW w:w="665" w:type="pct"/>
            <w:tcBorders>
              <w:top w:val="nil"/>
              <w:left w:val="nil"/>
              <w:bottom w:val="nil"/>
              <w:right w:val="nil"/>
            </w:tcBorders>
            <w:tcMar>
              <w:top w:w="-1" w:type="dxa"/>
              <w:left w:w="-1" w:type="dxa"/>
              <w:bottom w:w="-1" w:type="dxa"/>
              <w:right w:w="-1" w:type="dxa"/>
            </w:tcMar>
          </w:tcPr>
          <w:p w14:paraId="548DEFF0" w14:textId="77777777" w:rsidR="00A338BD" w:rsidRPr="006A2125" w:rsidRDefault="00AA0B36" w:rsidP="00E33F48">
            <w:pPr>
              <w:jc w:val="center"/>
              <w:rPr>
                <w:rFonts w:cs="Times New Roman"/>
              </w:rPr>
            </w:pPr>
            <w:r w:rsidRPr="006A2125">
              <w:rPr>
                <w:rFonts w:cs="Times New Roman"/>
              </w:rPr>
              <w:t>Age, Laterality, Education status, comorbidities, CVC history, Chemotherapy status, insertion attempts, upper extremity activity</w:t>
            </w:r>
          </w:p>
        </w:tc>
      </w:tr>
      <w:tr w:rsidR="00E33F48" w:rsidRPr="00A367E5" w14:paraId="41EAF884" w14:textId="77777777" w:rsidTr="006A2125">
        <w:trPr>
          <w:jc w:val="center"/>
        </w:trPr>
        <w:tc>
          <w:tcPr>
            <w:tcW w:w="390" w:type="pct"/>
            <w:tcBorders>
              <w:top w:val="nil"/>
              <w:left w:val="nil"/>
              <w:bottom w:val="nil"/>
              <w:right w:val="nil"/>
            </w:tcBorders>
            <w:tcMar>
              <w:top w:w="-1" w:type="dxa"/>
              <w:left w:w="-1" w:type="dxa"/>
              <w:bottom w:w="-1" w:type="dxa"/>
              <w:right w:w="-1" w:type="dxa"/>
            </w:tcMar>
            <w:vAlign w:val="center"/>
          </w:tcPr>
          <w:p w14:paraId="5D5D67F4" w14:textId="7A3C10D1" w:rsidR="00E33F48" w:rsidRPr="00E33F48" w:rsidRDefault="00E33F48" w:rsidP="00E33F48">
            <w:pPr>
              <w:jc w:val="left"/>
              <w:rPr>
                <w:rFonts w:cs="Times New Roman"/>
              </w:rPr>
            </w:pPr>
            <w:r w:rsidRPr="00E4512D">
              <w:rPr>
                <w:rFonts w:cs="Times New Roman"/>
              </w:rPr>
              <w:t>Shanshan Liu 2019</w:t>
            </w:r>
          </w:p>
        </w:tc>
        <w:tc>
          <w:tcPr>
            <w:tcW w:w="615" w:type="pct"/>
            <w:tcBorders>
              <w:top w:val="nil"/>
              <w:left w:val="nil"/>
              <w:bottom w:val="nil"/>
              <w:right w:val="nil"/>
            </w:tcBorders>
            <w:tcMar>
              <w:top w:w="-1" w:type="dxa"/>
              <w:left w:w="-1" w:type="dxa"/>
              <w:bottom w:w="-1" w:type="dxa"/>
              <w:right w:w="-1" w:type="dxa"/>
            </w:tcMar>
            <w:vAlign w:val="center"/>
          </w:tcPr>
          <w:p w14:paraId="6369DB79" w14:textId="6D5E0A00" w:rsidR="00E33F48" w:rsidRPr="00E33F48" w:rsidRDefault="00E33F48" w:rsidP="00E33F48">
            <w:pPr>
              <w:jc w:val="center"/>
              <w:rPr>
                <w:rFonts w:cs="Times New Roman"/>
              </w:rPr>
            </w:pPr>
            <w:r w:rsidRPr="00E4512D">
              <w:rPr>
                <w:rFonts w:cs="Times New Roman"/>
              </w:rPr>
              <w:t>RF, Lasso-RF, Seeley-RF, Seeley-LASSO-RF</w:t>
            </w:r>
          </w:p>
        </w:tc>
        <w:tc>
          <w:tcPr>
            <w:tcW w:w="440" w:type="pct"/>
            <w:tcBorders>
              <w:top w:val="nil"/>
              <w:left w:val="nil"/>
              <w:bottom w:val="nil"/>
              <w:right w:val="nil"/>
            </w:tcBorders>
            <w:tcMar>
              <w:top w:w="-1" w:type="dxa"/>
              <w:left w:w="-1" w:type="dxa"/>
              <w:bottom w:w="-1" w:type="dxa"/>
              <w:right w:w="-1" w:type="dxa"/>
            </w:tcMar>
            <w:vAlign w:val="center"/>
          </w:tcPr>
          <w:p w14:paraId="6F159702" w14:textId="4BB28761" w:rsidR="00E33F48" w:rsidRPr="00E33F48" w:rsidRDefault="00E33F48" w:rsidP="00E33F48">
            <w:pPr>
              <w:jc w:val="center"/>
              <w:rPr>
                <w:rFonts w:cs="Times New Roman"/>
              </w:rPr>
            </w:pPr>
            <w:r w:rsidRPr="00E4512D">
              <w:rPr>
                <w:rFonts w:cs="Times New Roman"/>
              </w:rPr>
              <w:t>——</w:t>
            </w:r>
          </w:p>
        </w:tc>
        <w:tc>
          <w:tcPr>
            <w:tcW w:w="665" w:type="pct"/>
            <w:tcBorders>
              <w:top w:val="nil"/>
              <w:left w:val="nil"/>
              <w:bottom w:val="nil"/>
              <w:right w:val="nil"/>
            </w:tcBorders>
            <w:tcMar>
              <w:top w:w="-1" w:type="dxa"/>
              <w:left w:w="-1" w:type="dxa"/>
              <w:bottom w:w="-1" w:type="dxa"/>
              <w:right w:w="-1" w:type="dxa"/>
            </w:tcMar>
            <w:vAlign w:val="center"/>
          </w:tcPr>
          <w:p w14:paraId="2A4F10B4" w14:textId="1B0064F0" w:rsidR="00E33F48" w:rsidRPr="00E33F48" w:rsidRDefault="00E33F48" w:rsidP="00E33F48">
            <w:pPr>
              <w:jc w:val="center"/>
              <w:rPr>
                <w:rFonts w:cs="Times New Roman"/>
              </w:rPr>
            </w:pPr>
            <w:r w:rsidRPr="00E4512D">
              <w:rPr>
                <w:rFonts w:cs="Times New Roman"/>
              </w:rPr>
              <w:t>Normalization</w:t>
            </w:r>
          </w:p>
        </w:tc>
        <w:tc>
          <w:tcPr>
            <w:tcW w:w="546" w:type="pct"/>
            <w:tcBorders>
              <w:top w:val="nil"/>
              <w:left w:val="nil"/>
              <w:bottom w:val="nil"/>
              <w:right w:val="nil"/>
            </w:tcBorders>
            <w:tcMar>
              <w:top w:w="-1" w:type="dxa"/>
              <w:left w:w="-1" w:type="dxa"/>
              <w:bottom w:w="-1" w:type="dxa"/>
              <w:right w:w="-1" w:type="dxa"/>
            </w:tcMar>
            <w:vAlign w:val="center"/>
          </w:tcPr>
          <w:p w14:paraId="36408F4D" w14:textId="792D16B6" w:rsidR="00E33F48" w:rsidRPr="00E33F48" w:rsidRDefault="00E33F48" w:rsidP="00E33F48">
            <w:pPr>
              <w:jc w:val="center"/>
              <w:rPr>
                <w:rFonts w:cs="Times New Roman"/>
              </w:rPr>
            </w:pPr>
            <w:r w:rsidRPr="00E4512D">
              <w:rPr>
                <w:rFonts w:cs="Times New Roman"/>
              </w:rPr>
              <w:t>LASSO</w:t>
            </w:r>
          </w:p>
        </w:tc>
        <w:tc>
          <w:tcPr>
            <w:tcW w:w="499" w:type="pct"/>
            <w:tcBorders>
              <w:top w:val="nil"/>
              <w:left w:val="nil"/>
              <w:bottom w:val="nil"/>
              <w:right w:val="nil"/>
            </w:tcBorders>
            <w:tcMar>
              <w:top w:w="-1" w:type="dxa"/>
              <w:left w:w="-1" w:type="dxa"/>
              <w:bottom w:w="-1" w:type="dxa"/>
              <w:right w:w="-1" w:type="dxa"/>
            </w:tcMar>
            <w:vAlign w:val="center"/>
          </w:tcPr>
          <w:p w14:paraId="65C64281" w14:textId="51CD47EA" w:rsidR="00E33F48" w:rsidRPr="00E33F48" w:rsidRDefault="00E33F48" w:rsidP="00E33F48">
            <w:pPr>
              <w:jc w:val="center"/>
              <w:rPr>
                <w:rFonts w:cs="Times New Roman"/>
              </w:rPr>
            </w:pPr>
            <w:r w:rsidRPr="00E4512D">
              <w:rPr>
                <w:rFonts w:cs="Times New Roman"/>
              </w:rPr>
              <w:t>cross-validation</w:t>
            </w:r>
          </w:p>
        </w:tc>
        <w:tc>
          <w:tcPr>
            <w:tcW w:w="559" w:type="pct"/>
            <w:tcBorders>
              <w:top w:val="nil"/>
              <w:left w:val="nil"/>
              <w:bottom w:val="nil"/>
              <w:right w:val="nil"/>
            </w:tcBorders>
            <w:tcMar>
              <w:top w:w="-1" w:type="dxa"/>
              <w:left w:w="-1" w:type="dxa"/>
              <w:bottom w:w="-1" w:type="dxa"/>
              <w:right w:w="-1" w:type="dxa"/>
            </w:tcMar>
            <w:vAlign w:val="center"/>
          </w:tcPr>
          <w:p w14:paraId="01F23E49" w14:textId="4B4CC954" w:rsidR="00E33F48" w:rsidRPr="00E33F48" w:rsidRDefault="00E33F48" w:rsidP="00E33F48">
            <w:pPr>
              <w:jc w:val="center"/>
              <w:rPr>
                <w:rFonts w:cs="Times New Roman"/>
              </w:rPr>
            </w:pPr>
            <w:r w:rsidRPr="00E4512D">
              <w:rPr>
                <w:rFonts w:cs="Times New Roman"/>
              </w:rPr>
              <w:t>Kaplan-Meier curves</w:t>
            </w:r>
          </w:p>
        </w:tc>
        <w:tc>
          <w:tcPr>
            <w:tcW w:w="621" w:type="pct"/>
            <w:tcBorders>
              <w:top w:val="nil"/>
              <w:left w:val="nil"/>
              <w:bottom w:val="nil"/>
              <w:right w:val="nil"/>
            </w:tcBorders>
            <w:tcMar>
              <w:top w:w="-1" w:type="dxa"/>
              <w:left w:w="-1" w:type="dxa"/>
              <w:bottom w:w="-1" w:type="dxa"/>
              <w:right w:w="-1" w:type="dxa"/>
            </w:tcMar>
            <w:vAlign w:val="center"/>
          </w:tcPr>
          <w:p w14:paraId="454C2DD1" w14:textId="5BD475E1" w:rsidR="00E33F48" w:rsidRPr="00E33F48" w:rsidRDefault="00E33F48" w:rsidP="00E33F48">
            <w:pPr>
              <w:jc w:val="center"/>
              <w:rPr>
                <w:rFonts w:cs="Times New Roman"/>
              </w:rPr>
            </w:pPr>
            <w:r w:rsidRPr="00E4512D">
              <w:rPr>
                <w:rFonts w:cs="Times New Roman"/>
              </w:rPr>
              <w:t>A: 0.935</w:t>
            </w:r>
            <w:r w:rsidRPr="00E4512D">
              <w:rPr>
                <w:rFonts w:cs="Times New Roman"/>
              </w:rPr>
              <w:br/>
              <w:t>B: 0.809</w:t>
            </w:r>
          </w:p>
        </w:tc>
        <w:tc>
          <w:tcPr>
            <w:tcW w:w="665" w:type="pct"/>
            <w:tcBorders>
              <w:top w:val="nil"/>
              <w:left w:val="nil"/>
              <w:bottom w:val="nil"/>
              <w:right w:val="nil"/>
            </w:tcBorders>
            <w:tcMar>
              <w:top w:w="-1" w:type="dxa"/>
              <w:left w:w="-1" w:type="dxa"/>
              <w:bottom w:w="-1" w:type="dxa"/>
              <w:right w:w="-1" w:type="dxa"/>
            </w:tcMar>
            <w:vAlign w:val="center"/>
          </w:tcPr>
          <w:p w14:paraId="168686B8" w14:textId="00BB14D4" w:rsidR="00E33F48" w:rsidRPr="00E33F48" w:rsidRDefault="00E33F48" w:rsidP="00E33F48">
            <w:pPr>
              <w:jc w:val="center"/>
              <w:rPr>
                <w:rFonts w:cs="Times New Roman"/>
              </w:rPr>
            </w:pPr>
            <w:r w:rsidRPr="00E4512D">
              <w:rPr>
                <w:rFonts w:cs="Times New Roman"/>
              </w:rPr>
              <w:t>Drinking, NRS2002, Family History of DVT, Diabetes, Tip Location, Chemotherapy Cycle, Radiotherapy, Anticoagulation</w:t>
            </w:r>
          </w:p>
        </w:tc>
      </w:tr>
      <w:tr w:rsidR="00E33F48" w:rsidRPr="00A367E5" w14:paraId="2CE33DDA" w14:textId="77777777" w:rsidTr="006A2125">
        <w:trPr>
          <w:jc w:val="center"/>
        </w:trPr>
        <w:tc>
          <w:tcPr>
            <w:tcW w:w="390" w:type="pct"/>
            <w:tcBorders>
              <w:top w:val="nil"/>
              <w:left w:val="nil"/>
              <w:bottom w:val="nil"/>
              <w:right w:val="nil"/>
            </w:tcBorders>
            <w:tcMar>
              <w:top w:w="-1" w:type="dxa"/>
              <w:left w:w="-1" w:type="dxa"/>
              <w:bottom w:w="-1" w:type="dxa"/>
              <w:right w:w="-1" w:type="dxa"/>
            </w:tcMar>
            <w:vAlign w:val="center"/>
          </w:tcPr>
          <w:p w14:paraId="54C101A0" w14:textId="24C89263" w:rsidR="00E33F48" w:rsidRPr="00E4512D" w:rsidRDefault="00E33F48" w:rsidP="00E33F48">
            <w:pPr>
              <w:jc w:val="left"/>
              <w:rPr>
                <w:rFonts w:cs="Times New Roman"/>
              </w:rPr>
            </w:pPr>
            <w:r w:rsidRPr="00E4512D">
              <w:rPr>
                <w:rFonts w:cs="Times New Roman"/>
              </w:rPr>
              <w:t>Tao An 2025</w:t>
            </w:r>
          </w:p>
        </w:tc>
        <w:tc>
          <w:tcPr>
            <w:tcW w:w="615" w:type="pct"/>
            <w:tcBorders>
              <w:top w:val="nil"/>
              <w:left w:val="nil"/>
              <w:bottom w:val="nil"/>
              <w:right w:val="nil"/>
            </w:tcBorders>
            <w:tcMar>
              <w:top w:w="-1" w:type="dxa"/>
              <w:left w:w="-1" w:type="dxa"/>
              <w:bottom w:w="-1" w:type="dxa"/>
              <w:right w:w="-1" w:type="dxa"/>
            </w:tcMar>
            <w:vAlign w:val="center"/>
          </w:tcPr>
          <w:p w14:paraId="0B683EFB" w14:textId="3DA4B0AA" w:rsidR="00E33F48" w:rsidRPr="00E4512D" w:rsidRDefault="00E33F48" w:rsidP="00E33F48">
            <w:pPr>
              <w:jc w:val="center"/>
              <w:rPr>
                <w:rFonts w:cs="Times New Roman"/>
              </w:rPr>
            </w:pPr>
            <w:r w:rsidRPr="00E4512D">
              <w:rPr>
                <w:rFonts w:cs="Times New Roman"/>
              </w:rPr>
              <w:t xml:space="preserve">RFEntr, RFGini, CatBoost, XGBoost, NeuralNetFastAI, ExtraTreesEntr, LR, </w:t>
            </w:r>
            <w:r w:rsidRPr="00E4512D">
              <w:rPr>
                <w:rFonts w:cs="Times New Roman"/>
              </w:rPr>
              <w:lastRenderedPageBreak/>
              <w:t>WeightedEnsemble, Bayesian</w:t>
            </w:r>
          </w:p>
        </w:tc>
        <w:tc>
          <w:tcPr>
            <w:tcW w:w="440" w:type="pct"/>
            <w:tcBorders>
              <w:top w:val="nil"/>
              <w:left w:val="nil"/>
              <w:bottom w:val="nil"/>
              <w:right w:val="nil"/>
            </w:tcBorders>
            <w:tcMar>
              <w:top w:w="-1" w:type="dxa"/>
              <w:left w:w="-1" w:type="dxa"/>
              <w:bottom w:w="-1" w:type="dxa"/>
              <w:right w:w="-1" w:type="dxa"/>
            </w:tcMar>
            <w:vAlign w:val="center"/>
          </w:tcPr>
          <w:p w14:paraId="3944CD38" w14:textId="721A3548" w:rsidR="00E33F48" w:rsidRPr="00E4512D" w:rsidRDefault="00E33F48" w:rsidP="00E33F48">
            <w:pPr>
              <w:jc w:val="center"/>
              <w:rPr>
                <w:rFonts w:cs="Times New Roman"/>
              </w:rPr>
            </w:pPr>
            <w:r w:rsidRPr="00E4512D">
              <w:rPr>
                <w:rFonts w:cs="Times New Roman"/>
              </w:rPr>
              <w:lastRenderedPageBreak/>
              <w:t>Complete Case Analysis</w:t>
            </w:r>
          </w:p>
        </w:tc>
        <w:tc>
          <w:tcPr>
            <w:tcW w:w="665" w:type="pct"/>
            <w:tcBorders>
              <w:top w:val="nil"/>
              <w:left w:val="nil"/>
              <w:bottom w:val="nil"/>
              <w:right w:val="nil"/>
            </w:tcBorders>
            <w:tcMar>
              <w:top w:w="-1" w:type="dxa"/>
              <w:left w:w="-1" w:type="dxa"/>
              <w:bottom w:w="-1" w:type="dxa"/>
              <w:right w:w="-1" w:type="dxa"/>
            </w:tcMar>
            <w:vAlign w:val="center"/>
          </w:tcPr>
          <w:p w14:paraId="1F81B35D" w14:textId="727B0EF4" w:rsidR="00E33F48" w:rsidRPr="00E4512D" w:rsidRDefault="00E33F48" w:rsidP="00E33F48">
            <w:pPr>
              <w:jc w:val="center"/>
              <w:rPr>
                <w:rFonts w:cs="Times New Roman"/>
              </w:rPr>
            </w:pPr>
            <w:r w:rsidRPr="00E4512D">
              <w:rPr>
                <w:rFonts w:cs="Times New Roman"/>
              </w:rPr>
              <w:t>Categorization</w:t>
            </w:r>
          </w:p>
        </w:tc>
        <w:tc>
          <w:tcPr>
            <w:tcW w:w="546" w:type="pct"/>
            <w:tcBorders>
              <w:top w:val="nil"/>
              <w:left w:val="nil"/>
              <w:bottom w:val="nil"/>
              <w:right w:val="nil"/>
            </w:tcBorders>
            <w:tcMar>
              <w:top w:w="-1" w:type="dxa"/>
              <w:left w:w="-1" w:type="dxa"/>
              <w:bottom w:w="-1" w:type="dxa"/>
              <w:right w:w="-1" w:type="dxa"/>
            </w:tcMar>
            <w:vAlign w:val="center"/>
          </w:tcPr>
          <w:p w14:paraId="4DCABE57" w14:textId="75F993F5" w:rsidR="00E33F48" w:rsidRPr="00E4512D" w:rsidRDefault="00E33F48" w:rsidP="00E33F48">
            <w:pPr>
              <w:jc w:val="center"/>
              <w:rPr>
                <w:rFonts w:cs="Times New Roman"/>
              </w:rPr>
            </w:pPr>
            <w:r w:rsidRPr="00E4512D">
              <w:rPr>
                <w:rFonts w:cs="Times New Roman"/>
              </w:rPr>
              <w:t>The WeightedEnsemble feature importance scores from AutoGluon</w:t>
            </w:r>
          </w:p>
        </w:tc>
        <w:tc>
          <w:tcPr>
            <w:tcW w:w="499" w:type="pct"/>
            <w:tcBorders>
              <w:top w:val="nil"/>
              <w:left w:val="nil"/>
              <w:bottom w:val="nil"/>
              <w:right w:val="nil"/>
            </w:tcBorders>
            <w:tcMar>
              <w:top w:w="-1" w:type="dxa"/>
              <w:left w:w="-1" w:type="dxa"/>
              <w:bottom w:w="-1" w:type="dxa"/>
              <w:right w:w="-1" w:type="dxa"/>
            </w:tcMar>
            <w:vAlign w:val="center"/>
          </w:tcPr>
          <w:p w14:paraId="02AE1ECF" w14:textId="77777777" w:rsidR="00E33F48" w:rsidRPr="00E4512D" w:rsidRDefault="00E33F48" w:rsidP="00E33F48">
            <w:pPr>
              <w:rPr>
                <w:rFonts w:cs="Times New Roman"/>
              </w:rPr>
            </w:pPr>
            <w:r w:rsidRPr="00E4512D">
              <w:rPr>
                <w:rFonts w:cs="Times New Roman"/>
              </w:rPr>
              <w:t>Internal verification: Random split validation</w:t>
            </w:r>
          </w:p>
          <w:p w14:paraId="75F4FB59" w14:textId="6CE0A7F7" w:rsidR="00E33F48" w:rsidRPr="00E4512D" w:rsidRDefault="00E33F48" w:rsidP="00E33F48">
            <w:pPr>
              <w:jc w:val="center"/>
              <w:rPr>
                <w:rFonts w:cs="Times New Roman"/>
              </w:rPr>
            </w:pPr>
            <w:r w:rsidRPr="00E4512D">
              <w:rPr>
                <w:rFonts w:cs="Times New Roman"/>
              </w:rPr>
              <w:t xml:space="preserve">External </w:t>
            </w:r>
            <w:r w:rsidRPr="00E4512D">
              <w:rPr>
                <w:rFonts w:cs="Times New Roman"/>
              </w:rPr>
              <w:lastRenderedPageBreak/>
              <w:t>verification: Independent queue</w:t>
            </w:r>
          </w:p>
        </w:tc>
        <w:tc>
          <w:tcPr>
            <w:tcW w:w="559" w:type="pct"/>
            <w:tcBorders>
              <w:top w:val="nil"/>
              <w:left w:val="nil"/>
              <w:bottom w:val="nil"/>
              <w:right w:val="nil"/>
            </w:tcBorders>
            <w:tcMar>
              <w:top w:w="-1" w:type="dxa"/>
              <w:left w:w="-1" w:type="dxa"/>
              <w:bottom w:w="-1" w:type="dxa"/>
              <w:right w:w="-1" w:type="dxa"/>
            </w:tcMar>
            <w:vAlign w:val="center"/>
          </w:tcPr>
          <w:p w14:paraId="525B8D2D" w14:textId="0198947D" w:rsidR="00E33F48" w:rsidRPr="00E4512D" w:rsidRDefault="00E33F48" w:rsidP="00E33F48">
            <w:pPr>
              <w:jc w:val="center"/>
              <w:rPr>
                <w:rFonts w:cs="Times New Roman"/>
              </w:rPr>
            </w:pPr>
            <w:r w:rsidRPr="00E4512D">
              <w:rPr>
                <w:rFonts w:cs="Times New Roman"/>
              </w:rPr>
              <w:lastRenderedPageBreak/>
              <w:t>Kaplan-Meier curves</w:t>
            </w:r>
          </w:p>
        </w:tc>
        <w:tc>
          <w:tcPr>
            <w:tcW w:w="621" w:type="pct"/>
            <w:tcBorders>
              <w:top w:val="nil"/>
              <w:left w:val="nil"/>
              <w:bottom w:val="nil"/>
              <w:right w:val="nil"/>
            </w:tcBorders>
            <w:tcMar>
              <w:top w:w="-1" w:type="dxa"/>
              <w:left w:w="-1" w:type="dxa"/>
              <w:bottom w:w="-1" w:type="dxa"/>
              <w:right w:w="-1" w:type="dxa"/>
            </w:tcMar>
            <w:vAlign w:val="center"/>
          </w:tcPr>
          <w:p w14:paraId="1D43DD54" w14:textId="55853D3A" w:rsidR="00E33F48" w:rsidRPr="00E4512D" w:rsidRDefault="00E33F48" w:rsidP="00E33F48">
            <w:pPr>
              <w:jc w:val="center"/>
              <w:rPr>
                <w:rFonts w:cs="Times New Roman"/>
              </w:rPr>
            </w:pPr>
            <w:r w:rsidRPr="00E4512D">
              <w:rPr>
                <w:rFonts w:cs="Times New Roman"/>
              </w:rPr>
              <w:t>A: 0.888</w:t>
            </w:r>
            <w:r w:rsidRPr="00E4512D">
              <w:rPr>
                <w:rFonts w:cs="Times New Roman"/>
              </w:rPr>
              <w:br/>
              <w:t>B: 0.688</w:t>
            </w:r>
          </w:p>
        </w:tc>
        <w:tc>
          <w:tcPr>
            <w:tcW w:w="665" w:type="pct"/>
            <w:tcBorders>
              <w:top w:val="nil"/>
              <w:left w:val="nil"/>
              <w:bottom w:val="nil"/>
              <w:right w:val="nil"/>
            </w:tcBorders>
            <w:tcMar>
              <w:top w:w="-1" w:type="dxa"/>
              <w:left w:w="-1" w:type="dxa"/>
              <w:bottom w:w="-1" w:type="dxa"/>
              <w:right w:w="-1" w:type="dxa"/>
            </w:tcMar>
            <w:vAlign w:val="center"/>
          </w:tcPr>
          <w:p w14:paraId="4F8E9B28" w14:textId="738AAE4A" w:rsidR="00E33F48" w:rsidRPr="00E4512D" w:rsidRDefault="00E33F48" w:rsidP="00E33F48">
            <w:pPr>
              <w:jc w:val="center"/>
              <w:rPr>
                <w:rFonts w:cs="Times New Roman"/>
              </w:rPr>
            </w:pPr>
            <w:r w:rsidRPr="00E4512D">
              <w:rPr>
                <w:rFonts w:cs="Times New Roman"/>
              </w:rPr>
              <w:t>Hemoglobin, APTT, total cholesterol, catheterization approach</w:t>
            </w:r>
          </w:p>
        </w:tc>
      </w:tr>
      <w:tr w:rsidR="00E33F48" w:rsidRPr="00A367E5" w14:paraId="7B625FF0" w14:textId="77777777" w:rsidTr="006A2125">
        <w:trPr>
          <w:jc w:val="center"/>
        </w:trPr>
        <w:tc>
          <w:tcPr>
            <w:tcW w:w="390" w:type="pct"/>
            <w:tcBorders>
              <w:top w:val="nil"/>
              <w:left w:val="nil"/>
              <w:bottom w:val="single" w:sz="12" w:space="0" w:color="auto"/>
              <w:right w:val="nil"/>
            </w:tcBorders>
            <w:tcMar>
              <w:top w:w="-1" w:type="dxa"/>
              <w:left w:w="-1" w:type="dxa"/>
              <w:bottom w:w="-1" w:type="dxa"/>
              <w:right w:w="-1" w:type="dxa"/>
            </w:tcMar>
            <w:vAlign w:val="center"/>
          </w:tcPr>
          <w:p w14:paraId="3323C1DC" w14:textId="0807803D" w:rsidR="00E33F48" w:rsidRPr="00E4512D" w:rsidRDefault="00E33F48" w:rsidP="00E33F48">
            <w:pPr>
              <w:jc w:val="left"/>
              <w:rPr>
                <w:rFonts w:cs="Times New Roman"/>
              </w:rPr>
            </w:pPr>
            <w:r w:rsidRPr="00E4512D">
              <w:rPr>
                <w:rFonts w:cs="Times New Roman"/>
              </w:rPr>
              <w:t>Yue Li 2025</w:t>
            </w:r>
          </w:p>
        </w:tc>
        <w:tc>
          <w:tcPr>
            <w:tcW w:w="615" w:type="pct"/>
            <w:tcBorders>
              <w:top w:val="nil"/>
              <w:left w:val="nil"/>
              <w:bottom w:val="single" w:sz="12" w:space="0" w:color="auto"/>
              <w:right w:val="nil"/>
            </w:tcBorders>
            <w:tcMar>
              <w:top w:w="-1" w:type="dxa"/>
              <w:left w:w="-1" w:type="dxa"/>
              <w:bottom w:w="-1" w:type="dxa"/>
              <w:right w:w="-1" w:type="dxa"/>
            </w:tcMar>
            <w:vAlign w:val="center"/>
          </w:tcPr>
          <w:p w14:paraId="7DD0F1E8" w14:textId="22CF6187" w:rsidR="00E33F48" w:rsidRPr="00E4512D" w:rsidRDefault="00E33F48" w:rsidP="00E33F48">
            <w:pPr>
              <w:jc w:val="center"/>
              <w:rPr>
                <w:rFonts w:cs="Times New Roman"/>
              </w:rPr>
            </w:pPr>
            <w:r w:rsidRPr="00E4512D">
              <w:rPr>
                <w:rFonts w:cs="Times New Roman"/>
              </w:rPr>
              <w:t>network-based algorithms, RSF, MP-LogitR, MP-AdaBoost, ThresReg</w:t>
            </w:r>
          </w:p>
        </w:tc>
        <w:tc>
          <w:tcPr>
            <w:tcW w:w="440" w:type="pct"/>
            <w:tcBorders>
              <w:top w:val="nil"/>
              <w:left w:val="nil"/>
              <w:bottom w:val="single" w:sz="12" w:space="0" w:color="auto"/>
              <w:right w:val="nil"/>
            </w:tcBorders>
            <w:tcMar>
              <w:top w:w="-1" w:type="dxa"/>
              <w:left w:w="-1" w:type="dxa"/>
              <w:bottom w:w="-1" w:type="dxa"/>
              <w:right w:w="-1" w:type="dxa"/>
            </w:tcMar>
            <w:vAlign w:val="center"/>
          </w:tcPr>
          <w:p w14:paraId="53DD3B14" w14:textId="08DD48D2" w:rsidR="00E33F48" w:rsidRPr="00E4512D" w:rsidRDefault="00E33F48" w:rsidP="00E33F48">
            <w:pPr>
              <w:jc w:val="center"/>
              <w:rPr>
                <w:rFonts w:cs="Times New Roman"/>
              </w:rPr>
            </w:pPr>
            <w:r w:rsidRPr="00E4512D">
              <w:rPr>
                <w:rFonts w:cs="Times New Roman"/>
              </w:rPr>
              <w:t>Complete Case Analysis</w:t>
            </w:r>
          </w:p>
        </w:tc>
        <w:tc>
          <w:tcPr>
            <w:tcW w:w="665" w:type="pct"/>
            <w:tcBorders>
              <w:top w:val="nil"/>
              <w:left w:val="nil"/>
              <w:bottom w:val="single" w:sz="12" w:space="0" w:color="auto"/>
              <w:right w:val="nil"/>
            </w:tcBorders>
            <w:tcMar>
              <w:top w:w="-1" w:type="dxa"/>
              <w:left w:w="-1" w:type="dxa"/>
              <w:bottom w:w="-1" w:type="dxa"/>
              <w:right w:w="-1" w:type="dxa"/>
            </w:tcMar>
            <w:vAlign w:val="center"/>
          </w:tcPr>
          <w:p w14:paraId="69305A63" w14:textId="2C3F4C6C" w:rsidR="00E33F48" w:rsidRPr="00E4512D" w:rsidRDefault="00E33F48" w:rsidP="00E33F48">
            <w:pPr>
              <w:jc w:val="center"/>
              <w:rPr>
                <w:rFonts w:cs="Times New Roman"/>
              </w:rPr>
            </w:pPr>
            <w:r w:rsidRPr="00E4512D">
              <w:rPr>
                <w:rFonts w:cs="Times New Roman"/>
              </w:rPr>
              <w:t>Feature Scaling</w:t>
            </w:r>
          </w:p>
        </w:tc>
        <w:tc>
          <w:tcPr>
            <w:tcW w:w="546" w:type="pct"/>
            <w:tcBorders>
              <w:top w:val="nil"/>
              <w:left w:val="nil"/>
              <w:bottom w:val="single" w:sz="12" w:space="0" w:color="auto"/>
              <w:right w:val="nil"/>
            </w:tcBorders>
            <w:tcMar>
              <w:top w:w="-1" w:type="dxa"/>
              <w:left w:w="-1" w:type="dxa"/>
              <w:bottom w:w="-1" w:type="dxa"/>
              <w:right w:w="-1" w:type="dxa"/>
            </w:tcMar>
            <w:vAlign w:val="center"/>
          </w:tcPr>
          <w:p w14:paraId="7F0865EC" w14:textId="1363A48D" w:rsidR="00E33F48" w:rsidRPr="00E4512D" w:rsidRDefault="00E33F48" w:rsidP="00E33F48">
            <w:pPr>
              <w:jc w:val="center"/>
              <w:rPr>
                <w:rFonts w:cs="Times New Roman"/>
              </w:rPr>
            </w:pPr>
            <w:r w:rsidRPr="00E4512D">
              <w:rPr>
                <w:rFonts w:cs="Times New Roman"/>
              </w:rPr>
              <w:t>Shap</w:t>
            </w:r>
          </w:p>
        </w:tc>
        <w:tc>
          <w:tcPr>
            <w:tcW w:w="499" w:type="pct"/>
            <w:tcBorders>
              <w:top w:val="nil"/>
              <w:left w:val="nil"/>
              <w:bottom w:val="single" w:sz="12" w:space="0" w:color="auto"/>
              <w:right w:val="nil"/>
            </w:tcBorders>
            <w:tcMar>
              <w:top w:w="-1" w:type="dxa"/>
              <w:left w:w="-1" w:type="dxa"/>
              <w:bottom w:w="-1" w:type="dxa"/>
              <w:right w:w="-1" w:type="dxa"/>
            </w:tcMar>
            <w:vAlign w:val="center"/>
          </w:tcPr>
          <w:p w14:paraId="003B0666" w14:textId="70AC7C7A" w:rsidR="00E33F48" w:rsidRPr="00E4512D" w:rsidRDefault="00E33F48" w:rsidP="00E33F48">
            <w:pPr>
              <w:rPr>
                <w:rFonts w:cs="Times New Roman"/>
              </w:rPr>
            </w:pPr>
            <w:r w:rsidRPr="00E4512D">
              <w:rPr>
                <w:rFonts w:cs="Times New Roman"/>
              </w:rPr>
              <w:t>five-fold cross-validation, Random split validation</w:t>
            </w:r>
          </w:p>
        </w:tc>
        <w:tc>
          <w:tcPr>
            <w:tcW w:w="559" w:type="pct"/>
            <w:tcBorders>
              <w:top w:val="nil"/>
              <w:left w:val="nil"/>
              <w:bottom w:val="single" w:sz="12" w:space="0" w:color="auto"/>
              <w:right w:val="nil"/>
            </w:tcBorders>
            <w:tcMar>
              <w:top w:w="-1" w:type="dxa"/>
              <w:left w:w="-1" w:type="dxa"/>
              <w:bottom w:w="-1" w:type="dxa"/>
              <w:right w:w="-1" w:type="dxa"/>
            </w:tcMar>
            <w:vAlign w:val="center"/>
          </w:tcPr>
          <w:p w14:paraId="73712DAD" w14:textId="24304A8F" w:rsidR="00E33F48" w:rsidRPr="00E4512D" w:rsidRDefault="00E33F48" w:rsidP="00E33F48">
            <w:pPr>
              <w:jc w:val="center"/>
              <w:rPr>
                <w:rFonts w:cs="Times New Roman"/>
              </w:rPr>
            </w:pPr>
            <w:r w:rsidRPr="00E4512D">
              <w:rPr>
                <w:rFonts w:cs="Times New Roman"/>
              </w:rPr>
              <w:t>Brier</w:t>
            </w:r>
          </w:p>
        </w:tc>
        <w:tc>
          <w:tcPr>
            <w:tcW w:w="621" w:type="pct"/>
            <w:tcBorders>
              <w:top w:val="nil"/>
              <w:left w:val="nil"/>
              <w:bottom w:val="single" w:sz="12" w:space="0" w:color="auto"/>
              <w:right w:val="nil"/>
            </w:tcBorders>
            <w:tcMar>
              <w:top w:w="-1" w:type="dxa"/>
              <w:left w:w="-1" w:type="dxa"/>
              <w:bottom w:w="-1" w:type="dxa"/>
              <w:right w:w="-1" w:type="dxa"/>
            </w:tcMar>
            <w:vAlign w:val="center"/>
          </w:tcPr>
          <w:p w14:paraId="57F22FA6" w14:textId="6BA91BB3" w:rsidR="00E33F48" w:rsidRPr="00E4512D" w:rsidRDefault="00E33F48" w:rsidP="00E33F48">
            <w:pPr>
              <w:jc w:val="center"/>
              <w:rPr>
                <w:rFonts w:cs="Times New Roman"/>
              </w:rPr>
            </w:pPr>
            <w:r w:rsidRPr="00E4512D">
              <w:rPr>
                <w:rFonts w:cs="Times New Roman"/>
              </w:rPr>
              <w:t>A: 0.950</w:t>
            </w:r>
            <w:r w:rsidRPr="00E4512D">
              <w:rPr>
                <w:rFonts w:cs="Times New Roman"/>
              </w:rPr>
              <w:br/>
              <w:t>B: 0.950</w:t>
            </w:r>
          </w:p>
        </w:tc>
        <w:tc>
          <w:tcPr>
            <w:tcW w:w="665" w:type="pct"/>
            <w:tcBorders>
              <w:top w:val="nil"/>
              <w:left w:val="nil"/>
              <w:bottom w:val="single" w:sz="12" w:space="0" w:color="auto"/>
              <w:right w:val="nil"/>
            </w:tcBorders>
            <w:tcMar>
              <w:top w:w="-1" w:type="dxa"/>
              <w:left w:w="-1" w:type="dxa"/>
              <w:bottom w:w="-1" w:type="dxa"/>
              <w:right w:w="-1" w:type="dxa"/>
            </w:tcMar>
            <w:vAlign w:val="center"/>
          </w:tcPr>
          <w:p w14:paraId="011AC774" w14:textId="5198945E" w:rsidR="00E33F48" w:rsidRPr="00E4512D" w:rsidRDefault="00E33F48" w:rsidP="00E33F48">
            <w:pPr>
              <w:jc w:val="center"/>
              <w:rPr>
                <w:rFonts w:cs="Times New Roman"/>
              </w:rPr>
            </w:pPr>
            <w:r w:rsidRPr="00E4512D">
              <w:rPr>
                <w:rFonts w:cs="Times New Roman"/>
              </w:rPr>
              <w:t>Albumin, Pre-filled tube sealing fluid, APTT, Main diagnosis of admission, Targeted drugs, PICC catheter opening, Platinum drugs, Tube placement method</w:t>
            </w:r>
          </w:p>
        </w:tc>
      </w:tr>
    </w:tbl>
    <w:p w14:paraId="3944DCBE" w14:textId="4CA06F4B" w:rsidR="00A338BD" w:rsidRPr="006A2125" w:rsidRDefault="00AA0B36" w:rsidP="00E33F48">
      <w:pPr>
        <w:rPr>
          <w:rFonts w:cs="Times New Roman"/>
          <w:sz w:val="20"/>
          <w:szCs w:val="20"/>
        </w:rPr>
      </w:pPr>
      <w:r w:rsidRPr="006A2125">
        <w:rPr>
          <w:rFonts w:cs="Times New Roman"/>
          <w:sz w:val="20"/>
          <w:szCs w:val="20"/>
        </w:rPr>
        <w:t>A, development model; B, internal validation of model; C, external validation of model; SVM, Support Vector Machine</w:t>
      </w:r>
      <w:r w:rsidR="007465CA">
        <w:rPr>
          <w:rFonts w:cs="Times New Roman"/>
          <w:sz w:val="20"/>
          <w:szCs w:val="20"/>
        </w:rPr>
        <w:t>;</w:t>
      </w:r>
      <w:r w:rsidR="007465CA" w:rsidRPr="006A2125">
        <w:rPr>
          <w:rFonts w:cs="Times New Roman"/>
          <w:sz w:val="20"/>
          <w:szCs w:val="20"/>
        </w:rPr>
        <w:t xml:space="preserve"> </w:t>
      </w:r>
      <w:r w:rsidRPr="006A2125">
        <w:rPr>
          <w:rFonts w:cs="Times New Roman"/>
          <w:sz w:val="20"/>
          <w:szCs w:val="20"/>
        </w:rPr>
        <w:t>GBM, Gradient Boosting Machine</w:t>
      </w:r>
      <w:r w:rsidR="007465CA">
        <w:rPr>
          <w:rFonts w:cs="Times New Roman"/>
          <w:sz w:val="20"/>
          <w:szCs w:val="20"/>
        </w:rPr>
        <w:t>;</w:t>
      </w:r>
      <w:r w:rsidRPr="006A2125">
        <w:rPr>
          <w:rFonts w:cs="Times New Roman"/>
          <w:sz w:val="20"/>
          <w:szCs w:val="20"/>
        </w:rPr>
        <w:t xml:space="preserve"> LR, Logistic Regression</w:t>
      </w:r>
      <w:r w:rsidR="007465CA">
        <w:rPr>
          <w:rFonts w:cs="Times New Roman"/>
          <w:sz w:val="20"/>
          <w:szCs w:val="20"/>
        </w:rPr>
        <w:t>;</w:t>
      </w:r>
      <w:r w:rsidR="007465CA" w:rsidRPr="006A2125">
        <w:rPr>
          <w:rFonts w:cs="Times New Roman"/>
          <w:sz w:val="20"/>
          <w:szCs w:val="20"/>
        </w:rPr>
        <w:t xml:space="preserve"> </w:t>
      </w:r>
      <w:r w:rsidRPr="006A2125">
        <w:rPr>
          <w:rFonts w:cs="Times New Roman"/>
          <w:sz w:val="20"/>
          <w:szCs w:val="20"/>
        </w:rPr>
        <w:t>RF, Random Forest</w:t>
      </w:r>
      <w:r w:rsidR="007465CA">
        <w:rPr>
          <w:rFonts w:cs="Times New Roman"/>
          <w:sz w:val="20"/>
          <w:szCs w:val="20"/>
        </w:rPr>
        <w:t>;</w:t>
      </w:r>
      <w:r w:rsidR="007465CA" w:rsidRPr="006A2125">
        <w:rPr>
          <w:rFonts w:cs="Times New Roman"/>
          <w:sz w:val="20"/>
          <w:szCs w:val="20"/>
        </w:rPr>
        <w:t xml:space="preserve"> </w:t>
      </w:r>
      <w:r w:rsidRPr="006A2125">
        <w:rPr>
          <w:rFonts w:cs="Times New Roman"/>
          <w:sz w:val="20"/>
          <w:szCs w:val="20"/>
        </w:rPr>
        <w:t>ANN, Artificial Neural Network</w:t>
      </w:r>
      <w:r w:rsidR="007465CA">
        <w:rPr>
          <w:rFonts w:cs="Times New Roman"/>
          <w:sz w:val="20"/>
          <w:szCs w:val="20"/>
        </w:rPr>
        <w:t>;</w:t>
      </w:r>
      <w:r w:rsidR="007465CA" w:rsidRPr="006A2125">
        <w:rPr>
          <w:rFonts w:cs="Times New Roman"/>
          <w:sz w:val="20"/>
          <w:szCs w:val="20"/>
        </w:rPr>
        <w:t xml:space="preserve"> </w:t>
      </w:r>
      <w:r w:rsidRPr="006A2125">
        <w:rPr>
          <w:rFonts w:cs="Times New Roman"/>
          <w:sz w:val="20"/>
          <w:szCs w:val="20"/>
        </w:rPr>
        <w:t>RSF, Random Survival Forest</w:t>
      </w:r>
      <w:r w:rsidR="007465CA">
        <w:rPr>
          <w:rFonts w:cs="Times New Roman"/>
          <w:sz w:val="20"/>
          <w:szCs w:val="20"/>
        </w:rPr>
        <w:t>;</w:t>
      </w:r>
      <w:r w:rsidR="007465CA" w:rsidRPr="006A2125">
        <w:rPr>
          <w:rFonts w:cs="Times New Roman"/>
          <w:sz w:val="20"/>
          <w:szCs w:val="20"/>
        </w:rPr>
        <w:t xml:space="preserve"> </w:t>
      </w:r>
      <w:r w:rsidRPr="006A2125">
        <w:rPr>
          <w:rFonts w:cs="Times New Roman"/>
          <w:sz w:val="20"/>
          <w:szCs w:val="20"/>
        </w:rPr>
        <w:t>H-L test, HosmerLemeshow</w:t>
      </w:r>
    </w:p>
    <w:p w14:paraId="21D53E44" w14:textId="77777777" w:rsidR="00A338BD" w:rsidRPr="00A367E5" w:rsidRDefault="00A338BD" w:rsidP="00E33F48">
      <w:pPr>
        <w:rPr>
          <w:rFonts w:cs="Times New Roman"/>
        </w:rPr>
      </w:pPr>
    </w:p>
    <w:p w14:paraId="0CC276FF" w14:textId="77777777" w:rsidR="00A338BD" w:rsidRPr="006A2125" w:rsidRDefault="00AA0B36" w:rsidP="006A2125">
      <w:pPr>
        <w:rPr>
          <w:rFonts w:cs="Times New Roman"/>
          <w:b/>
          <w:bCs/>
        </w:rPr>
      </w:pPr>
      <w:r w:rsidRPr="006A2125">
        <w:rPr>
          <w:rFonts w:cs="Times New Roman"/>
          <w:b/>
          <w:bCs/>
        </w:rPr>
        <w:t>2.5. Data extraction and quality assessment</w:t>
      </w:r>
    </w:p>
    <w:p w14:paraId="1B5BC245" w14:textId="6458530C" w:rsidR="00A338BD" w:rsidRPr="00A367E5" w:rsidRDefault="00AA0B36" w:rsidP="00E33F48">
      <w:pPr>
        <w:rPr>
          <w:rFonts w:cs="Times New Roman"/>
        </w:rPr>
      </w:pPr>
      <w:r w:rsidRPr="00A367E5">
        <w:rPr>
          <w:rFonts w:cs="Times New Roman"/>
        </w:rPr>
        <w:t>The risk of bias and clinical applicability of the included studies were assessed independently by two investigators using the PROBAST+AI tool</w:t>
      </w:r>
      <w:r w:rsidR="00E33F48">
        <w:rPr>
          <w:rFonts w:cs="Times New Roman"/>
        </w:rPr>
        <w:t xml:space="preserve"> </w:t>
      </w:r>
      <w:r w:rsidRPr="00A367E5">
        <w:rPr>
          <w:rFonts w:cs="Times New Roman"/>
          <w:vertAlign w:val="superscript"/>
        </w:rPr>
        <w:t>[12]</w:t>
      </w:r>
      <w:r w:rsidRPr="00A367E5">
        <w:rPr>
          <w:rFonts w:cs="Times New Roman"/>
        </w:rPr>
        <w:t>. Each domain was graded as “low risk,” “high risk,” or “unclear.” An overall judgment of “low risk” was made only if all domains were rated as low risk. Conversely, if at least one domain was adjudicated as “high risk,” the overall assessment was classified as “high risk.” Finally, if one or more domains were rated as “unclear” in the absence of any “high risk” domains, the overall assessment was deemed “unclear.”</w:t>
      </w:r>
    </w:p>
    <w:p w14:paraId="2A389C4C" w14:textId="77777777" w:rsidR="00A338BD" w:rsidRPr="00A367E5" w:rsidRDefault="00AA0B36" w:rsidP="006A2125">
      <w:pPr>
        <w:ind w:firstLine="420"/>
        <w:rPr>
          <w:rFonts w:cs="Times New Roman"/>
        </w:rPr>
      </w:pPr>
      <w:r w:rsidRPr="00A367E5">
        <w:rPr>
          <w:rFonts w:cs="Times New Roman"/>
        </w:rPr>
        <w:t>The risk of bias was assessed across four domains—participants, predictors, outcome, and analysis—comprising a total of 20 signaling questions. Each signaling question was answered as “Yes,” “Probably Yes,” “Probably No,” “No,” or “No Information.” Specifically, “Yes” and “Probably Yes” indicate a low risk of bias, whereas “No” and “Probably No” imply a high risk. “No Information” was selected when the original study failed to report sufficient data. Regarding domain-level judgment, a domain was deemed “low</w:t>
      </w:r>
      <w:r w:rsidRPr="00A367E5">
        <w:rPr>
          <w:rFonts w:cs="Times New Roman"/>
        </w:rPr>
        <w:t xml:space="preserve"> risk” only if all signaling questions were answered as “Yes” or “Probably Yes.” Conversely, if any signaling question was answered as “No” or “Probably No,” the domain was categorized as “high risk.” A domain was labeled as “unclear risk” if one or more questions were answered as “No Information” in the absence of any “No” or “Probably No” responses. Two investigators (LanYing Qiu, QingLan Fu) independently conducted the assessment and data extraction. Any discrepancies were resolved through consensus invo</w:t>
      </w:r>
      <w:r w:rsidRPr="00A367E5">
        <w:rPr>
          <w:rFonts w:cs="Times New Roman"/>
        </w:rPr>
        <w:t>lving a third investigator (Rui Wang).</w:t>
      </w:r>
    </w:p>
    <w:p w14:paraId="58D0D12C" w14:textId="77777777" w:rsidR="00A338BD" w:rsidRPr="00A367E5" w:rsidRDefault="00A338BD" w:rsidP="006A2125">
      <w:pPr>
        <w:rPr>
          <w:rFonts w:cs="Times New Roman"/>
        </w:rPr>
      </w:pPr>
    </w:p>
    <w:p w14:paraId="5DF55C59" w14:textId="77777777" w:rsidR="00A338BD" w:rsidRPr="006A2125" w:rsidRDefault="00AA0B36" w:rsidP="006A2125">
      <w:pPr>
        <w:rPr>
          <w:rFonts w:cs="Times New Roman"/>
          <w:b/>
          <w:bCs/>
        </w:rPr>
      </w:pPr>
      <w:r w:rsidRPr="006A2125">
        <w:rPr>
          <w:rFonts w:cs="Times New Roman"/>
          <w:b/>
          <w:bCs/>
        </w:rPr>
        <w:t>3. Results</w:t>
      </w:r>
    </w:p>
    <w:p w14:paraId="28E4BA98" w14:textId="77777777" w:rsidR="00A338BD" w:rsidRPr="006A2125" w:rsidRDefault="00AA0B36" w:rsidP="006A2125">
      <w:pPr>
        <w:rPr>
          <w:rFonts w:cs="Times New Roman"/>
          <w:b/>
          <w:bCs/>
        </w:rPr>
      </w:pPr>
      <w:r w:rsidRPr="006A2125">
        <w:rPr>
          <w:rFonts w:cs="Times New Roman"/>
          <w:b/>
          <w:bCs/>
        </w:rPr>
        <w:t>3.1. Study selection</w:t>
      </w:r>
    </w:p>
    <w:p w14:paraId="69D72126" w14:textId="3A2D4710" w:rsidR="00A338BD" w:rsidRDefault="00AA0B36" w:rsidP="00E33F48">
      <w:pPr>
        <w:rPr>
          <w:rFonts w:cs="Times New Roman"/>
        </w:rPr>
      </w:pPr>
      <w:r w:rsidRPr="00A367E5">
        <w:rPr>
          <w:rFonts w:cs="Times New Roman"/>
        </w:rPr>
        <w:t xml:space="preserve">The initial database search yielded a total of 1,299 records. After removing 495 duplicates, the remaining records were screened by title and abstract. Subsequently, 38 full-text articles were </w:t>
      </w:r>
      <w:r w:rsidRPr="00A367E5">
        <w:rPr>
          <w:rFonts w:cs="Times New Roman"/>
        </w:rPr>
        <w:lastRenderedPageBreak/>
        <w:t>assessed for eligibility. Ultimately, seven studies met the inclusion criteria and were included in this systematic review</w:t>
      </w:r>
      <w:r w:rsidR="00E33F48">
        <w:rPr>
          <w:rFonts w:cs="Times New Roman"/>
        </w:rPr>
        <w:t xml:space="preserve"> </w:t>
      </w:r>
      <w:r w:rsidRPr="00A367E5">
        <w:rPr>
          <w:rFonts w:cs="Times New Roman"/>
          <w:vertAlign w:val="superscript"/>
        </w:rPr>
        <w:t>[16-22]</w:t>
      </w:r>
      <w:r w:rsidRPr="00A367E5">
        <w:rPr>
          <w:rFonts w:cs="Times New Roman"/>
        </w:rPr>
        <w:t xml:space="preserve">. The detailed study selection process is illustrated in </w:t>
      </w:r>
      <w:r w:rsidRPr="006A2125">
        <w:rPr>
          <w:rFonts w:cs="Times New Roman"/>
          <w:b/>
          <w:bCs/>
        </w:rPr>
        <w:t>Figure 1</w:t>
      </w:r>
      <w:r w:rsidRPr="00A367E5">
        <w:rPr>
          <w:rFonts w:cs="Times New Roman"/>
        </w:rPr>
        <w:t>.</w:t>
      </w:r>
    </w:p>
    <w:p w14:paraId="1B87BDB1" w14:textId="77777777" w:rsidR="00E33F48" w:rsidRPr="00A367E5" w:rsidRDefault="00E33F48" w:rsidP="00E33F48">
      <w:pPr>
        <w:rPr>
          <w:rFonts w:cs="Times New Roman"/>
        </w:rPr>
      </w:pPr>
    </w:p>
    <w:p w14:paraId="7D1F9707" w14:textId="3FEEA651" w:rsidR="00A338BD" w:rsidRPr="006A2125" w:rsidRDefault="00AA0B36" w:rsidP="006A2125">
      <w:pPr>
        <w:jc w:val="center"/>
        <w:rPr>
          <w:rFonts w:cs="Times New Roman"/>
          <w:sz w:val="20"/>
          <w:szCs w:val="20"/>
        </w:rPr>
      </w:pPr>
      <w:r w:rsidRPr="006A2125">
        <w:rPr>
          <w:rFonts w:cs="Times New Roman"/>
          <w:noProof/>
          <w:sz w:val="20"/>
          <w:szCs w:val="20"/>
        </w:rPr>
        <w:drawing>
          <wp:inline distT="0" distB="0" distL="114300" distR="114300" wp14:anchorId="622D5940" wp14:editId="00C5D681">
            <wp:extent cx="5619750" cy="6515100"/>
            <wp:effectExtent l="0" t="0" r="6350" b="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7"/>
                    <a:stretch>
                      <a:fillRect/>
                    </a:stretch>
                  </pic:blipFill>
                  <pic:spPr>
                    <a:xfrm>
                      <a:off x="0" y="0"/>
                      <a:ext cx="5619750" cy="6515100"/>
                    </a:xfrm>
                    <a:prstGeom prst="rect">
                      <a:avLst/>
                    </a:prstGeom>
                    <a:noFill/>
                    <a:ln w="9525">
                      <a:noFill/>
                    </a:ln>
                  </pic:spPr>
                </pic:pic>
              </a:graphicData>
            </a:graphic>
          </wp:inline>
        </w:drawing>
      </w:r>
    </w:p>
    <w:p w14:paraId="3FF1DAC8" w14:textId="77777777" w:rsidR="00A338BD" w:rsidRPr="006A2125" w:rsidRDefault="00AA0B36" w:rsidP="006A2125">
      <w:pPr>
        <w:jc w:val="center"/>
        <w:rPr>
          <w:rFonts w:cs="Times New Roman"/>
          <w:sz w:val="20"/>
          <w:szCs w:val="20"/>
        </w:rPr>
      </w:pPr>
      <w:r w:rsidRPr="006A2125">
        <w:rPr>
          <w:rFonts w:cs="Times New Roman"/>
          <w:b/>
          <w:bCs/>
          <w:sz w:val="20"/>
          <w:szCs w:val="20"/>
        </w:rPr>
        <w:t>Figure 1.</w:t>
      </w:r>
      <w:r w:rsidRPr="006A2125">
        <w:rPr>
          <w:rFonts w:cs="Times New Roman"/>
          <w:sz w:val="20"/>
          <w:szCs w:val="20"/>
        </w:rPr>
        <w:t xml:space="preserve"> PRISMA diagram.</w:t>
      </w:r>
    </w:p>
    <w:p w14:paraId="3C631295" w14:textId="77777777" w:rsidR="00A338BD" w:rsidRPr="00A367E5" w:rsidRDefault="00A338BD" w:rsidP="00E33F48">
      <w:pPr>
        <w:rPr>
          <w:rFonts w:cs="Times New Roman"/>
        </w:rPr>
      </w:pPr>
    </w:p>
    <w:p w14:paraId="3FCCB57F" w14:textId="77777777" w:rsidR="00A338BD" w:rsidRPr="006A2125" w:rsidRDefault="00AA0B36" w:rsidP="006A2125">
      <w:pPr>
        <w:rPr>
          <w:rFonts w:cs="Times New Roman"/>
          <w:b/>
          <w:bCs/>
        </w:rPr>
      </w:pPr>
      <w:r w:rsidRPr="006A2125">
        <w:rPr>
          <w:rFonts w:cs="Times New Roman"/>
          <w:b/>
          <w:bCs/>
        </w:rPr>
        <w:t>3.2. Study characteristics</w:t>
      </w:r>
    </w:p>
    <w:p w14:paraId="2B5B9B09" w14:textId="3FE5267C" w:rsidR="00A338BD" w:rsidRPr="00A367E5" w:rsidRDefault="00AA0B36" w:rsidP="00E33F48">
      <w:pPr>
        <w:rPr>
          <w:rFonts w:cs="Times New Roman"/>
        </w:rPr>
      </w:pPr>
      <w:r w:rsidRPr="006A2125">
        <w:rPr>
          <w:rFonts w:cs="Times New Roman"/>
          <w:b/>
          <w:bCs/>
        </w:rPr>
        <w:t>Table 1</w:t>
      </w:r>
      <w:r w:rsidRPr="00A367E5">
        <w:rPr>
          <w:rFonts w:cs="Times New Roman"/>
        </w:rPr>
        <w:t xml:space="preserve"> summarizes the study designs and participant characteristics of the included studies. The systematic review comprised five single-center studies</w:t>
      </w:r>
      <w:r w:rsidR="00E33F48">
        <w:rPr>
          <w:rFonts w:cs="Times New Roman"/>
        </w:rPr>
        <w:t xml:space="preserve"> </w:t>
      </w:r>
      <w:r w:rsidRPr="00A367E5">
        <w:rPr>
          <w:rFonts w:cs="Times New Roman"/>
          <w:vertAlign w:val="superscript"/>
        </w:rPr>
        <w:t>[16-19, 21]</w:t>
      </w:r>
      <w:r w:rsidRPr="00A367E5">
        <w:rPr>
          <w:rFonts w:cs="Times New Roman"/>
        </w:rPr>
        <w:t>,</w:t>
      </w:r>
      <w:r w:rsidRPr="00A367E5">
        <w:rPr>
          <w:rFonts w:cs="Times New Roman"/>
          <w:kern w:val="0"/>
        </w:rPr>
        <w:t xml:space="preserve"> </w:t>
      </w:r>
      <w:r w:rsidRPr="00A367E5">
        <w:rPr>
          <w:rFonts w:cs="Times New Roman"/>
        </w:rPr>
        <w:t>and two multicenter studies</w:t>
      </w:r>
      <w:r w:rsidR="00E33F48">
        <w:rPr>
          <w:rFonts w:cs="Times New Roman"/>
        </w:rPr>
        <w:t xml:space="preserve"> </w:t>
      </w:r>
      <w:r w:rsidRPr="00A367E5">
        <w:rPr>
          <w:rFonts w:cs="Times New Roman"/>
          <w:vertAlign w:val="superscript"/>
        </w:rPr>
        <w:t>[20, 22]</w:t>
      </w:r>
      <w:r w:rsidRPr="00A367E5">
        <w:rPr>
          <w:rFonts w:cs="Times New Roman"/>
        </w:rPr>
        <w:t>. Geographically, all seven studies originated from China. In terms of study design, three were retrospective</w:t>
      </w:r>
      <w:r w:rsidR="00E33F48">
        <w:rPr>
          <w:rFonts w:cs="Times New Roman"/>
        </w:rPr>
        <w:t xml:space="preserve"> </w:t>
      </w:r>
      <w:r w:rsidRPr="00A367E5">
        <w:rPr>
          <w:rFonts w:cs="Times New Roman"/>
          <w:vertAlign w:val="superscript"/>
        </w:rPr>
        <w:t>[16, 21, 22]</w:t>
      </w:r>
      <w:r w:rsidRPr="00A367E5">
        <w:rPr>
          <w:rFonts w:cs="Times New Roman"/>
        </w:rPr>
        <w:t>, while four were prospective</w:t>
      </w:r>
      <w:r w:rsidR="00E33F48">
        <w:rPr>
          <w:rFonts w:cs="Times New Roman"/>
        </w:rPr>
        <w:t xml:space="preserve"> </w:t>
      </w:r>
      <w:r w:rsidRPr="00A367E5">
        <w:rPr>
          <w:rFonts w:cs="Times New Roman"/>
          <w:vertAlign w:val="superscript"/>
        </w:rPr>
        <w:t>[17-20]</w:t>
      </w:r>
      <w:r w:rsidRPr="00A367E5">
        <w:rPr>
          <w:rFonts w:cs="Times New Roman"/>
        </w:rPr>
        <w:t>.</w:t>
      </w:r>
      <w:r w:rsidRPr="00A367E5">
        <w:rPr>
          <w:rFonts w:cs="Times New Roman"/>
          <w:kern w:val="0"/>
        </w:rPr>
        <w:t xml:space="preserve"> </w:t>
      </w:r>
      <w:r w:rsidRPr="00A367E5">
        <w:rPr>
          <w:rFonts w:cs="Times New Roman"/>
        </w:rPr>
        <w:t xml:space="preserve">Sample sizes ranged from 266 to 3,453 participants. Studies utilizing machine learning approaches to predict cancer-associated PICC-RVT have emerged since 2019. Regarding outcome assessment, the majority of studies employed vascular Doppler ultrasound to confirm thrombosis. Notably, one study broadened its inclusion criteria to </w:t>
      </w:r>
      <w:r w:rsidRPr="00A367E5">
        <w:rPr>
          <w:rFonts w:cs="Times New Roman"/>
        </w:rPr>
        <w:lastRenderedPageBreak/>
        <w:t>encompass all venous access devices, involving Central Venous Catheters (CVCs) and Implantable Venous Access Ports (IVAPs) in addition to PICCs</w:t>
      </w:r>
      <w:r w:rsidR="00E33F48">
        <w:rPr>
          <w:rFonts w:cs="Times New Roman"/>
        </w:rPr>
        <w:t xml:space="preserve"> </w:t>
      </w:r>
      <w:r w:rsidRPr="00A367E5">
        <w:rPr>
          <w:rFonts w:cs="Times New Roman"/>
          <w:vertAlign w:val="superscript"/>
        </w:rPr>
        <w:t>[20</w:t>
      </w:r>
      <w:r w:rsidR="007465CA" w:rsidRPr="00A367E5">
        <w:rPr>
          <w:rFonts w:cs="Times New Roman"/>
          <w:vertAlign w:val="superscript"/>
        </w:rPr>
        <w:t>]</w:t>
      </w:r>
      <w:r w:rsidR="007465CA">
        <w:rPr>
          <w:rFonts w:cs="Times New Roman"/>
        </w:rPr>
        <w:t>.</w:t>
      </w:r>
      <w:r w:rsidR="007465CA" w:rsidRPr="00A367E5">
        <w:rPr>
          <w:rFonts w:cs="Times New Roman"/>
        </w:rPr>
        <w:t xml:space="preserve"> </w:t>
      </w:r>
      <w:r w:rsidRPr="00A367E5">
        <w:rPr>
          <w:rFonts w:cs="Times New Roman"/>
        </w:rPr>
        <w:t>Another study assessed outcomes extending beyond PICC-RVT to include other PICC-related complications</w:t>
      </w:r>
      <w:r w:rsidR="00E33F48">
        <w:rPr>
          <w:rFonts w:cs="Times New Roman"/>
        </w:rPr>
        <w:t xml:space="preserve"> </w:t>
      </w:r>
      <w:r w:rsidRPr="00A367E5">
        <w:rPr>
          <w:rFonts w:cs="Times New Roman"/>
          <w:vertAlign w:val="superscript"/>
        </w:rPr>
        <w:t>[21]</w:t>
      </w:r>
      <w:r w:rsidRPr="00A367E5">
        <w:rPr>
          <w:rFonts w:cs="Times New Roman"/>
        </w:rPr>
        <w:t>.</w:t>
      </w:r>
    </w:p>
    <w:p w14:paraId="74577033" w14:textId="77777777" w:rsidR="00A338BD" w:rsidRPr="00A367E5" w:rsidRDefault="00AA0B36" w:rsidP="006A2125">
      <w:pPr>
        <w:ind w:firstLine="420"/>
        <w:rPr>
          <w:rFonts w:cs="Times New Roman"/>
        </w:rPr>
      </w:pPr>
      <w:r w:rsidRPr="006A2125">
        <w:rPr>
          <w:rFonts w:cs="Times New Roman"/>
          <w:b/>
          <w:bCs/>
        </w:rPr>
        <w:t>Table 2</w:t>
      </w:r>
      <w:r w:rsidRPr="00A367E5">
        <w:rPr>
          <w:rFonts w:cs="Times New Roman"/>
        </w:rPr>
        <w:t xml:space="preserve"> summarizes the characteristics of the prediction models within the included studies. Generally, the studies employed multiple machine learning algorithms to develop risk prediction models, aiming to identify the optimal model for subsequent validation. The six most frequently utilized algorithms were Random Forest (RF; 28.57%), Lasso (17.86%), Boosting (10.71%), Support Vector Machine (SVM; 7.14%), Logistic Regression (LR; 7.14%), and Artificial Neural Network (ANN; 7.14%).</w:t>
      </w:r>
    </w:p>
    <w:p w14:paraId="59783CC0" w14:textId="77777777" w:rsidR="00A338BD" w:rsidRPr="00A367E5" w:rsidRDefault="00AA0B36" w:rsidP="006A2125">
      <w:pPr>
        <w:ind w:firstLine="420"/>
        <w:rPr>
          <w:rFonts w:cs="Times New Roman"/>
        </w:rPr>
      </w:pPr>
      <w:r w:rsidRPr="00A367E5">
        <w:rPr>
          <w:rFonts w:cs="Times New Roman"/>
        </w:rPr>
        <w:t>The primary predictor variables integrated into the final machine learning models encompassed participant demographics, comorbidities, catheter- and treatment-related factors, laboratory indices, and medication usage. Age emerged as the most frequently identified demographic characteristic, followed by Body Mass Index (BMI). Regarding comorbidities, diabetes mellitus was the most prevalent predictor, followed by a family history of Deep Vein Thrombosis (DVT). A detailed overview of these predictor variables</w:t>
      </w:r>
      <w:r w:rsidRPr="00A367E5">
        <w:rPr>
          <w:rFonts w:cs="Times New Roman"/>
        </w:rPr>
        <w:t xml:space="preserve"> is presented in </w:t>
      </w:r>
      <w:r w:rsidRPr="006A2125">
        <w:rPr>
          <w:rFonts w:cs="Times New Roman"/>
          <w:b/>
          <w:bCs/>
        </w:rPr>
        <w:t>Table 2</w:t>
      </w:r>
      <w:r w:rsidRPr="00A367E5">
        <w:rPr>
          <w:rFonts w:cs="Times New Roman"/>
        </w:rPr>
        <w:t>.</w:t>
      </w:r>
    </w:p>
    <w:p w14:paraId="74BF8510" w14:textId="77777777" w:rsidR="00A338BD" w:rsidRPr="00A367E5" w:rsidRDefault="00A338BD" w:rsidP="006A2125">
      <w:pPr>
        <w:rPr>
          <w:rFonts w:cs="Times New Roman"/>
        </w:rPr>
      </w:pPr>
    </w:p>
    <w:p w14:paraId="7260A58E" w14:textId="77777777" w:rsidR="00A338BD" w:rsidRPr="006A2125" w:rsidRDefault="00AA0B36" w:rsidP="006A2125">
      <w:pPr>
        <w:rPr>
          <w:rFonts w:cs="Times New Roman"/>
          <w:b/>
          <w:bCs/>
        </w:rPr>
      </w:pPr>
      <w:r w:rsidRPr="006A2125">
        <w:rPr>
          <w:rFonts w:cs="Times New Roman"/>
          <w:b/>
          <w:bCs/>
        </w:rPr>
        <w:t>3.3. Models’ validation</w:t>
      </w:r>
    </w:p>
    <w:p w14:paraId="00BC2469" w14:textId="3F6620AA" w:rsidR="00A338BD" w:rsidRPr="00A367E5" w:rsidRDefault="00AA0B36" w:rsidP="00E33F48">
      <w:pPr>
        <w:rPr>
          <w:rFonts w:cs="Times New Roman"/>
        </w:rPr>
      </w:pPr>
      <w:r w:rsidRPr="00A367E5">
        <w:rPr>
          <w:rFonts w:cs="Times New Roman"/>
        </w:rPr>
        <w:t>All included studies implemented internal validation procedures</w:t>
      </w:r>
      <w:r w:rsidR="00E33F48">
        <w:rPr>
          <w:rFonts w:cs="Times New Roman"/>
        </w:rPr>
        <w:t xml:space="preserve"> </w:t>
      </w:r>
      <w:r w:rsidRPr="00A367E5">
        <w:rPr>
          <w:rFonts w:cs="Times New Roman"/>
          <w:vertAlign w:val="superscript"/>
        </w:rPr>
        <w:t>[16,19,20]</w:t>
      </w:r>
      <w:r w:rsidRPr="00A367E5">
        <w:rPr>
          <w:rFonts w:cs="Times New Roman"/>
        </w:rPr>
        <w:t>, while three studies additionally performed independent external validation. The reported Area Under the Curve (AUC) or C-statistics ranged from 0.688 to 0.984. Regarding calibration, reporting was limited; only a single study</w:t>
      </w:r>
      <w:r w:rsidR="00E33F48">
        <w:rPr>
          <w:rFonts w:cs="Times New Roman"/>
        </w:rPr>
        <w:t xml:space="preserve"> </w:t>
      </w:r>
      <w:r w:rsidRPr="00A367E5">
        <w:rPr>
          <w:rFonts w:cs="Times New Roman"/>
          <w:vertAlign w:val="superscript"/>
        </w:rPr>
        <w:t>[20]</w:t>
      </w:r>
      <w:r w:rsidRPr="00A367E5">
        <w:rPr>
          <w:rFonts w:cs="Times New Roman"/>
        </w:rPr>
        <w:t xml:space="preserve"> assessed goodness-of-fit using the Hosmer-Lemeshow (H-L) test.</w:t>
      </w:r>
    </w:p>
    <w:p w14:paraId="4CCD924E" w14:textId="77777777" w:rsidR="00A338BD" w:rsidRPr="00A367E5" w:rsidRDefault="00A338BD" w:rsidP="006A2125">
      <w:pPr>
        <w:rPr>
          <w:rFonts w:cs="Times New Roman"/>
        </w:rPr>
      </w:pPr>
    </w:p>
    <w:p w14:paraId="0572A317" w14:textId="77777777" w:rsidR="00A338BD" w:rsidRPr="006A2125" w:rsidRDefault="00AA0B36" w:rsidP="006A2125">
      <w:pPr>
        <w:rPr>
          <w:rFonts w:cs="Times New Roman"/>
          <w:b/>
          <w:bCs/>
        </w:rPr>
      </w:pPr>
      <w:r w:rsidRPr="006A2125">
        <w:rPr>
          <w:rFonts w:cs="Times New Roman"/>
          <w:b/>
          <w:bCs/>
        </w:rPr>
        <w:t>3.4. Bias risk and suitability assessment</w:t>
      </w:r>
    </w:p>
    <w:p w14:paraId="19E765C0" w14:textId="77777777" w:rsidR="00A338BD" w:rsidRPr="006A2125" w:rsidRDefault="00AA0B36" w:rsidP="006A2125">
      <w:pPr>
        <w:rPr>
          <w:rFonts w:cs="Times New Roman"/>
          <w:b/>
          <w:bCs/>
          <w:i/>
          <w:iCs/>
        </w:rPr>
      </w:pPr>
      <w:r w:rsidRPr="006A2125">
        <w:rPr>
          <w:rFonts w:cs="Times New Roman"/>
          <w:b/>
          <w:bCs/>
        </w:rPr>
        <w:t>3.4.1. Bias risk</w:t>
      </w:r>
    </w:p>
    <w:p w14:paraId="5D3739A9" w14:textId="4BFFF7DE" w:rsidR="00A338BD" w:rsidRDefault="00AA0B36" w:rsidP="00E33F48">
      <w:pPr>
        <w:rPr>
          <w:rFonts w:cs="Times New Roman"/>
        </w:rPr>
      </w:pPr>
      <w:r w:rsidRPr="00A367E5">
        <w:rPr>
          <w:rFonts w:cs="Times New Roman"/>
        </w:rPr>
        <w:t xml:space="preserve">The results of the risk of bias assessment are summarized in </w:t>
      </w:r>
      <w:r w:rsidRPr="006A2125">
        <w:rPr>
          <w:rFonts w:cs="Times New Roman"/>
          <w:b/>
          <w:bCs/>
        </w:rPr>
        <w:t>Figure 2</w:t>
      </w:r>
      <w:r w:rsidRPr="00A367E5">
        <w:rPr>
          <w:rFonts w:cs="Times New Roman"/>
        </w:rPr>
        <w:t>. All included studies were adjudicated as having a high risk of bias, primarily stemming from deficiencies within the “Analysis” and “Participants” domains. Specifically, two studies</w:t>
      </w:r>
      <w:r w:rsidR="00E33F48">
        <w:rPr>
          <w:rFonts w:cs="Times New Roman"/>
        </w:rPr>
        <w:t xml:space="preserve"> </w:t>
      </w:r>
      <w:r w:rsidRPr="00A367E5">
        <w:rPr>
          <w:rFonts w:cs="Times New Roman"/>
          <w:vertAlign w:val="superscript"/>
        </w:rPr>
        <w:t>[20,21]</w:t>
      </w:r>
      <w:r w:rsidRPr="00A367E5">
        <w:rPr>
          <w:rFonts w:cs="Times New Roman"/>
        </w:rPr>
        <w:t xml:space="preserve"> exhibited a high risk in the participants domain; this was attributed to sampling strategies that distorted the original distribution of predictors within the target population, and inappropriate exclusion criteria that compromised dataset representativeness. Regarding the “Analysis” domain, all studies were rated as high risk. This was predominantly driven by insufficient sample sizes leading to potential overfitting, the dichotomization of continuous predictors, and the application of the Synthetic Minor</w:t>
      </w:r>
      <w:r w:rsidRPr="00A367E5">
        <w:rPr>
          <w:rFonts w:cs="Times New Roman"/>
        </w:rPr>
        <w:t>ity Over-sampling Technique (SMOTE) to address class imbalance without subsequent model recalibration. Conversely, the risk of bias was deemed low across all studies within the “Predictors” and “Outcome” domains.</w:t>
      </w:r>
    </w:p>
    <w:p w14:paraId="1013D54D" w14:textId="77777777" w:rsidR="00E33F48" w:rsidRPr="00A367E5" w:rsidRDefault="00E33F48" w:rsidP="00E33F48">
      <w:pPr>
        <w:rPr>
          <w:rFonts w:cs="Times New Roman"/>
        </w:rPr>
      </w:pPr>
    </w:p>
    <w:p w14:paraId="2AABEA1A" w14:textId="3AA3BB5C" w:rsidR="00A338BD" w:rsidRPr="006A2125" w:rsidRDefault="00AA0B36" w:rsidP="006A2125">
      <w:pPr>
        <w:jc w:val="center"/>
        <w:rPr>
          <w:rFonts w:cs="Times New Roman"/>
          <w:sz w:val="20"/>
          <w:szCs w:val="20"/>
        </w:rPr>
      </w:pPr>
      <w:r w:rsidRPr="006A2125">
        <w:rPr>
          <w:rFonts w:cs="Times New Roman"/>
          <w:noProof/>
          <w:sz w:val="20"/>
          <w:szCs w:val="20"/>
        </w:rPr>
        <w:lastRenderedPageBreak/>
        <w:drawing>
          <wp:inline distT="0" distB="0" distL="0" distR="0" wp14:anchorId="40C2B5B5" wp14:editId="08C1A5FE">
            <wp:extent cx="6129020" cy="3386455"/>
            <wp:effectExtent l="0" t="0" r="5080" b="444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9020" cy="3386455"/>
                    </a:xfrm>
                    <a:prstGeom prst="rect">
                      <a:avLst/>
                    </a:prstGeom>
                  </pic:spPr>
                </pic:pic>
              </a:graphicData>
            </a:graphic>
          </wp:inline>
        </w:drawing>
      </w:r>
    </w:p>
    <w:p w14:paraId="2040BBE4" w14:textId="77777777" w:rsidR="00A338BD" w:rsidRPr="006A2125" w:rsidRDefault="00AA0B36" w:rsidP="006A2125">
      <w:pPr>
        <w:jc w:val="center"/>
        <w:rPr>
          <w:rFonts w:cs="Times New Roman"/>
          <w:sz w:val="20"/>
          <w:szCs w:val="20"/>
        </w:rPr>
      </w:pPr>
      <w:r w:rsidRPr="006A2125">
        <w:rPr>
          <w:rFonts w:cs="Times New Roman"/>
          <w:b/>
          <w:bCs/>
          <w:sz w:val="20"/>
          <w:szCs w:val="20"/>
        </w:rPr>
        <w:t xml:space="preserve">Figure 2. </w:t>
      </w:r>
      <w:r w:rsidRPr="006A2125">
        <w:rPr>
          <w:rFonts w:cs="Times New Roman"/>
          <w:sz w:val="20"/>
          <w:szCs w:val="20"/>
        </w:rPr>
        <w:t>Risk of bias and applicability concerns of the included studies.</w:t>
      </w:r>
    </w:p>
    <w:p w14:paraId="6E74E880" w14:textId="77777777" w:rsidR="00A338BD" w:rsidRPr="00A367E5" w:rsidRDefault="00A338BD" w:rsidP="00E33F48">
      <w:pPr>
        <w:rPr>
          <w:rFonts w:cs="Times New Roman"/>
        </w:rPr>
      </w:pPr>
    </w:p>
    <w:p w14:paraId="16086C11" w14:textId="77777777" w:rsidR="00A338BD" w:rsidRPr="006A2125" w:rsidRDefault="00AA0B36" w:rsidP="006A2125">
      <w:pPr>
        <w:rPr>
          <w:rFonts w:cs="Times New Roman"/>
          <w:b/>
          <w:bCs/>
          <w:i/>
          <w:iCs/>
        </w:rPr>
      </w:pPr>
      <w:r w:rsidRPr="006A2125">
        <w:rPr>
          <w:rFonts w:cs="Times New Roman"/>
          <w:b/>
          <w:bCs/>
        </w:rPr>
        <w:t>3.4.2. Suitability assessment</w:t>
      </w:r>
    </w:p>
    <w:p w14:paraId="5C267B80" w14:textId="427758C5" w:rsidR="00A338BD" w:rsidRPr="00A367E5" w:rsidRDefault="00AA0B36" w:rsidP="00E33F48">
      <w:pPr>
        <w:rPr>
          <w:rFonts w:cs="Times New Roman"/>
        </w:rPr>
      </w:pPr>
      <w:r w:rsidRPr="00A367E5">
        <w:rPr>
          <w:rFonts w:cs="Times New Roman"/>
        </w:rPr>
        <w:t xml:space="preserve">The results of the clinical applicability assessment are summarized in </w:t>
      </w:r>
      <w:r w:rsidRPr="006A2125">
        <w:rPr>
          <w:rFonts w:cs="Times New Roman"/>
          <w:b/>
          <w:bCs/>
        </w:rPr>
        <w:t>Figure 2</w:t>
      </w:r>
      <w:r w:rsidRPr="00A367E5">
        <w:rPr>
          <w:rFonts w:cs="Times New Roman"/>
        </w:rPr>
        <w:t>. Specifically, two studies</w:t>
      </w:r>
      <w:r w:rsidR="00E33F48">
        <w:rPr>
          <w:rFonts w:cs="Times New Roman"/>
        </w:rPr>
        <w:t xml:space="preserve"> </w:t>
      </w:r>
      <w:r w:rsidRPr="00A367E5">
        <w:rPr>
          <w:rFonts w:cs="Times New Roman"/>
          <w:vertAlign w:val="superscript"/>
        </w:rPr>
        <w:t>[20,21]</w:t>
      </w:r>
      <w:r w:rsidRPr="00A367E5">
        <w:rPr>
          <w:rFonts w:cs="Times New Roman"/>
        </w:rPr>
        <w:t xml:space="preserve"> were rated as having </w:t>
      </w:r>
      <w:r w:rsidR="007465CA">
        <w:rPr>
          <w:rFonts w:cs="Times New Roman"/>
        </w:rPr>
        <w:t>great</w:t>
      </w:r>
      <w:r w:rsidR="007465CA" w:rsidRPr="00A367E5">
        <w:rPr>
          <w:rFonts w:cs="Times New Roman"/>
        </w:rPr>
        <w:t xml:space="preserve"> </w:t>
      </w:r>
      <w:r w:rsidRPr="00A367E5">
        <w:rPr>
          <w:rFonts w:cs="Times New Roman"/>
        </w:rPr>
        <w:t>concern regarding applicability. This was attributed to the use of composite outcome measures and the inclusion of broad Central Venous Access Devices (CVADs) rather than exclusively PICCs, respectively. The remaining studies demonstrated low concern regarding applicability.</w:t>
      </w:r>
    </w:p>
    <w:p w14:paraId="4B5CC799" w14:textId="77777777" w:rsidR="00A338BD" w:rsidRPr="00A367E5" w:rsidRDefault="00AA0B36" w:rsidP="006A2125">
      <w:pPr>
        <w:ind w:firstLine="420"/>
        <w:rPr>
          <w:rFonts w:cs="Times New Roman"/>
        </w:rPr>
      </w:pPr>
      <w:r w:rsidRPr="00A367E5">
        <w:rPr>
          <w:rFonts w:cs="Times New Roman"/>
        </w:rPr>
        <w:t>Our findings indicate that compared to existing clinical risk scales, machine learning models generally exhibit superior predictive performance, characterized by higher sensitivity and specificity in screening for PICC-RVT in patients with cancer, suggesting their potential to guide prophylactic strategies. However, several limitations persist within the current literature, including the absence of external validation, inadequate handling of missing data, and insufficient sample sizes.</w:t>
      </w:r>
    </w:p>
    <w:p w14:paraId="41621A37" w14:textId="77777777" w:rsidR="00A338BD" w:rsidRPr="00A367E5" w:rsidRDefault="00A338BD" w:rsidP="006A2125">
      <w:pPr>
        <w:rPr>
          <w:rFonts w:cs="Times New Roman"/>
        </w:rPr>
      </w:pPr>
    </w:p>
    <w:p w14:paraId="6B947D74" w14:textId="77777777" w:rsidR="00A338BD" w:rsidRPr="006A2125" w:rsidRDefault="00AA0B36" w:rsidP="006A2125">
      <w:pPr>
        <w:rPr>
          <w:rFonts w:cs="Times New Roman"/>
          <w:b/>
          <w:bCs/>
        </w:rPr>
      </w:pPr>
      <w:r w:rsidRPr="006A2125">
        <w:rPr>
          <w:rFonts w:cs="Times New Roman"/>
          <w:b/>
          <w:bCs/>
        </w:rPr>
        <w:t>4. Discussion</w:t>
      </w:r>
    </w:p>
    <w:p w14:paraId="3A9DC44D" w14:textId="77777777" w:rsidR="00A338BD" w:rsidRPr="00A367E5" w:rsidRDefault="00AA0B36" w:rsidP="00E33F48">
      <w:pPr>
        <w:rPr>
          <w:rFonts w:cs="Times New Roman"/>
        </w:rPr>
      </w:pPr>
      <w:r w:rsidRPr="00A367E5">
        <w:rPr>
          <w:rFonts w:cs="Times New Roman"/>
        </w:rPr>
        <w:t>This systematic review synthesized evidence from seven studies retrieved from English-language databases, focusing on machine learning models developed to predict PICC-RVT in patients with cancer. We comprehensively summarized the characteristics and predictive performance of these models, while concurrently assessing their risk of bias and clinical applicability. The majority of the included models demonstrated low concern regarding applicability and excellent discriminative performance. However, notable m</w:t>
      </w:r>
      <w:r w:rsidRPr="00A367E5">
        <w:rPr>
          <w:rFonts w:cs="Times New Roman"/>
        </w:rPr>
        <w:t>ethodological shortcomings were identified, resulting in a high risk of bias, particularly within the statistical “analysis” domain.</w:t>
      </w:r>
    </w:p>
    <w:p w14:paraId="51808CDF" w14:textId="38BCB1A4" w:rsidR="00A338BD" w:rsidRPr="00A367E5" w:rsidRDefault="00AA0B36" w:rsidP="006A2125">
      <w:pPr>
        <w:ind w:firstLine="420"/>
        <w:rPr>
          <w:rFonts w:cs="Times New Roman"/>
        </w:rPr>
      </w:pPr>
      <w:r w:rsidRPr="00A367E5">
        <w:rPr>
          <w:rFonts w:cs="Times New Roman"/>
        </w:rPr>
        <w:t>Regarding data sources, the majority of included studies relied on single-center designs, with only two studies</w:t>
      </w:r>
      <w:r w:rsidR="00E33F48">
        <w:rPr>
          <w:rFonts w:cs="Times New Roman"/>
        </w:rPr>
        <w:t xml:space="preserve"> </w:t>
      </w:r>
      <w:r w:rsidRPr="00A367E5">
        <w:rPr>
          <w:rFonts w:cs="Times New Roman"/>
          <w:vertAlign w:val="superscript"/>
        </w:rPr>
        <w:t>[20,22]</w:t>
      </w:r>
      <w:r w:rsidRPr="00A367E5">
        <w:rPr>
          <w:rFonts w:cs="Times New Roman"/>
        </w:rPr>
        <w:t xml:space="preserve"> utilizing multicenter data. Specifically, Ma et al</w:t>
      </w:r>
      <w:r w:rsidR="00E33F48">
        <w:rPr>
          <w:rFonts w:cs="Times New Roman"/>
        </w:rPr>
        <w:t xml:space="preserve">. </w:t>
      </w:r>
      <w:r w:rsidRPr="00A367E5">
        <w:rPr>
          <w:rFonts w:cs="Times New Roman"/>
          <w:vertAlign w:val="superscript"/>
        </w:rPr>
        <w:t>[20]</w:t>
      </w:r>
      <w:r w:rsidRPr="00A367E5">
        <w:rPr>
          <w:rFonts w:cs="Times New Roman"/>
        </w:rPr>
        <w:t xml:space="preserve"> conducted external validation using multicenter data, while Li et al</w:t>
      </w:r>
      <w:r w:rsidR="00E33F48">
        <w:rPr>
          <w:rFonts w:cs="Times New Roman"/>
        </w:rPr>
        <w:t xml:space="preserve">. </w:t>
      </w:r>
      <w:r w:rsidRPr="00A367E5">
        <w:rPr>
          <w:rFonts w:cs="Times New Roman"/>
          <w:vertAlign w:val="superscript"/>
        </w:rPr>
        <w:t>[22]</w:t>
      </w:r>
      <w:r w:rsidRPr="00A367E5">
        <w:rPr>
          <w:rFonts w:cs="Times New Roman"/>
        </w:rPr>
        <w:t xml:space="preserve"> leveraged retrospective data from multiple institutions, employing a random partitioning strategy for performance validation. The remaining studies were dependent on single-center datasets derived from hospital admission registries. Given the inherent variability in data registration protocols across institutions, such heterogeneity poses a potential threat to the generalizability of these models. Consequently, large-scale multicenter studies utilizing standardized data collection protocols are warranted. </w:t>
      </w:r>
      <w:r w:rsidRPr="00A367E5">
        <w:rPr>
          <w:rFonts w:cs="Times New Roman"/>
        </w:rPr>
        <w:t>Notably, it was observed that Ma et al</w:t>
      </w:r>
      <w:r w:rsidR="00E33F48">
        <w:rPr>
          <w:rFonts w:cs="Times New Roman"/>
        </w:rPr>
        <w:t xml:space="preserve">. </w:t>
      </w:r>
      <w:r w:rsidRPr="00A367E5">
        <w:rPr>
          <w:rFonts w:cs="Times New Roman"/>
          <w:vertAlign w:val="superscript"/>
        </w:rPr>
        <w:t>[20]</w:t>
      </w:r>
      <w:r w:rsidRPr="00A367E5">
        <w:rPr>
          <w:rFonts w:cs="Times New Roman"/>
        </w:rPr>
        <w:t xml:space="preserve"> employed a 1:2 case-control sampling strategy to construct their training set. This implies that the </w:t>
      </w:r>
      <w:r w:rsidRPr="00A367E5">
        <w:rPr>
          <w:rFonts w:cs="Times New Roman"/>
        </w:rPr>
        <w:lastRenderedPageBreak/>
        <w:t>training dataset did not reflect the natural prevalence of the disease within the target population. While such sampling strategies are often adopted for efficiency, they necessitate subsequent correction, such as recalibration or weighting adjustments based on the sampling fraction, to ensure accurate probability estimates.</w:t>
      </w:r>
    </w:p>
    <w:p w14:paraId="4BA92B1E" w14:textId="77777777" w:rsidR="00A338BD" w:rsidRPr="00A367E5" w:rsidRDefault="00AA0B36" w:rsidP="006A2125">
      <w:pPr>
        <w:ind w:firstLine="420"/>
        <w:rPr>
          <w:rFonts w:cs="Times New Roman"/>
        </w:rPr>
      </w:pPr>
      <w:r w:rsidRPr="00A367E5">
        <w:rPr>
          <w:rFonts w:cs="Times New Roman"/>
        </w:rPr>
        <w:t>In terms of predictor selection, compared to traditional modeling approaches, machine learning (ML) facilitates the incorporation of a more diverse array of variables, including tumor-specific and genomic characteristics. Furthermore, given the multifactorial etiology of catheter-related thrombosis, the predictors identified vary significantly across different cancer types, and the predictive weight assigned to identical features differs among models. This observed heterogeneity suggests that future PICC-RV</w:t>
      </w:r>
      <w:r w:rsidRPr="00A367E5">
        <w:rPr>
          <w:rFonts w:cs="Times New Roman"/>
        </w:rPr>
        <w:t>T prediction models may need to account for the specificity inherent to different cancer types. Consequently, future research should prioritize robust feature selection and aim to elucidate the complex interplay between tumor-specific predictors and PICC-RVT risk.</w:t>
      </w:r>
    </w:p>
    <w:p w14:paraId="33E7EB27" w14:textId="1618E094" w:rsidR="00A338BD" w:rsidRPr="00A367E5" w:rsidRDefault="00AA0B36" w:rsidP="006A2125">
      <w:pPr>
        <w:ind w:firstLine="420"/>
        <w:rPr>
          <w:rFonts w:cs="Times New Roman"/>
        </w:rPr>
      </w:pPr>
      <w:r w:rsidRPr="00A367E5">
        <w:rPr>
          <w:rFonts w:cs="Times New Roman"/>
        </w:rPr>
        <w:t>In terms of statistical analysis, developing prediction models based on machine learning algorithms typically necessitates substantial sample sizes to mitigate the risk of overfitting. We observed that although Liu et al</w:t>
      </w:r>
      <w:r w:rsidR="00E33F48">
        <w:rPr>
          <w:rFonts w:cs="Times New Roman"/>
        </w:rPr>
        <w:t xml:space="preserve">. </w:t>
      </w:r>
      <w:r w:rsidRPr="00A367E5">
        <w:rPr>
          <w:rFonts w:cs="Times New Roman"/>
          <w:vertAlign w:val="superscript"/>
        </w:rPr>
        <w:t>[17]</w:t>
      </w:r>
      <w:r w:rsidRPr="00A367E5">
        <w:rPr>
          <w:rFonts w:cs="Times New Roman"/>
        </w:rPr>
        <w:t xml:space="preserve"> and Zhang et al</w:t>
      </w:r>
      <w:r w:rsidR="00E33F48">
        <w:rPr>
          <w:rFonts w:cs="Times New Roman"/>
        </w:rPr>
        <w:t xml:space="preserve">. </w:t>
      </w:r>
      <w:r w:rsidRPr="00A367E5">
        <w:rPr>
          <w:rFonts w:cs="Times New Roman"/>
          <w:vertAlign w:val="superscript"/>
        </w:rPr>
        <w:t>[21]</w:t>
      </w:r>
      <w:r w:rsidRPr="00A367E5">
        <w:rPr>
          <w:rFonts w:cs="Times New Roman"/>
        </w:rPr>
        <w:t xml:space="preserve"> employed shrinkage methods to reduce the number of included features, such techniques cannot compensate for an insufficient sample size. Even applying conventional rules of thumb, the Events Per Variable (EPV) in these studies remained below 10. Training machine learning models with such limited sample sizes poses a substantial risk of overfitting and model instability</w:t>
      </w:r>
      <w:r w:rsidR="00E33F48">
        <w:rPr>
          <w:rFonts w:cs="Times New Roman"/>
        </w:rPr>
        <w:t xml:space="preserve"> </w:t>
      </w:r>
      <w:r w:rsidRPr="00A367E5">
        <w:rPr>
          <w:rFonts w:cs="Times New Roman"/>
          <w:vertAlign w:val="superscript"/>
        </w:rPr>
        <w:t>[23,24]</w:t>
      </w:r>
      <w:r w:rsidRPr="00A367E5">
        <w:rPr>
          <w:rFonts w:cs="Times New Roman"/>
        </w:rPr>
        <w:t>. Furthermore, An et al</w:t>
      </w:r>
      <w:r w:rsidR="00E33F48">
        <w:rPr>
          <w:rFonts w:cs="Times New Roman"/>
        </w:rPr>
        <w:t>.</w:t>
      </w:r>
      <w:r w:rsidRPr="00A367E5">
        <w:rPr>
          <w:rFonts w:cs="Times New Roman"/>
        </w:rPr>
        <w:t xml:space="preserve"> and Fu et al</w:t>
      </w:r>
      <w:r w:rsidR="00E33F48">
        <w:rPr>
          <w:rFonts w:cs="Times New Roman"/>
        </w:rPr>
        <w:t>.</w:t>
      </w:r>
      <w:r w:rsidRPr="00A367E5">
        <w:rPr>
          <w:rFonts w:cs="Times New Roman"/>
        </w:rPr>
        <w:t xml:space="preserve"> utilized the Synthetic Minority Over-sampling Technique (SMOTE) to address class imbalance</w:t>
      </w:r>
      <w:r w:rsidR="00E33F48">
        <w:rPr>
          <w:rFonts w:cs="Times New Roman"/>
        </w:rPr>
        <w:t xml:space="preserve"> </w:t>
      </w:r>
      <w:r w:rsidRPr="00A367E5">
        <w:rPr>
          <w:rFonts w:cs="Times New Roman"/>
          <w:vertAlign w:val="superscript"/>
        </w:rPr>
        <w:t>[16,19]</w:t>
      </w:r>
      <w:r w:rsidRPr="00A367E5">
        <w:rPr>
          <w:rFonts w:cs="Times New Roman"/>
        </w:rPr>
        <w:t>. However, in the context of risk prediction, this approach may cause more harm than good. Evidence suggests that without subsequent recalibration, such methods for handling class imbalance are often detrimental to model performance</w:t>
      </w:r>
      <w:r w:rsidR="00E33F48">
        <w:rPr>
          <w:rFonts w:cs="Times New Roman"/>
        </w:rPr>
        <w:t xml:space="preserve"> </w:t>
      </w:r>
      <w:r w:rsidRPr="00A367E5">
        <w:rPr>
          <w:rFonts w:cs="Times New Roman"/>
          <w:vertAlign w:val="superscript"/>
        </w:rPr>
        <w:t>[25,26]</w:t>
      </w:r>
      <w:r w:rsidRPr="00A367E5">
        <w:rPr>
          <w:rFonts w:cs="Times New Roman"/>
        </w:rPr>
        <w:t>.</w:t>
      </w:r>
    </w:p>
    <w:p w14:paraId="6334F50F" w14:textId="77777777" w:rsidR="00A338BD" w:rsidRPr="00A367E5" w:rsidRDefault="00A338BD" w:rsidP="006A2125">
      <w:pPr>
        <w:rPr>
          <w:rFonts w:cs="Times New Roman"/>
        </w:rPr>
      </w:pPr>
    </w:p>
    <w:p w14:paraId="01AA1BA4" w14:textId="77777777" w:rsidR="00A338BD" w:rsidRPr="006A2125" w:rsidRDefault="00AA0B36" w:rsidP="006A2125">
      <w:pPr>
        <w:rPr>
          <w:rFonts w:cs="Times New Roman"/>
          <w:b/>
          <w:bCs/>
        </w:rPr>
      </w:pPr>
      <w:r w:rsidRPr="006A2125">
        <w:rPr>
          <w:rFonts w:cs="Times New Roman"/>
          <w:b/>
          <w:bCs/>
        </w:rPr>
        <w:t>4.1. Comparative performance: AI-based versus traditional prediction models</w:t>
      </w:r>
    </w:p>
    <w:p w14:paraId="75F31839" w14:textId="77777777" w:rsidR="00A338BD" w:rsidRPr="00A367E5" w:rsidRDefault="00AA0B36" w:rsidP="00E33F48">
      <w:pPr>
        <w:rPr>
          <w:rFonts w:cs="Times New Roman"/>
        </w:rPr>
      </w:pPr>
      <w:r w:rsidRPr="00A367E5">
        <w:rPr>
          <w:rFonts w:cs="Times New Roman"/>
        </w:rPr>
        <w:t xml:space="preserve">Our comparative analysis of traditional scoring systems versus machine learning (ML)-based models for predicting PICC-RVT yielded several key insights: </w:t>
      </w:r>
    </w:p>
    <w:p w14:paraId="4DA0B7A7" w14:textId="77777777" w:rsidR="00E33F48" w:rsidRDefault="00AA0B36" w:rsidP="006A2125">
      <w:pPr>
        <w:ind w:left="397" w:hanging="397"/>
        <w:rPr>
          <w:rFonts w:cs="Times New Roman"/>
        </w:rPr>
      </w:pPr>
      <w:r w:rsidRPr="00A367E5">
        <w:rPr>
          <w:rFonts w:cs="Times New Roman"/>
        </w:rPr>
        <w:t xml:space="preserve">(1) Performance Disparity: ML-based prediction models consistently demonstrated superior discrimination compared to traditional methods. </w:t>
      </w:r>
    </w:p>
    <w:p w14:paraId="1F8EC696" w14:textId="1BD79D39" w:rsidR="00E33F48" w:rsidRDefault="00AA0B36" w:rsidP="006A2125">
      <w:pPr>
        <w:ind w:left="397" w:hanging="397"/>
        <w:rPr>
          <w:rFonts w:cs="Times New Roman"/>
        </w:rPr>
      </w:pPr>
      <w:r w:rsidRPr="00A367E5">
        <w:rPr>
          <w:rFonts w:cs="Times New Roman"/>
        </w:rPr>
        <w:t>(2) Clinical Trade-offs: ML models exhibited significant performance variability across different institutions, suggesting that simpler, more parsimonious models may offer greater robustness. Research indicates that despite the superior accuracy of ML models, clinicians often prioritize interpretability, favoring established risk stratification tools</w:t>
      </w:r>
      <w:r w:rsidR="00E33F48">
        <w:rPr>
          <w:rFonts w:cs="Times New Roman"/>
        </w:rPr>
        <w:t xml:space="preserve"> </w:t>
      </w:r>
      <w:r w:rsidRPr="00A367E5">
        <w:rPr>
          <w:rFonts w:cs="Times New Roman"/>
          <w:vertAlign w:val="superscript"/>
        </w:rPr>
        <w:t>[27]</w:t>
      </w:r>
      <w:r w:rsidRPr="00A367E5">
        <w:rPr>
          <w:rFonts w:cs="Times New Roman"/>
        </w:rPr>
        <w:t>. For instance, Deng et al</w:t>
      </w:r>
      <w:r w:rsidR="00E33F48">
        <w:rPr>
          <w:rFonts w:cs="Times New Roman"/>
        </w:rPr>
        <w:t xml:space="preserve">. </w:t>
      </w:r>
      <w:r w:rsidRPr="00A367E5">
        <w:rPr>
          <w:rFonts w:cs="Times New Roman"/>
          <w:vertAlign w:val="superscript"/>
        </w:rPr>
        <w:t>[28]</w:t>
      </w:r>
      <w:r w:rsidRPr="00A367E5">
        <w:rPr>
          <w:rFonts w:cs="Times New Roman"/>
        </w:rPr>
        <w:t xml:space="preserve"> reported that despite the availability of precise ML predictions, 78% of clinicians preferred using the Caprini risk classification, highlighting the barrier posed by the “black box” nature of complex algorithms. </w:t>
      </w:r>
    </w:p>
    <w:p w14:paraId="09F54503" w14:textId="7D7E785E" w:rsidR="00A338BD" w:rsidRPr="00A367E5" w:rsidRDefault="00AA0B36" w:rsidP="006A2125">
      <w:pPr>
        <w:ind w:left="397" w:hanging="397"/>
        <w:rPr>
          <w:rFonts w:cs="Times New Roman"/>
        </w:rPr>
      </w:pPr>
      <w:r w:rsidRPr="00A367E5">
        <w:rPr>
          <w:rFonts w:cs="Times New Roman"/>
        </w:rPr>
        <w:t>(3) Implementation Challenges: Studies note that ML models often require time-intensive data preprocessing</w:t>
      </w:r>
      <w:r w:rsidR="00E33F48">
        <w:rPr>
          <w:rFonts w:cs="Times New Roman"/>
        </w:rPr>
        <w:t xml:space="preserve"> </w:t>
      </w:r>
      <w:r w:rsidRPr="00A367E5">
        <w:rPr>
          <w:rFonts w:cs="Times New Roman"/>
          <w:vertAlign w:val="superscript"/>
        </w:rPr>
        <w:t>[29]</w:t>
      </w:r>
      <w:r w:rsidRPr="00A367E5">
        <w:rPr>
          <w:rFonts w:cs="Times New Roman"/>
        </w:rPr>
        <w:t>. This underscores the critical necessity of developing integrated PICC-RVT informatics systems to streamline data management and enhance thrombosis control measures in clinical practice. Collectively, these findings suggest that while AI-based models offer quantifiable performance advantages, their successful clinical translation requires addressing stringent prerequisites. These include demonstrating clear evidence of clinical impact, developing specialized intelligent systems to improve efficiency, and e</w:t>
      </w:r>
      <w:r w:rsidRPr="00A367E5">
        <w:rPr>
          <w:rFonts w:cs="Times New Roman"/>
        </w:rPr>
        <w:t>nsuring model interpretability to facilitate user acceptance.</w:t>
      </w:r>
    </w:p>
    <w:p w14:paraId="21653E50" w14:textId="77777777" w:rsidR="00A338BD" w:rsidRPr="00A367E5" w:rsidRDefault="00A338BD" w:rsidP="006A2125">
      <w:pPr>
        <w:rPr>
          <w:rFonts w:cs="Times New Roman"/>
        </w:rPr>
      </w:pPr>
    </w:p>
    <w:p w14:paraId="44143BB5" w14:textId="77777777" w:rsidR="00A338BD" w:rsidRPr="006A2125" w:rsidRDefault="00AA0B36" w:rsidP="006A2125">
      <w:pPr>
        <w:rPr>
          <w:rFonts w:cs="Times New Roman"/>
          <w:b/>
          <w:bCs/>
        </w:rPr>
      </w:pPr>
      <w:r w:rsidRPr="006A2125">
        <w:rPr>
          <w:rFonts w:cs="Times New Roman"/>
          <w:b/>
          <w:bCs/>
        </w:rPr>
        <w:t>4.2. The nascent stage of machine learning models for predicting PICC-RVT risk in patients with cancer</w:t>
      </w:r>
    </w:p>
    <w:p w14:paraId="574374E1" w14:textId="77777777" w:rsidR="00A338BD" w:rsidRPr="00A367E5" w:rsidRDefault="00AA0B36" w:rsidP="00E33F48">
      <w:pPr>
        <w:rPr>
          <w:rFonts w:cs="Times New Roman"/>
        </w:rPr>
      </w:pPr>
      <w:r w:rsidRPr="00A367E5">
        <w:rPr>
          <w:rFonts w:cs="Times New Roman"/>
        </w:rPr>
        <w:t xml:space="preserve">This systematic review identified a diverse array of over 20 machine learning algorithms employed to predict PICC-related thrombosis in patients with cancer, with the literature predominantly concentrated within the last five years. While research in this specific domain emerged relatively </w:t>
      </w:r>
      <w:r w:rsidRPr="00A367E5">
        <w:rPr>
          <w:rFonts w:cs="Times New Roman"/>
        </w:rPr>
        <w:lastRenderedPageBreak/>
        <w:t>recently, it is experiencing rapid expansion, characterized by the active exploration of various algorithms for clinical application. Regarding predictive performance, all included models yielded an Area Under the Curve (AUC) exceeding 0.7, demonstrating generally acceptable discriminative ability. However, the total volume of literature remains limited. Furthermore, the studies exhibited a high risk of bias, particularly regarding data analysis, and frequently lacked rigorous external validation in their s</w:t>
      </w:r>
      <w:r w:rsidRPr="00A367E5">
        <w:rPr>
          <w:rFonts w:cs="Times New Roman"/>
        </w:rPr>
        <w:t>tudy designs. Consequently, the landscape of risk prediction modeling for PICC-RVT in patients with cancer remains in a developmental phase.</w:t>
      </w:r>
    </w:p>
    <w:p w14:paraId="51E7CBAE" w14:textId="77777777" w:rsidR="00A338BD" w:rsidRPr="00A367E5" w:rsidRDefault="00A338BD" w:rsidP="00E33F48">
      <w:pPr>
        <w:rPr>
          <w:rFonts w:cs="Times New Roman"/>
        </w:rPr>
      </w:pPr>
    </w:p>
    <w:p w14:paraId="447DBA49" w14:textId="77777777" w:rsidR="00A338BD" w:rsidRPr="006A2125" w:rsidRDefault="00AA0B36" w:rsidP="006A2125">
      <w:pPr>
        <w:rPr>
          <w:rFonts w:cs="Times New Roman"/>
          <w:b/>
          <w:bCs/>
        </w:rPr>
      </w:pPr>
      <w:r w:rsidRPr="006A2125">
        <w:rPr>
          <w:rFonts w:cs="Times New Roman"/>
          <w:b/>
          <w:bCs/>
        </w:rPr>
        <w:t>4.3. Limitations and future research directions</w:t>
      </w:r>
    </w:p>
    <w:p w14:paraId="266067D3" w14:textId="536C3A32" w:rsidR="00A338BD" w:rsidRPr="00A367E5" w:rsidRDefault="00AA0B36" w:rsidP="00E33F48">
      <w:pPr>
        <w:rPr>
          <w:rFonts w:cs="Times New Roman"/>
        </w:rPr>
      </w:pPr>
      <w:r w:rsidRPr="00A367E5">
        <w:rPr>
          <w:rFonts w:cs="Times New Roman"/>
        </w:rPr>
        <w:t>Several critical limitations exist regarding the evaluation and development of machine learning models for predicting PICC-related thromboembolism. First, while the PROBAST+AI tool facilitated a rigorous quality assessment, it does not offer a quantitative evaluation of predictive performance. Given that a quantitative meta-analysis was deemed unreliable due to substantial heterogeneity in model development, analysis, and validation, we relied on this qualitative assessment framework to characterize these m</w:t>
      </w:r>
      <w:r w:rsidRPr="00A367E5">
        <w:rPr>
          <w:rFonts w:cs="Times New Roman"/>
        </w:rPr>
        <w:t>ethodological variations. The absence of established “gold standards” for ML development in this domain (e.g., protocols for handling missing data)</w:t>
      </w:r>
      <w:r w:rsidR="002174ED">
        <w:rPr>
          <w:rFonts w:cs="Times New Roman"/>
        </w:rPr>
        <w:t xml:space="preserve"> </w:t>
      </w:r>
      <w:r w:rsidRPr="00A367E5">
        <w:rPr>
          <w:rFonts w:cs="Times New Roman"/>
          <w:vertAlign w:val="superscript"/>
        </w:rPr>
        <w:t>[30]</w:t>
      </w:r>
      <w:r w:rsidRPr="00A367E5">
        <w:rPr>
          <w:rFonts w:cs="Times New Roman"/>
        </w:rPr>
        <w:t xml:space="preserve"> further exacerbates this methodological ambiguity. Additionally, variability in patient populations across studies—and even between hospitals within the same region—contributes to heterogeneity, potentially leading to substantial fluctuations in model performance</w:t>
      </w:r>
      <w:r w:rsidR="002174ED">
        <w:rPr>
          <w:rFonts w:cs="Times New Roman"/>
        </w:rPr>
        <w:t xml:space="preserve"> </w:t>
      </w:r>
      <w:r w:rsidRPr="00A367E5">
        <w:rPr>
          <w:rFonts w:cs="Times New Roman"/>
          <w:vertAlign w:val="superscript"/>
        </w:rPr>
        <w:t>[31,32]</w:t>
      </w:r>
      <w:r w:rsidRPr="00A367E5">
        <w:rPr>
          <w:rFonts w:cs="Times New Roman"/>
        </w:rPr>
        <w:t>. Notably, the majority of included studies originated from China, which may restrict the generalizability of findings to Western populations. Consequently, recalibration or local validation is essential prior to applying these models in diverse settings. Therefore, this review does not endorse a single specific model as the optimal tool for predicting PICC-RVT in patients with cancer. Furthermore, all studies shared AI-specific limitations, specifically the lack of assessment regarding algorithmic fairness</w:t>
      </w:r>
      <w:r w:rsidRPr="00A367E5">
        <w:rPr>
          <w:rFonts w:cs="Times New Roman"/>
        </w:rPr>
        <w:t xml:space="preserve"> and the absence of analyses concerning deployment feasibility. While this field demonstrates promise for future clinical application, current evidence does not support replacing established risk assessment tools with AI-based methods. Substantial methodological improvements and extensive clinical validation are required prior to routine implementation.</w:t>
      </w:r>
    </w:p>
    <w:p w14:paraId="5B7BD34E" w14:textId="77777777" w:rsidR="00A338BD" w:rsidRPr="00A367E5" w:rsidRDefault="00AA0B36" w:rsidP="006A2125">
      <w:pPr>
        <w:ind w:firstLine="420"/>
        <w:rPr>
          <w:rFonts w:cs="Times New Roman"/>
        </w:rPr>
      </w:pPr>
      <w:r w:rsidRPr="00A367E5">
        <w:rPr>
          <w:rFonts w:cs="Times New Roman"/>
        </w:rPr>
        <w:t>Consequently, future research is advised to leverage machine learning technologies to develop and rigorously validate robust risk prediction models for PICC-RVT. Emphasizing the mitigation of bias is essential to facilitate the effective translation of these models into clinical practice, ultimately enhancing patient safety and quality of life.</w:t>
      </w:r>
    </w:p>
    <w:p w14:paraId="38664661" w14:textId="77777777" w:rsidR="00A338BD" w:rsidRPr="00A367E5" w:rsidRDefault="00A338BD" w:rsidP="006A2125">
      <w:pPr>
        <w:rPr>
          <w:rFonts w:cs="Times New Roman"/>
        </w:rPr>
      </w:pPr>
    </w:p>
    <w:p w14:paraId="46A6D86C" w14:textId="77777777" w:rsidR="00A338BD" w:rsidRPr="006A2125" w:rsidRDefault="00AA0B36" w:rsidP="006A2125">
      <w:pPr>
        <w:rPr>
          <w:rFonts w:cs="Times New Roman"/>
          <w:b/>
          <w:bCs/>
        </w:rPr>
      </w:pPr>
      <w:r w:rsidRPr="006A2125">
        <w:rPr>
          <w:rFonts w:cs="Times New Roman"/>
          <w:b/>
          <w:bCs/>
        </w:rPr>
        <w:t>5. Conclusion</w:t>
      </w:r>
    </w:p>
    <w:p w14:paraId="09C97144" w14:textId="77777777" w:rsidR="00A338BD" w:rsidRPr="00A367E5" w:rsidRDefault="00AA0B36" w:rsidP="00E33F48">
      <w:pPr>
        <w:rPr>
          <w:rFonts w:cs="Times New Roman"/>
        </w:rPr>
      </w:pPr>
      <w:r w:rsidRPr="00A367E5">
        <w:rPr>
          <w:rFonts w:cs="Times New Roman"/>
        </w:rPr>
        <w:t xml:space="preserve">This systematic review included seven studies and comprehensively evaluated the characteristics of AI-based risk prediction models for PICC-RVT in patients with cancer across four dimensions: participants, predictors, outcome, and analysis. Our findings indicate a generally high risk of bias across the included literature, despite the clinical applicability of the models being deemed acceptable. The majority of models lacked multicenter validation, thereby compromising their stability and generalizability. </w:t>
      </w:r>
      <w:r w:rsidRPr="00A367E5">
        <w:rPr>
          <w:rFonts w:cs="Times New Roman"/>
        </w:rPr>
        <w:t>Furthermore, research utilizing unstructured data remains underexplored, and few prediction models have been effectively implemented in clinical settings to date. Future research should integrate multimodal data using rigorous machine learning methodologies to elucidate the complex interactions among risk factors across different tumor types. Such efforts are essential to facilitate the clinical translation of these models, ultimately enhancing the efficacy of prophylactic strategies for PICC-RVT.</w:t>
      </w:r>
    </w:p>
    <w:p w14:paraId="100B02DD" w14:textId="77777777" w:rsidR="00A338BD" w:rsidRPr="00A367E5" w:rsidRDefault="00A338BD" w:rsidP="00E33F48">
      <w:pPr>
        <w:rPr>
          <w:rFonts w:cs="Times New Roman"/>
        </w:rPr>
      </w:pPr>
    </w:p>
    <w:p w14:paraId="2E13D15A" w14:textId="77777777" w:rsidR="00A338BD" w:rsidRPr="006A2125" w:rsidRDefault="00AA0B36" w:rsidP="00E33F48">
      <w:pPr>
        <w:rPr>
          <w:rFonts w:cs="Times New Roman"/>
          <w:b/>
          <w:bCs/>
        </w:rPr>
      </w:pPr>
      <w:r w:rsidRPr="006A2125">
        <w:rPr>
          <w:rFonts w:cs="Times New Roman"/>
          <w:b/>
          <w:bCs/>
        </w:rPr>
        <w:t>Funding</w:t>
      </w:r>
    </w:p>
    <w:p w14:paraId="49534256" w14:textId="35A3CD2E" w:rsidR="00A338BD" w:rsidRPr="00A367E5" w:rsidRDefault="00AA0B36" w:rsidP="00E33F48">
      <w:pPr>
        <w:rPr>
          <w:rFonts w:cs="Times New Roman"/>
        </w:rPr>
      </w:pPr>
      <w:r w:rsidRPr="00A367E5">
        <w:rPr>
          <w:rFonts w:cs="Times New Roman"/>
        </w:rPr>
        <w:t>Zhejiang Provincial Medical and Health Research Program</w:t>
      </w:r>
      <w:r w:rsidR="00A367E5">
        <w:rPr>
          <w:rFonts w:cs="Times New Roman"/>
        </w:rPr>
        <w:t>,</w:t>
      </w:r>
      <w:r w:rsidRPr="00A367E5">
        <w:rPr>
          <w:rFonts w:cs="Times New Roman"/>
        </w:rPr>
        <w:t xml:space="preserve"> </w:t>
      </w:r>
      <w:r w:rsidR="00A367E5">
        <w:rPr>
          <w:rFonts w:cs="Times New Roman"/>
        </w:rPr>
        <w:t>“</w:t>
      </w:r>
      <w:r w:rsidRPr="00A367E5">
        <w:rPr>
          <w:rFonts w:cs="Times New Roman"/>
        </w:rPr>
        <w:t>Establishment of a database on PICC catheter-related thrombosis in the “real world” based on tumors and research on evidence-based nursing practice</w:t>
      </w:r>
      <w:r w:rsidR="00A367E5">
        <w:rPr>
          <w:rFonts w:cs="Times New Roman"/>
        </w:rPr>
        <w:t>”</w:t>
      </w:r>
      <w:r w:rsidRPr="00A367E5">
        <w:rPr>
          <w:rFonts w:cs="Times New Roman"/>
        </w:rPr>
        <w:t xml:space="preserve"> (</w:t>
      </w:r>
      <w:r w:rsidR="00A367E5">
        <w:rPr>
          <w:rFonts w:cs="Times New Roman"/>
        </w:rPr>
        <w:t xml:space="preserve">Project No.: </w:t>
      </w:r>
      <w:r w:rsidRPr="00A367E5">
        <w:rPr>
          <w:rFonts w:cs="Times New Roman"/>
        </w:rPr>
        <w:t>2022KY672)</w:t>
      </w:r>
    </w:p>
    <w:p w14:paraId="1A24C984" w14:textId="77777777" w:rsidR="00A338BD" w:rsidRPr="00A367E5" w:rsidRDefault="00A338BD" w:rsidP="00E33F48">
      <w:pPr>
        <w:rPr>
          <w:rFonts w:cs="Times New Roman"/>
        </w:rPr>
      </w:pPr>
    </w:p>
    <w:p w14:paraId="1053927D" w14:textId="77777777" w:rsidR="00A338BD" w:rsidRPr="006A2125" w:rsidRDefault="00AA0B36" w:rsidP="006A2125">
      <w:pPr>
        <w:rPr>
          <w:rFonts w:cs="Times New Roman"/>
          <w:b/>
          <w:bCs/>
        </w:rPr>
      </w:pPr>
      <w:bookmarkStart w:id="2" w:name="_Hlk181689731"/>
      <w:r w:rsidRPr="006A2125">
        <w:rPr>
          <w:rFonts w:cs="Times New Roman"/>
          <w:b/>
          <w:bCs/>
        </w:rPr>
        <w:t>Disclosure statement</w:t>
      </w:r>
    </w:p>
    <w:p w14:paraId="71278E76" w14:textId="77777777" w:rsidR="00A338BD" w:rsidRPr="00A367E5" w:rsidRDefault="00AA0B36" w:rsidP="006A2125">
      <w:pPr>
        <w:rPr>
          <w:rFonts w:cs="Times New Roman"/>
        </w:rPr>
      </w:pPr>
      <w:r w:rsidRPr="00A367E5">
        <w:rPr>
          <w:rFonts w:cs="Times New Roman"/>
        </w:rPr>
        <w:t xml:space="preserve">The authors declare no conflict of interest. </w:t>
      </w:r>
    </w:p>
    <w:bookmarkEnd w:id="2"/>
    <w:p w14:paraId="159148E5" w14:textId="77777777" w:rsidR="00A338BD" w:rsidRPr="00A367E5" w:rsidRDefault="00A338BD" w:rsidP="00E33F48">
      <w:pPr>
        <w:rPr>
          <w:rFonts w:cs="Times New Roman"/>
        </w:rPr>
      </w:pPr>
    </w:p>
    <w:p w14:paraId="01A62EC5" w14:textId="77777777" w:rsidR="00A338BD" w:rsidRDefault="00AA0B36" w:rsidP="00A367E5">
      <w:pPr>
        <w:rPr>
          <w:rFonts w:cs="Times New Roman"/>
          <w:b/>
          <w:bCs/>
        </w:rPr>
      </w:pPr>
      <w:r w:rsidRPr="006A2125">
        <w:rPr>
          <w:rFonts w:cs="Times New Roman"/>
          <w:b/>
          <w:bCs/>
        </w:rPr>
        <w:t>References</w:t>
      </w:r>
    </w:p>
    <w:p w14:paraId="6893CC49" w14:textId="68A47D37" w:rsidR="00A367E5" w:rsidRDefault="00A367E5" w:rsidP="00A367E5">
      <w:pPr>
        <w:ind w:left="454" w:hanging="454"/>
      </w:pPr>
      <w:bookmarkStart w:id="3" w:name="_Hlk185327419"/>
      <w:r>
        <w:t>[1]</w:t>
      </w:r>
      <w:r>
        <w:tab/>
        <w:t>Chen P, Zhu B, Wan G, et al., 2021, The Incidence of Asymptomatic Thrombosis Related to Peripherally Inserted Central Catheter in Adults: A Systematic Review and Meta-Analysis. Nurs Open, 8: 2249–2261.</w:t>
      </w:r>
    </w:p>
    <w:p w14:paraId="6BF16018" w14:textId="067C7FA6" w:rsidR="00A367E5" w:rsidRDefault="00A367E5" w:rsidP="00A367E5">
      <w:pPr>
        <w:ind w:left="454" w:hanging="454"/>
      </w:pPr>
      <w:r>
        <w:t>[2]</w:t>
      </w:r>
      <w:r>
        <w:tab/>
        <w:t>Luo L, Jing XM, Wang GR, et al., 2016, Peripherally Inserted Central Catheter-Related Upper Extremity Venous Thrombosis in Oncology Patients: A Prospective Study Based on Doppler Sonography. J Ultrasound Med, 35: 1759–1763.</w:t>
      </w:r>
    </w:p>
    <w:p w14:paraId="7ACCEBD2" w14:textId="1B58A512" w:rsidR="00A367E5" w:rsidRDefault="00A367E5" w:rsidP="00A367E5">
      <w:pPr>
        <w:ind w:left="454" w:hanging="454"/>
      </w:pPr>
      <w:r>
        <w:t>[3]</w:t>
      </w:r>
      <w:r>
        <w:tab/>
        <w:t>Fallouh N, McGuirk HM, Flanders SA, et al., 2015, Peripherally Inserted Central Catheter-Associated Deep Vein Thrombosis: A Narrative Review. Am J Med, 128: 722–738.</w:t>
      </w:r>
    </w:p>
    <w:p w14:paraId="1CE27574" w14:textId="39371E5A" w:rsidR="00A367E5" w:rsidRDefault="00A367E5" w:rsidP="00A367E5">
      <w:pPr>
        <w:ind w:left="454" w:hanging="454"/>
      </w:pPr>
      <w:r>
        <w:t>[4]</w:t>
      </w:r>
      <w:r>
        <w:tab/>
        <w:t>Chen P, Wan G, Zhu B, 2021, Incidence and Risk Factors of Symptomatic Thrombosis Related to Peripherally Inserted Central Catheter in Patients with Lung Cancer. J Adv Nurs, 77: 1284–1292.</w:t>
      </w:r>
    </w:p>
    <w:p w14:paraId="15A11A19" w14:textId="464C9126" w:rsidR="00A367E5" w:rsidRDefault="00A367E5" w:rsidP="00A367E5">
      <w:pPr>
        <w:ind w:left="454" w:hanging="454"/>
      </w:pPr>
      <w:r>
        <w:t>[5]</w:t>
      </w:r>
      <w:r>
        <w:tab/>
        <w:t>Lopez-Rubio M, Lago-Rodriguez MO, Ordieres-Ortega L, et al., 2024, A Comprehensive Review of Catheter-Related Thrombosis. J Clin Med, 13: 7818.</w:t>
      </w:r>
    </w:p>
    <w:p w14:paraId="35B0D15A" w14:textId="382E676C" w:rsidR="00A367E5" w:rsidRDefault="00A367E5" w:rsidP="00A367E5">
      <w:pPr>
        <w:ind w:left="454" w:hanging="454"/>
      </w:pPr>
      <w:r>
        <w:t>[6]</w:t>
      </w:r>
      <w:r>
        <w:tab/>
        <w:t>Chopra V, Kaatz S, Conlon A, et al., 2017, The Michigan Risk Score to Predict Peripherally Inserted Central Catheter-Associated Thrombosis. J Thromb Haemost, 15: 1951–1962.</w:t>
      </w:r>
    </w:p>
    <w:p w14:paraId="7AD7701F" w14:textId="4071B3D8" w:rsidR="00A367E5" w:rsidRDefault="00A367E5" w:rsidP="00A367E5">
      <w:pPr>
        <w:ind w:left="454" w:hanging="454"/>
      </w:pPr>
      <w:r>
        <w:t>[7]</w:t>
      </w:r>
      <w:r>
        <w:tab/>
        <w:t>Seeley MA, Santiago M, Shott S, 2007, Prediction Tool for Thrombi Associated with Peripherally Inserted Central Catheters. J Infus Nurs, 30: 280–286.</w:t>
      </w:r>
    </w:p>
    <w:p w14:paraId="219FD39A" w14:textId="3A8DA145" w:rsidR="00A367E5" w:rsidRDefault="00A367E5" w:rsidP="00A367E5">
      <w:pPr>
        <w:ind w:left="454" w:hanging="454"/>
      </w:pPr>
      <w:r>
        <w:t>[8]</w:t>
      </w:r>
      <w:r>
        <w:tab/>
        <w:t>Autar R, 1996, Nursing Assessment of Clients at Risk of Deep Vein Thrombosis (DVT): The Autar DVT Scale. J Adv Nurs, 23: 763–770.</w:t>
      </w:r>
    </w:p>
    <w:p w14:paraId="199F0EC3" w14:textId="3172D8BC" w:rsidR="00A367E5" w:rsidRDefault="00A367E5" w:rsidP="00A367E5">
      <w:pPr>
        <w:ind w:left="454" w:hanging="454"/>
      </w:pPr>
      <w:r>
        <w:t>[9]</w:t>
      </w:r>
      <w:r>
        <w:tab/>
        <w:t>Caprini JA, 2005, Thrombosis Risk Assessment as a Guide to Quality Patient Care. Dis Mon, 51: 70–78.</w:t>
      </w:r>
    </w:p>
    <w:p w14:paraId="30D8807C" w14:textId="58FDBA64" w:rsidR="00A367E5" w:rsidRDefault="00A367E5" w:rsidP="00A367E5">
      <w:pPr>
        <w:ind w:left="454" w:hanging="454"/>
      </w:pPr>
      <w:r>
        <w:t>[10]</w:t>
      </w:r>
      <w:r>
        <w:tab/>
        <w:t>Dhillon SK, Ganggayah MD, Sinnadurai S, et al., 2022, Theory and Practice of Integrating Machine Learning and Conventional Statistics in Medical Data Analysis. Diagnostics (Basel), 12: 2526.</w:t>
      </w:r>
    </w:p>
    <w:p w14:paraId="4F8CF618" w14:textId="5A1DEA21" w:rsidR="00A367E5" w:rsidRDefault="00A367E5" w:rsidP="00A367E5">
      <w:pPr>
        <w:ind w:left="454" w:hanging="454"/>
      </w:pPr>
      <w:r>
        <w:t>[11]</w:t>
      </w:r>
      <w:r>
        <w:tab/>
        <w:t>Yu MY, Yoo HY, Han GI, et al., 2025, Comparing the Performance of Machine Learning Models and Conventional Risk Scores for Predicting Major Adverse Cardiovascular Cerebrovascular Events After Percutaneous Coronary Intervention in Patients with Acute Myocardial Infarction: Systematic Review and Meta-Analysis. J Med Internet Res, 27: e76215.</w:t>
      </w:r>
    </w:p>
    <w:p w14:paraId="73D3FE4A" w14:textId="7B6CE007" w:rsidR="00A367E5" w:rsidRDefault="00A367E5" w:rsidP="00A367E5">
      <w:pPr>
        <w:ind w:left="454" w:hanging="454"/>
      </w:pPr>
      <w:r>
        <w:t>[12]</w:t>
      </w:r>
      <w:r>
        <w:tab/>
        <w:t>Moons KGM, Damen JAA, Kaul T, et al., 2025, PROBAST+AI: An Updated Quality, Risk of Bias, and Applicability Assessment Tool for Prediction Models Using Regression or Artificial Intelligence Methods. BMJ, 388: e082505.</w:t>
      </w:r>
    </w:p>
    <w:p w14:paraId="79DD01A3" w14:textId="1E114CE0" w:rsidR="00A367E5" w:rsidRDefault="00A367E5" w:rsidP="00A367E5">
      <w:pPr>
        <w:ind w:left="454" w:hanging="454"/>
      </w:pPr>
      <w:r>
        <w:t>[13]</w:t>
      </w:r>
      <w:r>
        <w:tab/>
        <w:t>Page MJ, McKenzie JE, Bossuyt PM, et al., 2021, The PRISMA 2020 Statement: An Updated Guideline for Reporting Systematic Reviews. BMJ, 372: n71.</w:t>
      </w:r>
    </w:p>
    <w:p w14:paraId="1A5A7CE6" w14:textId="6206269B" w:rsidR="00A367E5" w:rsidRDefault="00A367E5" w:rsidP="00A367E5">
      <w:pPr>
        <w:ind w:left="454" w:hanging="454"/>
      </w:pPr>
      <w:r>
        <w:t>[14]</w:t>
      </w:r>
      <w:r>
        <w:tab/>
        <w:t xml:space="preserve">Aromataris E, Lockwood C, Porritt K, et al., JBI Manual for Evidence Synthesis. JBI Manual for Evidence Synthesis, visited on </w:t>
      </w:r>
      <w:r w:rsidRPr="00A367E5">
        <w:t>January 20</w:t>
      </w:r>
      <w:r>
        <w:t xml:space="preserve">. 2026, </w:t>
      </w:r>
      <w:r w:rsidRPr="00A367E5">
        <w:t>https://jbi-global-wiki.refined.site/space/MANUAL/4685837/jbi-global-wiki.refined.site</w:t>
      </w:r>
      <w:r>
        <w:t>.</w:t>
      </w:r>
    </w:p>
    <w:p w14:paraId="7EBC98FB" w14:textId="0AA6C46D" w:rsidR="00A367E5" w:rsidRDefault="00A367E5" w:rsidP="00A367E5">
      <w:pPr>
        <w:ind w:left="454" w:hanging="454"/>
      </w:pPr>
      <w:r>
        <w:t>[15]</w:t>
      </w:r>
      <w:r>
        <w:tab/>
        <w:t>Moons KG, de Groot JA, Bouwmeester W, et al., 2014, Critical Appraisal and Data Extraction for Systematic Reviews of Prediction Modelling Studies: The CHARMS Checklist. PLoS Med, 11: e1001744.</w:t>
      </w:r>
    </w:p>
    <w:p w14:paraId="23468919" w14:textId="0BE5934C" w:rsidR="00A367E5" w:rsidRDefault="00A367E5" w:rsidP="00A367E5">
      <w:pPr>
        <w:ind w:left="454" w:hanging="454"/>
      </w:pPr>
      <w:r>
        <w:t>[16]</w:t>
      </w:r>
      <w:r>
        <w:tab/>
        <w:t>An T, Han H, Xie J, et al., 2025, Enhancing Prediction and Stratifying Risk: Machine Learning and Bayesian-Learning Models for Catheter-Related Thrombosis in Chemotherapy Patients. BMC Cancer, 25: 552.</w:t>
      </w:r>
    </w:p>
    <w:p w14:paraId="63061BA3" w14:textId="10FC8C10" w:rsidR="00A367E5" w:rsidRDefault="00A367E5" w:rsidP="00A367E5">
      <w:pPr>
        <w:ind w:left="454" w:hanging="454"/>
      </w:pPr>
      <w:r>
        <w:t>[17]</w:t>
      </w:r>
      <w:r>
        <w:tab/>
        <w:t>Liu S, Zhang F, Xie L, et al., 2019, Machine Learning Approaches for Risk Assessment of Peripherally Inserted Central Catheter-Related Vein Thrombosis in Hospitalized Patients with Cancer. Int J Med Inform, 129: 175–183.</w:t>
      </w:r>
    </w:p>
    <w:p w14:paraId="6ABD9C23" w14:textId="56BF70A7" w:rsidR="00A367E5" w:rsidRDefault="00A367E5" w:rsidP="00A367E5">
      <w:pPr>
        <w:ind w:left="454" w:hanging="454"/>
      </w:pPr>
      <w:r>
        <w:lastRenderedPageBreak/>
        <w:t>[18]</w:t>
      </w:r>
      <w:r>
        <w:tab/>
        <w:t>Hu H, Wu Z, Zhao J, 2024, Peripherally Inserted Central-Related Upper Extremity Deep Vein Thrombosis and Machine Learning. Vascular, 32: 1346–1351.</w:t>
      </w:r>
    </w:p>
    <w:p w14:paraId="54A88FB3" w14:textId="6B0CDCEA" w:rsidR="00A367E5" w:rsidRDefault="00A367E5" w:rsidP="00A367E5">
      <w:pPr>
        <w:ind w:left="454" w:hanging="454"/>
      </w:pPr>
      <w:r>
        <w:t>[19]</w:t>
      </w:r>
      <w:r>
        <w:tab/>
        <w:t>Fu J, Cai W, Zeng B, et al., 2022, Development and Validation of a Predictive Model for Peripherally Inserted Central Catheter-Related Thrombosis in Breast Cancer Patients Based on Artificial Neural Network: A Prospective Cohort Study. Int J Nurs Stud, 135: 104341.</w:t>
      </w:r>
    </w:p>
    <w:p w14:paraId="763622E3" w14:textId="454B1513" w:rsidR="00A367E5" w:rsidRDefault="00A367E5" w:rsidP="00A367E5">
      <w:pPr>
        <w:ind w:left="454" w:hanging="454"/>
      </w:pPr>
      <w:r>
        <w:t>[20]</w:t>
      </w:r>
      <w:r>
        <w:tab/>
        <w:t>Ma G, Chen S, Peng S, et al., 2025, Construction and Validation of a Nomogram Prediction Model for the Catheter-Related Thrombosis Risk of Central Venous Access Devices in Patients with Cancer: A Prospective Machine Learning Study. J Thromb Thrombolysis, 58: 220–231.</w:t>
      </w:r>
    </w:p>
    <w:p w14:paraId="1B119C02" w14:textId="74CA0880" w:rsidR="00A367E5" w:rsidRDefault="00A367E5" w:rsidP="00A367E5">
      <w:pPr>
        <w:ind w:left="454" w:hanging="454"/>
      </w:pPr>
      <w:r>
        <w:t>[21]</w:t>
      </w:r>
      <w:r>
        <w:tab/>
        <w:t>Zhang F, Ye G, Chen P, et al., 2024, Comparative Predictive Modeling for PICC Line Complications in Oncology: A Retrospective Study. Br J Hosp Med (Lond), 85: 1–15.</w:t>
      </w:r>
    </w:p>
    <w:p w14:paraId="054B1059" w14:textId="4DF869B8" w:rsidR="00A367E5" w:rsidRDefault="00A367E5" w:rsidP="00A367E5">
      <w:pPr>
        <w:ind w:left="454" w:hanging="454"/>
      </w:pPr>
      <w:r>
        <w:t>[22]</w:t>
      </w:r>
      <w:r>
        <w:tab/>
        <w:t>Li Y, Nie S, Wang L, et al., 2024, Integrating Deep Learning in Public Health: A Novel Approach to PICC-RVT Risk Assessment. Front Public Health, 12: 1445425.</w:t>
      </w:r>
    </w:p>
    <w:p w14:paraId="514CA7AD" w14:textId="109AF047" w:rsidR="00A367E5" w:rsidRDefault="00A367E5" w:rsidP="00A367E5">
      <w:pPr>
        <w:ind w:left="454" w:hanging="454"/>
      </w:pPr>
      <w:r>
        <w:t>[23]</w:t>
      </w:r>
      <w:r>
        <w:tab/>
        <w:t>Van Calster B, van Smeden M, De Cock B, et al., 2020, Regression Shrinkage Methods for Clinical Prediction Models Do Not Guarantee Improved Performance: Simulation Study. Stat Methods Med Res, 29: 3166–3178.</w:t>
      </w:r>
    </w:p>
    <w:p w14:paraId="3F96D90C" w14:textId="150208C5" w:rsidR="00A367E5" w:rsidRDefault="00A367E5" w:rsidP="00A367E5">
      <w:pPr>
        <w:ind w:left="454" w:hanging="454"/>
      </w:pPr>
      <w:r>
        <w:t>[24]</w:t>
      </w:r>
      <w:r>
        <w:tab/>
        <w:t>Riley RD, Snell KIE, Martin GP, et al., 2021, Penalization and Shrinkage Methods Produced Unreliable Clinical Prediction Models Especially When Sample Size Was Small. J Clin Epidemiol, 132: 88–96.</w:t>
      </w:r>
    </w:p>
    <w:p w14:paraId="50CF6CC2" w14:textId="79C101D9" w:rsidR="00A367E5" w:rsidRDefault="00A367E5" w:rsidP="00A367E5">
      <w:pPr>
        <w:ind w:left="454" w:hanging="454"/>
      </w:pPr>
      <w:r>
        <w:t>[25]</w:t>
      </w:r>
      <w:r>
        <w:tab/>
        <w:t>van den Goorbergh R, van Smeden M, Timmerman D, et al., 2022, The Harm of Class Imbalance Corrections for Risk Prediction Models: Illustration and Simulation Using Logistic Regression. J Am Med Inform Assoc, 29: 1525–1534.</w:t>
      </w:r>
    </w:p>
    <w:p w14:paraId="5A24B1EB" w14:textId="764380B9" w:rsidR="00A367E5" w:rsidRDefault="00A367E5" w:rsidP="00A367E5">
      <w:pPr>
        <w:ind w:left="454" w:hanging="454"/>
      </w:pPr>
      <w:r>
        <w:t>[26]</w:t>
      </w:r>
      <w:r>
        <w:tab/>
        <w:t>Carriero A, Luijken K, de Hond A, et al., 2025, The Harms of Class Imbalance Corrections for Machine Learning Based Prediction Models: A Simulation Study. Stat Med, 44: e10320.</w:t>
      </w:r>
    </w:p>
    <w:p w14:paraId="0C2DDC8A" w14:textId="21B3DFAE" w:rsidR="00A367E5" w:rsidRDefault="00A367E5" w:rsidP="00A367E5">
      <w:pPr>
        <w:ind w:left="454" w:hanging="454"/>
      </w:pPr>
      <w:r>
        <w:t>[27]</w:t>
      </w:r>
      <w:r>
        <w:tab/>
        <w:t>Adlung L, Cohen Y, Mor U, et al., 2021, Machine Learning in Clinical Decision Making. Med, 2: 642–665.</w:t>
      </w:r>
    </w:p>
    <w:p w14:paraId="7C76B00D" w14:textId="18EF5C1A" w:rsidR="00A367E5" w:rsidRDefault="00A367E5" w:rsidP="00A367E5">
      <w:pPr>
        <w:ind w:left="454" w:hanging="454"/>
      </w:pPr>
      <w:r>
        <w:t>[28]</w:t>
      </w:r>
      <w:r>
        <w:tab/>
        <w:t>Deng RX, Zhu XL, Zhang AB, et al., 2023, Machine Learning Algorithm as a Prognostic Tool for Venous Thromboembolism in Allogeneic Transplant Patients. Transplant Cell Ther, 29: 57.e1–57.e10.</w:t>
      </w:r>
    </w:p>
    <w:p w14:paraId="5284BA6E" w14:textId="0BDFF06A" w:rsidR="00A367E5" w:rsidRDefault="00A367E5" w:rsidP="00A367E5">
      <w:pPr>
        <w:ind w:left="454" w:hanging="454"/>
      </w:pPr>
      <w:r>
        <w:t>[29]</w:t>
      </w:r>
      <w:r>
        <w:tab/>
        <w:t>Maharana K, Mondal S, Nemade B, 2022, A Review: Data Pre-Processing and Data Augmentation Techniques. Glob Transit Proc, 3: 91–99.</w:t>
      </w:r>
    </w:p>
    <w:p w14:paraId="5E80638E" w14:textId="2949A01A" w:rsidR="00A367E5" w:rsidRDefault="00A367E5" w:rsidP="00A367E5">
      <w:pPr>
        <w:ind w:left="454" w:hanging="454"/>
      </w:pPr>
      <w:r>
        <w:t>[30]</w:t>
      </w:r>
      <w:r>
        <w:tab/>
        <w:t>Nijman S, Leeuwenberg AM, Beekers I, et al., 2022, Missing Data Is Poorly Handled and Reported in Prediction Model Studies Using Machine Learning: A Literature Review. J Clin Epidemiol, 142: 218–229.</w:t>
      </w:r>
    </w:p>
    <w:p w14:paraId="627B862E" w14:textId="146A26D7" w:rsidR="00A367E5" w:rsidRDefault="00A367E5" w:rsidP="00A367E5">
      <w:pPr>
        <w:ind w:left="454" w:hanging="454"/>
      </w:pPr>
      <w:r>
        <w:t>[31]</w:t>
      </w:r>
      <w:r>
        <w:tab/>
        <w:t>Rockenschaub P, Hilbert A, Kossen T, et al., 2024, The Impact of Multi-Institution Datasets on the Generalizability of Machine Learning Prediction Models in the ICU. Crit Care Med, 52: 1710–1721.</w:t>
      </w:r>
    </w:p>
    <w:p w14:paraId="61553862" w14:textId="74C9C573" w:rsidR="00A367E5" w:rsidRDefault="00A367E5" w:rsidP="00A367E5">
      <w:pPr>
        <w:ind w:left="454" w:hanging="454"/>
      </w:pPr>
      <w:r>
        <w:t>[32]</w:t>
      </w:r>
      <w:r>
        <w:tab/>
        <w:t>de Jong VMT, Moons KGM, Eijkemans MJC, et al., 2021, Developing More Generalizable Prediction Models from Pooled Studies and Large Clustered Data Sets. Stat Med, 40: 3533–3559.</w:t>
      </w:r>
    </w:p>
    <w:p w14:paraId="4F26239D" w14:textId="77777777" w:rsidR="00A367E5" w:rsidRDefault="00A367E5" w:rsidP="00A367E5"/>
    <w:p w14:paraId="05312BCF" w14:textId="77777777" w:rsidR="00A367E5" w:rsidRDefault="00A367E5" w:rsidP="00A367E5">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4A6A5BA5" w14:textId="77777777" w:rsidR="00A367E5" w:rsidRDefault="00A367E5" w:rsidP="00A367E5">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3"/>
    </w:p>
    <w:bookmarkEnd w:id="0"/>
    <w:p w14:paraId="341D46AE" w14:textId="0461F48C" w:rsidR="00A338BD" w:rsidRPr="00A367E5" w:rsidRDefault="00A338BD" w:rsidP="006A2125">
      <w:pPr>
        <w:rPr>
          <w:rFonts w:cs="Times New Roman"/>
        </w:rPr>
      </w:pPr>
    </w:p>
    <w:sectPr w:rsidR="00A338BD" w:rsidRPr="00A367E5" w:rsidSect="006A2125">
      <w:pgSz w:w="11906" w:h="16838"/>
      <w:pgMar w:top="1418" w:right="1134" w:bottom="1418" w:left="1134" w:header="278" w:footer="334"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E959" w14:textId="77777777" w:rsidR="00AA0B36" w:rsidRDefault="00AA0B36">
      <w:r>
        <w:separator/>
      </w:r>
    </w:p>
  </w:endnote>
  <w:endnote w:type="continuationSeparator" w:id="0">
    <w:p w14:paraId="10236410" w14:textId="77777777" w:rsidR="00AA0B36" w:rsidRDefault="00AA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18650" w14:textId="77777777" w:rsidR="00AA0B36" w:rsidRDefault="00AA0B36">
      <w:r>
        <w:separator/>
      </w:r>
    </w:p>
  </w:footnote>
  <w:footnote w:type="continuationSeparator" w:id="0">
    <w:p w14:paraId="6D312566" w14:textId="77777777" w:rsidR="00AA0B36" w:rsidRDefault="00AA0B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x2sdwx8tfx9he29fnvdte09frwv5dpf0rf&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record-ids&gt;&lt;/item&gt;&lt;/Libraries&gt;"/>
  </w:docVars>
  <w:rsids>
    <w:rsidRoot w:val="00CC21B7"/>
    <w:rsid w:val="00010FA6"/>
    <w:rsid w:val="0002516D"/>
    <w:rsid w:val="00026254"/>
    <w:rsid w:val="00040E1E"/>
    <w:rsid w:val="00043BFC"/>
    <w:rsid w:val="00046622"/>
    <w:rsid w:val="00052E78"/>
    <w:rsid w:val="00053AC9"/>
    <w:rsid w:val="00053E6B"/>
    <w:rsid w:val="00054EBD"/>
    <w:rsid w:val="000814B9"/>
    <w:rsid w:val="00095765"/>
    <w:rsid w:val="000A178A"/>
    <w:rsid w:val="000A3694"/>
    <w:rsid w:val="000A66B9"/>
    <w:rsid w:val="000B1A58"/>
    <w:rsid w:val="000B1FED"/>
    <w:rsid w:val="000B3023"/>
    <w:rsid w:val="000E6844"/>
    <w:rsid w:val="000F16F2"/>
    <w:rsid w:val="000F3A71"/>
    <w:rsid w:val="000F5248"/>
    <w:rsid w:val="00100F2A"/>
    <w:rsid w:val="00102C68"/>
    <w:rsid w:val="00111425"/>
    <w:rsid w:val="00121855"/>
    <w:rsid w:val="00122396"/>
    <w:rsid w:val="001245C4"/>
    <w:rsid w:val="0012504A"/>
    <w:rsid w:val="00131B00"/>
    <w:rsid w:val="001322DD"/>
    <w:rsid w:val="001349F4"/>
    <w:rsid w:val="001350D6"/>
    <w:rsid w:val="00135E36"/>
    <w:rsid w:val="001431A8"/>
    <w:rsid w:val="00144967"/>
    <w:rsid w:val="00157822"/>
    <w:rsid w:val="001633F7"/>
    <w:rsid w:val="00166E1B"/>
    <w:rsid w:val="0016745E"/>
    <w:rsid w:val="00170FF1"/>
    <w:rsid w:val="00171616"/>
    <w:rsid w:val="00171808"/>
    <w:rsid w:val="00172E7D"/>
    <w:rsid w:val="00175B48"/>
    <w:rsid w:val="001768F9"/>
    <w:rsid w:val="00184D2C"/>
    <w:rsid w:val="00196DDF"/>
    <w:rsid w:val="001B08B7"/>
    <w:rsid w:val="001B0940"/>
    <w:rsid w:val="001B6935"/>
    <w:rsid w:val="001D171A"/>
    <w:rsid w:val="001E11E2"/>
    <w:rsid w:val="001E4761"/>
    <w:rsid w:val="001E595F"/>
    <w:rsid w:val="001E7F4A"/>
    <w:rsid w:val="001F42B6"/>
    <w:rsid w:val="001F52E6"/>
    <w:rsid w:val="002037A9"/>
    <w:rsid w:val="00203A94"/>
    <w:rsid w:val="00205235"/>
    <w:rsid w:val="002174ED"/>
    <w:rsid w:val="00233568"/>
    <w:rsid w:val="0023414F"/>
    <w:rsid w:val="00243353"/>
    <w:rsid w:val="002452EE"/>
    <w:rsid w:val="00285D98"/>
    <w:rsid w:val="002869A3"/>
    <w:rsid w:val="00287840"/>
    <w:rsid w:val="002901AB"/>
    <w:rsid w:val="002940BC"/>
    <w:rsid w:val="002C1723"/>
    <w:rsid w:val="002C4859"/>
    <w:rsid w:val="002E5816"/>
    <w:rsid w:val="00300BDF"/>
    <w:rsid w:val="0030144C"/>
    <w:rsid w:val="00302AD0"/>
    <w:rsid w:val="0031156C"/>
    <w:rsid w:val="00311C29"/>
    <w:rsid w:val="0031453F"/>
    <w:rsid w:val="00315873"/>
    <w:rsid w:val="00327D7A"/>
    <w:rsid w:val="00332030"/>
    <w:rsid w:val="003342FC"/>
    <w:rsid w:val="00334F0E"/>
    <w:rsid w:val="003404F8"/>
    <w:rsid w:val="0035470F"/>
    <w:rsid w:val="003576FE"/>
    <w:rsid w:val="00362E41"/>
    <w:rsid w:val="00374BC1"/>
    <w:rsid w:val="00381F03"/>
    <w:rsid w:val="00382A04"/>
    <w:rsid w:val="003915D6"/>
    <w:rsid w:val="003950CB"/>
    <w:rsid w:val="003A7679"/>
    <w:rsid w:val="003B799B"/>
    <w:rsid w:val="003C0645"/>
    <w:rsid w:val="003D029C"/>
    <w:rsid w:val="003D6F14"/>
    <w:rsid w:val="003D7DE1"/>
    <w:rsid w:val="003E0900"/>
    <w:rsid w:val="003F15BD"/>
    <w:rsid w:val="003F4302"/>
    <w:rsid w:val="003F5672"/>
    <w:rsid w:val="00400E58"/>
    <w:rsid w:val="00420F0E"/>
    <w:rsid w:val="0042489B"/>
    <w:rsid w:val="004344B2"/>
    <w:rsid w:val="00442A9D"/>
    <w:rsid w:val="004612A4"/>
    <w:rsid w:val="0046402D"/>
    <w:rsid w:val="00481A29"/>
    <w:rsid w:val="00484AAD"/>
    <w:rsid w:val="004A4913"/>
    <w:rsid w:val="004D29E4"/>
    <w:rsid w:val="004D7670"/>
    <w:rsid w:val="004E386B"/>
    <w:rsid w:val="004E66EA"/>
    <w:rsid w:val="004F0F7E"/>
    <w:rsid w:val="004F2CC0"/>
    <w:rsid w:val="004F32A2"/>
    <w:rsid w:val="005141A6"/>
    <w:rsid w:val="005145A9"/>
    <w:rsid w:val="00520E62"/>
    <w:rsid w:val="005254DB"/>
    <w:rsid w:val="005257DD"/>
    <w:rsid w:val="00530313"/>
    <w:rsid w:val="0053598D"/>
    <w:rsid w:val="00542AB7"/>
    <w:rsid w:val="005507B5"/>
    <w:rsid w:val="0055588C"/>
    <w:rsid w:val="00555A09"/>
    <w:rsid w:val="00560F27"/>
    <w:rsid w:val="00571D33"/>
    <w:rsid w:val="005734BB"/>
    <w:rsid w:val="00575995"/>
    <w:rsid w:val="00586E48"/>
    <w:rsid w:val="00593FCD"/>
    <w:rsid w:val="00597798"/>
    <w:rsid w:val="005A5A8F"/>
    <w:rsid w:val="005C69EB"/>
    <w:rsid w:val="005D21D4"/>
    <w:rsid w:val="005D3D53"/>
    <w:rsid w:val="005E26FB"/>
    <w:rsid w:val="005E48C3"/>
    <w:rsid w:val="005F7DF4"/>
    <w:rsid w:val="006040D8"/>
    <w:rsid w:val="00632C33"/>
    <w:rsid w:val="00633D0C"/>
    <w:rsid w:val="00634A5C"/>
    <w:rsid w:val="006447D3"/>
    <w:rsid w:val="00652B39"/>
    <w:rsid w:val="00654ADA"/>
    <w:rsid w:val="00654C6A"/>
    <w:rsid w:val="006560D1"/>
    <w:rsid w:val="00677673"/>
    <w:rsid w:val="006855AC"/>
    <w:rsid w:val="00695F16"/>
    <w:rsid w:val="006A2125"/>
    <w:rsid w:val="006A2FA0"/>
    <w:rsid w:val="006E0761"/>
    <w:rsid w:val="006E61EF"/>
    <w:rsid w:val="006E7AF2"/>
    <w:rsid w:val="006F0B3E"/>
    <w:rsid w:val="006F3EB5"/>
    <w:rsid w:val="00705642"/>
    <w:rsid w:val="0070711D"/>
    <w:rsid w:val="00710F77"/>
    <w:rsid w:val="00712155"/>
    <w:rsid w:val="00713F7E"/>
    <w:rsid w:val="007204A3"/>
    <w:rsid w:val="00720BCA"/>
    <w:rsid w:val="00720FEA"/>
    <w:rsid w:val="00726C25"/>
    <w:rsid w:val="00727469"/>
    <w:rsid w:val="00733241"/>
    <w:rsid w:val="007333AC"/>
    <w:rsid w:val="00746303"/>
    <w:rsid w:val="007465CA"/>
    <w:rsid w:val="007633F9"/>
    <w:rsid w:val="00764715"/>
    <w:rsid w:val="0077265F"/>
    <w:rsid w:val="00787E5D"/>
    <w:rsid w:val="00797F0B"/>
    <w:rsid w:val="007A3815"/>
    <w:rsid w:val="007C4AF1"/>
    <w:rsid w:val="007D2990"/>
    <w:rsid w:val="007E041F"/>
    <w:rsid w:val="007F028B"/>
    <w:rsid w:val="007F5912"/>
    <w:rsid w:val="008378DA"/>
    <w:rsid w:val="00857976"/>
    <w:rsid w:val="0086590B"/>
    <w:rsid w:val="0086691E"/>
    <w:rsid w:val="00870B5B"/>
    <w:rsid w:val="00872C96"/>
    <w:rsid w:val="0088091B"/>
    <w:rsid w:val="008A3C14"/>
    <w:rsid w:val="008A7730"/>
    <w:rsid w:val="008D2073"/>
    <w:rsid w:val="008D5B48"/>
    <w:rsid w:val="008E2399"/>
    <w:rsid w:val="008E7395"/>
    <w:rsid w:val="008F2BF2"/>
    <w:rsid w:val="008F62FD"/>
    <w:rsid w:val="0090384D"/>
    <w:rsid w:val="00911AC4"/>
    <w:rsid w:val="00920694"/>
    <w:rsid w:val="0093183E"/>
    <w:rsid w:val="00933720"/>
    <w:rsid w:val="009412D9"/>
    <w:rsid w:val="0095748B"/>
    <w:rsid w:val="0096479B"/>
    <w:rsid w:val="00967540"/>
    <w:rsid w:val="0097543B"/>
    <w:rsid w:val="00982C2C"/>
    <w:rsid w:val="00990647"/>
    <w:rsid w:val="009934F4"/>
    <w:rsid w:val="00994AE9"/>
    <w:rsid w:val="00994C7C"/>
    <w:rsid w:val="009B30D4"/>
    <w:rsid w:val="009C18B6"/>
    <w:rsid w:val="009D2953"/>
    <w:rsid w:val="009D3797"/>
    <w:rsid w:val="009E229A"/>
    <w:rsid w:val="009F50E4"/>
    <w:rsid w:val="00A0754E"/>
    <w:rsid w:val="00A1243E"/>
    <w:rsid w:val="00A12EC5"/>
    <w:rsid w:val="00A15830"/>
    <w:rsid w:val="00A15A92"/>
    <w:rsid w:val="00A338BD"/>
    <w:rsid w:val="00A367E5"/>
    <w:rsid w:val="00A45205"/>
    <w:rsid w:val="00A53574"/>
    <w:rsid w:val="00A5420A"/>
    <w:rsid w:val="00A6760A"/>
    <w:rsid w:val="00A75250"/>
    <w:rsid w:val="00A85C4C"/>
    <w:rsid w:val="00A9391D"/>
    <w:rsid w:val="00A95CBE"/>
    <w:rsid w:val="00AA0B36"/>
    <w:rsid w:val="00AA616D"/>
    <w:rsid w:val="00AB202F"/>
    <w:rsid w:val="00AB78B3"/>
    <w:rsid w:val="00AC3C44"/>
    <w:rsid w:val="00AD4264"/>
    <w:rsid w:val="00AD7E1F"/>
    <w:rsid w:val="00AE7B2D"/>
    <w:rsid w:val="00B02E91"/>
    <w:rsid w:val="00B0707C"/>
    <w:rsid w:val="00B1150E"/>
    <w:rsid w:val="00B1214B"/>
    <w:rsid w:val="00B14459"/>
    <w:rsid w:val="00B23425"/>
    <w:rsid w:val="00B30CE5"/>
    <w:rsid w:val="00B36A36"/>
    <w:rsid w:val="00B40853"/>
    <w:rsid w:val="00B41961"/>
    <w:rsid w:val="00B4511F"/>
    <w:rsid w:val="00B64A44"/>
    <w:rsid w:val="00B65F6A"/>
    <w:rsid w:val="00B70CEE"/>
    <w:rsid w:val="00B74348"/>
    <w:rsid w:val="00BA2E39"/>
    <w:rsid w:val="00BB04D7"/>
    <w:rsid w:val="00BB2F7C"/>
    <w:rsid w:val="00BB35AC"/>
    <w:rsid w:val="00BB4CAE"/>
    <w:rsid w:val="00BC2972"/>
    <w:rsid w:val="00BE584A"/>
    <w:rsid w:val="00BF7B43"/>
    <w:rsid w:val="00C002C5"/>
    <w:rsid w:val="00C009AD"/>
    <w:rsid w:val="00C0715A"/>
    <w:rsid w:val="00C27CD3"/>
    <w:rsid w:val="00C5171D"/>
    <w:rsid w:val="00C52190"/>
    <w:rsid w:val="00C559EB"/>
    <w:rsid w:val="00C56542"/>
    <w:rsid w:val="00C56A7A"/>
    <w:rsid w:val="00C57778"/>
    <w:rsid w:val="00C87B46"/>
    <w:rsid w:val="00C91B67"/>
    <w:rsid w:val="00CB6964"/>
    <w:rsid w:val="00CB6AAA"/>
    <w:rsid w:val="00CC21B7"/>
    <w:rsid w:val="00CC270D"/>
    <w:rsid w:val="00CC3DED"/>
    <w:rsid w:val="00CC4AF1"/>
    <w:rsid w:val="00CD4E44"/>
    <w:rsid w:val="00CF2DFF"/>
    <w:rsid w:val="00CF43AC"/>
    <w:rsid w:val="00D0062C"/>
    <w:rsid w:val="00D15173"/>
    <w:rsid w:val="00D16174"/>
    <w:rsid w:val="00D20A9C"/>
    <w:rsid w:val="00D25269"/>
    <w:rsid w:val="00D2726B"/>
    <w:rsid w:val="00D366E3"/>
    <w:rsid w:val="00D52B0E"/>
    <w:rsid w:val="00D61EFF"/>
    <w:rsid w:val="00D64B73"/>
    <w:rsid w:val="00D66B57"/>
    <w:rsid w:val="00D6757F"/>
    <w:rsid w:val="00D74523"/>
    <w:rsid w:val="00D83954"/>
    <w:rsid w:val="00D8451A"/>
    <w:rsid w:val="00D95EFF"/>
    <w:rsid w:val="00DA1884"/>
    <w:rsid w:val="00DB2D17"/>
    <w:rsid w:val="00DB5434"/>
    <w:rsid w:val="00DC309D"/>
    <w:rsid w:val="00DE5976"/>
    <w:rsid w:val="00DE658C"/>
    <w:rsid w:val="00E0227B"/>
    <w:rsid w:val="00E034BC"/>
    <w:rsid w:val="00E24638"/>
    <w:rsid w:val="00E33362"/>
    <w:rsid w:val="00E33F48"/>
    <w:rsid w:val="00E340D3"/>
    <w:rsid w:val="00E3514D"/>
    <w:rsid w:val="00E50984"/>
    <w:rsid w:val="00E55531"/>
    <w:rsid w:val="00E7082E"/>
    <w:rsid w:val="00E736D2"/>
    <w:rsid w:val="00E9076C"/>
    <w:rsid w:val="00EA201C"/>
    <w:rsid w:val="00EA58B6"/>
    <w:rsid w:val="00EC22E0"/>
    <w:rsid w:val="00EC6F33"/>
    <w:rsid w:val="00ED2E93"/>
    <w:rsid w:val="00EE23B4"/>
    <w:rsid w:val="00EE2BD6"/>
    <w:rsid w:val="00EF5602"/>
    <w:rsid w:val="00F00A33"/>
    <w:rsid w:val="00F07676"/>
    <w:rsid w:val="00F10D25"/>
    <w:rsid w:val="00F11092"/>
    <w:rsid w:val="00F12914"/>
    <w:rsid w:val="00F135A8"/>
    <w:rsid w:val="00F22EA6"/>
    <w:rsid w:val="00F32D08"/>
    <w:rsid w:val="00F56EC1"/>
    <w:rsid w:val="00F57ADF"/>
    <w:rsid w:val="00F57EC2"/>
    <w:rsid w:val="00F6417A"/>
    <w:rsid w:val="00F67676"/>
    <w:rsid w:val="00F82953"/>
    <w:rsid w:val="00F8731F"/>
    <w:rsid w:val="00FA1036"/>
    <w:rsid w:val="00FA2421"/>
    <w:rsid w:val="00FB433D"/>
    <w:rsid w:val="00FB489F"/>
    <w:rsid w:val="00FC59EE"/>
    <w:rsid w:val="00FC7C6F"/>
    <w:rsid w:val="00FD017F"/>
    <w:rsid w:val="00FD0EA5"/>
    <w:rsid w:val="00FE197C"/>
    <w:rsid w:val="00FE4AEC"/>
    <w:rsid w:val="1BBB71FA"/>
    <w:rsid w:val="1E321E4C"/>
    <w:rsid w:val="1E3F568D"/>
    <w:rsid w:val="340A2888"/>
    <w:rsid w:val="46FE7CC0"/>
    <w:rsid w:val="4DFA09CC"/>
    <w:rsid w:val="74C31B39"/>
    <w:rsid w:val="7E851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FD198"/>
  <w15:docId w15:val="{C0BDF7C5-043F-4ACB-A960-F13F5AE8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7E5"/>
    <w:pPr>
      <w:widowControl w:val="0"/>
      <w:suppressAutoHyphens/>
      <w:adjustRightInd w:val="0"/>
      <w:snapToGrid w:val="0"/>
      <w:jc w:val="both"/>
    </w:pPr>
    <w:rPr>
      <w:rFonts w:eastAsiaTheme="minorEastAsia" w:cstheme="minorBidi"/>
      <w:kern w:val="2"/>
      <w:sz w:val="24"/>
      <w:szCs w:val="24"/>
      <w:lang w:val="en-US"/>
      <w14:ligatures w14:val="standardContextual"/>
    </w:rPr>
  </w:style>
  <w:style w:type="paragraph" w:styleId="Heading1">
    <w:name w:val="heading 1"/>
    <w:basedOn w:val="Normal"/>
    <w:next w:val="Normal"/>
    <w:link w:val="Heading1Char"/>
    <w:uiPriority w:val="9"/>
    <w:qFormat/>
    <w:pPr>
      <w:keepNext/>
      <w:widowControl/>
      <w:spacing w:line="480" w:lineRule="auto"/>
      <w:outlineLvl w:val="0"/>
    </w:pPr>
    <w:rPr>
      <w:rFonts w:eastAsia="SimSun" w:cs="Times New Roman"/>
      <w:b/>
      <w:bCs/>
    </w:rPr>
  </w:style>
  <w:style w:type="paragraph" w:styleId="Heading2">
    <w:name w:val="heading 2"/>
    <w:basedOn w:val="Normal"/>
    <w:next w:val="Normal"/>
    <w:link w:val="Heading2Char"/>
    <w:uiPriority w:val="9"/>
    <w:unhideWhenUsed/>
    <w:qFormat/>
    <w:pPr>
      <w:keepNext/>
      <w:widowControl/>
      <w:spacing w:line="480" w:lineRule="auto"/>
      <w:outlineLvl w:val="1"/>
    </w:pPr>
    <w:rPr>
      <w:rFonts w:eastAsia="SimSun" w:cs="Times New Roman"/>
      <w:b/>
      <w:bCs/>
    </w:rPr>
  </w:style>
  <w:style w:type="paragraph" w:styleId="Heading3">
    <w:name w:val="heading 3"/>
    <w:basedOn w:val="Normal"/>
    <w:next w:val="Normal"/>
    <w:link w:val="Heading3Char"/>
    <w:uiPriority w:val="9"/>
    <w:unhideWhenUsed/>
    <w:qFormat/>
    <w:pPr>
      <w:keepNext/>
      <w:widowControl/>
      <w:spacing w:line="480" w:lineRule="auto"/>
      <w:outlineLvl w:val="2"/>
    </w:pPr>
    <w:rPr>
      <w:rFonts w:eastAsia="SimSun" w:cs="Times New Roman"/>
      <w:b/>
      <w:bCs/>
      <w:i/>
      <w:iCs/>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widowControl/>
    </w:pPr>
    <w:rPr>
      <w:kern w:val="0"/>
      <w:sz w:val="20"/>
      <w:szCs w:val="20"/>
      <w:lang w:val="en-AU"/>
      <w14:ligatures w14:val="none"/>
    </w:rPr>
  </w:style>
  <w:style w:type="paragraph" w:styleId="Footer">
    <w:name w:val="footer"/>
    <w:basedOn w:val="Normal"/>
    <w:link w:val="FooterChar"/>
    <w:uiPriority w:val="99"/>
    <w:unhideWhenUsed/>
    <w:qFormat/>
    <w:pPr>
      <w:tabs>
        <w:tab w:val="center" w:pos="4153"/>
        <w:tab w:val="right" w:pos="8306"/>
      </w:tabs>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pPr>
      <w:widowControl w:val="0"/>
      <w:spacing w:line="278" w:lineRule="auto"/>
    </w:pPr>
    <w:rPr>
      <w:b/>
      <w:bCs/>
      <w:kern w:val="2"/>
      <w:sz w:val="22"/>
      <w:szCs w:val="24"/>
      <w:lang w:val="en-US"/>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autoRedefine/>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imes New Roman" w:eastAsia="SimSun" w:hAnsi="Times New Roman" w:cs="Times New Roman"/>
      <w:b/>
      <w:bCs/>
      <w:kern w:val="2"/>
      <w:sz w:val="24"/>
      <w:szCs w:val="24"/>
      <w14:ligatures w14:val="standardContextual"/>
    </w:rPr>
  </w:style>
  <w:style w:type="character" w:customStyle="1" w:styleId="Heading2Char">
    <w:name w:val="Heading 2 Char"/>
    <w:basedOn w:val="DefaultParagraphFont"/>
    <w:link w:val="Heading2"/>
    <w:uiPriority w:val="9"/>
    <w:qFormat/>
    <w:rPr>
      <w:rFonts w:ascii="Times New Roman" w:eastAsia="SimSun" w:hAnsi="Times New Roman" w:cs="Times New Roman"/>
      <w:b/>
      <w:bCs/>
      <w:kern w:val="2"/>
      <w:sz w:val="24"/>
      <w:szCs w:val="24"/>
      <w14:ligatures w14:val="standardContextual"/>
    </w:rPr>
  </w:style>
  <w:style w:type="character" w:customStyle="1" w:styleId="Heading3Char">
    <w:name w:val="Heading 3 Char"/>
    <w:basedOn w:val="DefaultParagraphFont"/>
    <w:link w:val="Heading3"/>
    <w:uiPriority w:val="9"/>
    <w:qFormat/>
    <w:rPr>
      <w:rFonts w:ascii="Times New Roman" w:eastAsia="SimSun" w:hAnsi="Times New Roman" w:cs="Times New Roman"/>
      <w:b/>
      <w:bCs/>
      <w:i/>
      <w:iCs/>
      <w:kern w:val="2"/>
      <w:sz w:val="24"/>
      <w:szCs w:val="24"/>
      <w14:ligatures w14:val="standardContextual"/>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CommentTextChar">
    <w:name w:val="Comment Text Char"/>
    <w:basedOn w:val="DefaultParagraphFont"/>
    <w:link w:val="CommentText"/>
    <w:uiPriority w:val="99"/>
    <w:qFormat/>
    <w:rPr>
      <w:kern w:val="0"/>
      <w:sz w:val="20"/>
      <w:szCs w:val="20"/>
      <w:lang w:val="en-AU"/>
      <w14:ligatures w14:val="none"/>
    </w:rPr>
  </w:style>
  <w:style w:type="paragraph" w:customStyle="1" w:styleId="11">
    <w:name w:val="书目1"/>
    <w:basedOn w:val="Normal"/>
    <w:next w:val="Normal"/>
    <w:uiPriority w:val="37"/>
    <w:unhideWhenUsed/>
    <w:qFormat/>
    <w:pPr>
      <w:tabs>
        <w:tab w:val="left" w:pos="504"/>
      </w:tabs>
      <w:ind w:left="504" w:hanging="504"/>
    </w:pPr>
  </w:style>
  <w:style w:type="character" w:customStyle="1" w:styleId="CommentSubjectChar">
    <w:name w:val="Comment Subject Char"/>
    <w:basedOn w:val="CommentTextChar"/>
    <w:link w:val="CommentSubject"/>
    <w:uiPriority w:val="99"/>
    <w:semiHidden/>
    <w:qFormat/>
    <w:rPr>
      <w:b/>
      <w:bCs/>
      <w:kern w:val="2"/>
      <w:sz w:val="22"/>
      <w:szCs w:val="24"/>
      <w:lang w:val="en-AU"/>
      <w14:ligatures w14:val="standardContextual"/>
    </w:rPr>
  </w:style>
  <w:style w:type="paragraph" w:customStyle="1" w:styleId="EndNoteBibliographyTitle">
    <w:name w:val="EndNote Bibliography Title"/>
    <w:basedOn w:val="Normal"/>
    <w:link w:val="EndNoteBibliographyTitle0"/>
    <w:qFormat/>
    <w:pPr>
      <w:jc w:val="center"/>
    </w:pPr>
    <w:rPr>
      <w:rFonts w:ascii="DengXian" w:eastAsia="DengXian" w:hAnsi="DengXian"/>
    </w:rPr>
  </w:style>
  <w:style w:type="character" w:customStyle="1" w:styleId="EndNoteBibliographyTitle0">
    <w:name w:val="EndNote Bibliography Title 字符"/>
    <w:basedOn w:val="DefaultParagraphFont"/>
    <w:link w:val="EndNoteBibliographyTitle"/>
    <w:qFormat/>
    <w:rPr>
      <w:rFonts w:ascii="DengXian" w:eastAsia="DengXian" w:hAnsi="DengXian"/>
      <w:kern w:val="2"/>
      <w:sz w:val="22"/>
      <w:szCs w:val="24"/>
      <w14:ligatures w14:val="standardContextual"/>
    </w:rPr>
  </w:style>
  <w:style w:type="paragraph" w:customStyle="1" w:styleId="EndNoteBibliography">
    <w:name w:val="EndNote Bibliography"/>
    <w:basedOn w:val="Normal"/>
    <w:link w:val="EndNoteBibliography0"/>
    <w:qFormat/>
    <w:rPr>
      <w:rFonts w:ascii="DengXian" w:eastAsia="DengXian" w:hAnsi="DengXian"/>
    </w:rPr>
  </w:style>
  <w:style w:type="character" w:customStyle="1" w:styleId="EndNoteBibliography0">
    <w:name w:val="EndNote Bibliography 字符"/>
    <w:basedOn w:val="DefaultParagraphFont"/>
    <w:link w:val="EndNoteBibliography"/>
    <w:qFormat/>
    <w:rPr>
      <w:rFonts w:ascii="DengXian" w:eastAsia="DengXian" w:hAnsi="DengXian"/>
      <w:kern w:val="2"/>
      <w:sz w:val="22"/>
      <w:szCs w:val="24"/>
      <w14:ligatures w14:val="standardContextu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Revision">
    <w:name w:val="Revision"/>
    <w:hidden/>
    <w:uiPriority w:val="99"/>
    <w:unhideWhenUsed/>
    <w:rsid w:val="00A367E5"/>
    <w:rPr>
      <w:rFonts w:asciiTheme="minorHAnsi" w:eastAsiaTheme="minorEastAsia" w:hAnsiTheme="minorHAnsi" w:cstheme="minorBidi"/>
      <w:kern w:val="2"/>
      <w:sz w:val="2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FF9FD-E55F-4549-ACEF-EE95F93A7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5537</Words>
  <Characters>31561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wang</dc:creator>
  <cp:lastModifiedBy>Editor J</cp:lastModifiedBy>
  <cp:revision>2</cp:revision>
  <dcterms:created xsi:type="dcterms:W3CDTF">2026-10-07T02:19:00Z</dcterms:created>
  <dcterms:modified xsi:type="dcterms:W3CDTF">2026-10-07T02:19:00Z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id="nFv9fTpc"/&gt;&lt;style id="http://www.zotero.org/styles/thrombosis-research" hasBibliography="1" bibliographyStyleHasBeenSet="1"/&gt;&lt;prefs&gt;&lt;pref name="fieldType" value="Field"/&gt;&lt;/prefs&gt;&lt;/data&gt;</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3D0E2E3F61DE4025BB09D4B6F8CDDF22_13</vt:lpwstr>
  </property>
  <property fmtid="{D5CDD505-2E9C-101B-9397-08002B2CF9AE}" pid="6" name="GrammarlyDocumentId">
    <vt:lpwstr>2a5fb61185fa46cf191ac466a9ae2cb2d26f28ca740e40cfbc6e2bce1d69b530</vt:lpwstr>
  </property>
</Properties>
</file>