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5409" w14:textId="77777777" w:rsidR="003739CD" w:rsidRDefault="006E0A48" w:rsidP="00E70375">
      <w:pPr>
        <w:pStyle w:val="NormalWeb"/>
        <w:widowControl/>
        <w:shd w:val="clear" w:color="auto" w:fill="FFFFFF"/>
        <w:snapToGrid w:val="0"/>
        <w:jc w:val="left"/>
        <w:rPr>
          <w:rFonts w:ascii="Times New Roman" w:eastAsia="Segoe UI" w:hAnsi="Times New Roman" w:cs="Times New Roman"/>
          <w:color w:val="0F1115"/>
          <w:sz w:val="44"/>
          <w:szCs w:val="44"/>
        </w:rPr>
      </w:pPr>
      <w:r>
        <w:rPr>
          <w:rFonts w:ascii="Times New Roman" w:eastAsia="Segoe UI" w:hAnsi="Times New Roman" w:cs="Times New Roman"/>
          <w:b/>
          <w:bCs/>
          <w:color w:val="0F1115"/>
          <w:sz w:val="44"/>
          <w:szCs w:val="44"/>
          <w:shd w:val="clear" w:color="auto" w:fill="FFFFFF"/>
        </w:rPr>
        <w:t>Systematic Vaccination Management and Its Practical Utility in the Prevention and Control of Infectious Diseases in Children</w:t>
      </w:r>
    </w:p>
    <w:p w14:paraId="029D9B77" w14:textId="77777777" w:rsidR="003739CD" w:rsidRDefault="006E0A48" w:rsidP="00E70375">
      <w:pPr>
        <w:pStyle w:val="NormalWeb"/>
        <w:widowControl/>
        <w:shd w:val="clear" w:color="auto" w:fill="FFFFFF"/>
        <w:snapToGrid w:val="0"/>
        <w:rPr>
          <w:rFonts w:ascii="Times New Roman" w:eastAsia="SimSun" w:hAnsi="Times New Roman" w:cs="Times New Roman"/>
          <w:b/>
          <w:bCs/>
          <w:color w:val="0F1115"/>
        </w:rPr>
      </w:pPr>
      <w:r>
        <w:rPr>
          <w:rFonts w:ascii="Times New Roman" w:eastAsia="Segoe UI" w:hAnsi="Times New Roman" w:cs="Times New Roman"/>
          <w:b/>
          <w:bCs/>
          <w:color w:val="0F1115"/>
          <w:shd w:val="clear" w:color="auto" w:fill="FFFFFF"/>
        </w:rPr>
        <w:t>Hong</w:t>
      </w:r>
      <w:r>
        <w:rPr>
          <w:rFonts w:ascii="Times New Roman" w:eastAsia="SimSun" w:hAnsi="Times New Roman" w:cs="Times New Roman"/>
          <w:b/>
          <w:bCs/>
          <w:color w:val="0F1115"/>
          <w:shd w:val="clear" w:color="auto" w:fill="FFFFFF"/>
        </w:rPr>
        <w:t xml:space="preserve"> </w:t>
      </w:r>
      <w:r>
        <w:rPr>
          <w:rFonts w:ascii="Times New Roman" w:eastAsia="Segoe UI" w:hAnsi="Times New Roman" w:cs="Times New Roman"/>
          <w:b/>
          <w:bCs/>
          <w:color w:val="0F1115"/>
          <w:shd w:val="clear" w:color="auto" w:fill="FFFFFF"/>
        </w:rPr>
        <w:t xml:space="preserve">Xiang </w:t>
      </w:r>
    </w:p>
    <w:p w14:paraId="7361CE90"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Laifeng County Center for Disease Control and Prevention, Enshi 445700, Hubei, China</w:t>
      </w:r>
    </w:p>
    <w:p w14:paraId="0A3E5C36" w14:textId="77777777" w:rsidR="003739CD" w:rsidRDefault="003739CD" w:rsidP="002747F3">
      <w:pPr>
        <w:pStyle w:val="NormalWeb"/>
        <w:widowControl/>
        <w:shd w:val="clear" w:color="auto" w:fill="FFFFFF"/>
        <w:snapToGrid w:val="0"/>
        <w:rPr>
          <w:rFonts w:ascii="Times New Roman" w:eastAsia="Segoe UI" w:hAnsi="Times New Roman" w:cs="Times New Roman"/>
          <w:color w:val="0F1115"/>
          <w:shd w:val="clear" w:color="auto" w:fill="FFFFFF"/>
        </w:rPr>
      </w:pPr>
    </w:p>
    <w:p w14:paraId="3BF2D708" w14:textId="77777777" w:rsidR="002747F3" w:rsidRPr="002001C1" w:rsidRDefault="002747F3" w:rsidP="002747F3">
      <w:pPr>
        <w:snapToGrid w:val="0"/>
        <w:rPr>
          <w:rFonts w:ascii="Times New Roman" w:hAnsi="Times New Roman" w:cs="Times New Roman"/>
          <w:sz w:val="20"/>
          <w:szCs w:val="20"/>
        </w:rPr>
      </w:pPr>
      <w:r w:rsidRPr="002001C1">
        <w:rPr>
          <w:rFonts w:ascii="Times New Roman" w:hAnsi="Times New Roman" w:cs="Times New Roman"/>
          <w:b/>
          <w:bCs/>
          <w:sz w:val="20"/>
          <w:szCs w:val="20"/>
        </w:rPr>
        <w:t>Copyright:</w:t>
      </w:r>
      <w:r w:rsidRPr="002001C1">
        <w:rPr>
          <w:rFonts w:ascii="Times New Roman" w:hAnsi="Times New Roman" w:cs="Times New Roman"/>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7D5AAFAF" w14:textId="77777777" w:rsidR="002747F3" w:rsidRDefault="002747F3" w:rsidP="00E70375">
      <w:pPr>
        <w:pStyle w:val="NormalWeb"/>
        <w:widowControl/>
        <w:shd w:val="clear" w:color="auto" w:fill="FFFFFF"/>
        <w:snapToGrid w:val="0"/>
        <w:rPr>
          <w:rFonts w:ascii="Times New Roman" w:eastAsia="Segoe UI" w:hAnsi="Times New Roman" w:cs="Times New Roman"/>
          <w:color w:val="0F1115"/>
          <w:shd w:val="clear" w:color="auto" w:fill="FFFFFF"/>
        </w:rPr>
      </w:pPr>
    </w:p>
    <w:p w14:paraId="15642B68" w14:textId="0C6894E0"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b/>
          <w:bCs/>
          <w:color w:val="0F1115"/>
          <w:shd w:val="clear" w:color="auto" w:fill="FFFFFF"/>
        </w:rPr>
        <w:t>Abstract:</w:t>
      </w:r>
      <w:r>
        <w:rPr>
          <w:rFonts w:ascii="Times New Roman" w:eastAsia="Segoe UI" w:hAnsi="Times New Roman" w:cs="Times New Roman"/>
          <w:color w:val="0F1115"/>
          <w:shd w:val="clear" w:color="auto" w:fill="FFFFFF"/>
        </w:rPr>
        <w:t> </w:t>
      </w:r>
      <w:r>
        <w:rPr>
          <w:rFonts w:ascii="Times New Roman" w:eastAsia="Segoe UI" w:hAnsi="Times New Roman" w:cs="Times New Roman"/>
          <w:i/>
          <w:iCs/>
          <w:color w:val="0F1115"/>
          <w:shd w:val="clear" w:color="auto" w:fill="FFFFFF"/>
        </w:rPr>
        <w:t>Objective:</w:t>
      </w:r>
      <w:r>
        <w:rPr>
          <w:rFonts w:ascii="Times New Roman" w:eastAsia="Segoe UI" w:hAnsi="Times New Roman" w:cs="Times New Roman"/>
          <w:color w:val="0F1115"/>
          <w:shd w:val="clear" w:color="auto" w:fill="FFFFFF"/>
        </w:rPr>
        <w:t xml:space="preserve"> To explore the practical utility of systematic vaccination management in the prevention and control of infectious diseases in children. </w:t>
      </w:r>
      <w:r>
        <w:rPr>
          <w:rFonts w:ascii="Times New Roman" w:eastAsia="Segoe UI" w:hAnsi="Times New Roman" w:cs="Times New Roman"/>
          <w:i/>
          <w:iCs/>
          <w:color w:val="0F1115"/>
          <w:shd w:val="clear" w:color="auto" w:fill="FFFFFF"/>
        </w:rPr>
        <w:t xml:space="preserve">Methods: </w:t>
      </w:r>
      <w:r>
        <w:rPr>
          <w:rFonts w:ascii="Times New Roman" w:eastAsia="Segoe UI" w:hAnsi="Times New Roman" w:cs="Times New Roman"/>
          <w:color w:val="0F1115"/>
          <w:shd w:val="clear" w:color="auto" w:fill="FFFFFF"/>
        </w:rPr>
        <w:t>A total of 80 age</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 xml:space="preserve">eligible children who attended the Preventive Health Care Department of our hospital from April 2024 to April 2025 were enrolled and randomly divided into a control group and an observation group using a random number table, with 40 cases in each group. The control group received routine vaccination management, while the observation group received systematic vaccination management. The two groups were compared in terms of </w:t>
      </w:r>
      <w:r w:rsidR="002747F3">
        <w:rPr>
          <w:rFonts w:ascii="Times New Roman" w:eastAsia="Segoe UI" w:hAnsi="Times New Roman" w:cs="Times New Roman"/>
          <w:color w:val="0F1115"/>
          <w:shd w:val="clear" w:color="auto" w:fill="FFFFFF"/>
        </w:rPr>
        <w:t>full age-appropriate</w:t>
      </w:r>
      <w:r>
        <w:rPr>
          <w:rFonts w:ascii="Times New Roman" w:eastAsia="Segoe UI" w:hAnsi="Times New Roman" w:cs="Times New Roman"/>
          <w:color w:val="0F1115"/>
          <w:shd w:val="clear" w:color="auto" w:fill="FFFFFF"/>
        </w:rPr>
        <w:t xml:space="preserve"> vaccination coverage rate, incidence of mild adverse reactions post</w:t>
      </w:r>
      <w:r>
        <w:rPr>
          <w:rFonts w:ascii="Times New Roman" w:eastAsia="Segoe UI" w:hAnsi="Times New Roman" w:cs="Times New Roman"/>
          <w:color w:val="0F1115"/>
          <w:shd w:val="clear" w:color="auto" w:fill="FFFFFF"/>
        </w:rPr>
        <w:noBreakHyphen/>
        <w:t>vaccination, parental awareness rate of vaccine prevention knowledge, and incidence of infectious diseases in children during the follow</w:t>
      </w:r>
      <w:r>
        <w:rPr>
          <w:rFonts w:ascii="Times New Roman" w:eastAsia="Segoe UI" w:hAnsi="Times New Roman" w:cs="Times New Roman"/>
          <w:color w:val="0F1115"/>
          <w:shd w:val="clear" w:color="auto" w:fill="FFFFFF"/>
        </w:rPr>
        <w:noBreakHyphen/>
        <w:t xml:space="preserve">up period. </w:t>
      </w:r>
      <w:r>
        <w:rPr>
          <w:rFonts w:ascii="Times New Roman" w:eastAsia="Segoe UI" w:hAnsi="Times New Roman" w:cs="Times New Roman"/>
          <w:i/>
          <w:iCs/>
          <w:color w:val="0F1115"/>
          <w:shd w:val="clear" w:color="auto" w:fill="FFFFFF"/>
        </w:rPr>
        <w:t>Results:</w:t>
      </w:r>
      <w:r>
        <w:rPr>
          <w:rFonts w:ascii="Times New Roman" w:eastAsia="Segoe UI" w:hAnsi="Times New Roman" w:cs="Times New Roman"/>
          <w:color w:val="0F1115"/>
          <w:shd w:val="clear" w:color="auto" w:fill="FFFFFF"/>
        </w:rPr>
        <w:t xml:space="preserve"> The full vaccination coverage rate was 97.52% in the observation group versus 82.37% in the control group, with a statistically significant difference (</w:t>
      </w:r>
      <w:r w:rsidR="002747F3">
        <w:rPr>
          <w:rFonts w:ascii="Times New Roman" w:eastAsia="Segoe UI" w:hAnsi="Times New Roman" w:cs="Times New Roman"/>
          <w:i/>
          <w:iCs/>
          <w:color w:val="0F1115"/>
          <w:shd w:val="clear" w:color="auto" w:fill="FFFFFF"/>
        </w:rPr>
        <w:t xml:space="preserve">p </w:t>
      </w:r>
      <w:r>
        <w:rPr>
          <w:rFonts w:ascii="Times New Roman" w:eastAsia="Segoe UI" w:hAnsi="Times New Roman" w:cs="Times New Roman"/>
          <w:color w:val="0F1115"/>
          <w:shd w:val="clear" w:color="auto" w:fill="FFFFFF"/>
        </w:rPr>
        <w:t>&lt;</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0.05). The incidence of mild adverse reactions was 2.41% in the observation group versus 12.68% in the control group (</w:t>
      </w:r>
      <w:r w:rsidR="002747F3">
        <w:rPr>
          <w:rFonts w:ascii="Times New Roman" w:eastAsia="Segoe UI" w:hAnsi="Times New Roman" w:cs="Times New Roman"/>
          <w:i/>
          <w:iCs/>
          <w:color w:val="0F1115"/>
          <w:shd w:val="clear" w:color="auto" w:fill="FFFFFF"/>
        </w:rPr>
        <w:t xml:space="preserve">p </w:t>
      </w:r>
      <w:r>
        <w:rPr>
          <w:rFonts w:ascii="Times New Roman" w:eastAsia="Segoe UI" w:hAnsi="Times New Roman" w:cs="Times New Roman"/>
          <w:color w:val="0F1115"/>
          <w:shd w:val="clear" w:color="auto" w:fill="FFFFFF"/>
        </w:rPr>
        <w:t>&lt;</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0.05). The parental awareness rate was 95.14% in the observation group versus 78.46% in the control group (</w:t>
      </w:r>
      <w:r w:rsidR="002747F3">
        <w:rPr>
          <w:rFonts w:ascii="Times New Roman" w:eastAsia="Segoe UI" w:hAnsi="Times New Roman" w:cs="Times New Roman"/>
          <w:i/>
          <w:iCs/>
          <w:color w:val="0F1115"/>
          <w:shd w:val="clear" w:color="auto" w:fill="FFFFFF"/>
        </w:rPr>
        <w:t xml:space="preserve">p </w:t>
      </w:r>
      <w:r>
        <w:rPr>
          <w:rFonts w:ascii="Times New Roman" w:eastAsia="Segoe UI" w:hAnsi="Times New Roman" w:cs="Times New Roman"/>
          <w:color w:val="0F1115"/>
          <w:shd w:val="clear" w:color="auto" w:fill="FFFFFF"/>
        </w:rPr>
        <w:t>&lt;</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0.05). The incidence of infectious diseases during follow</w:t>
      </w:r>
      <w:r>
        <w:rPr>
          <w:rFonts w:ascii="Times New Roman" w:eastAsia="Segoe UI" w:hAnsi="Times New Roman" w:cs="Times New Roman"/>
          <w:color w:val="0F1115"/>
          <w:shd w:val="clear" w:color="auto" w:fill="FFFFFF"/>
        </w:rPr>
        <w:noBreakHyphen/>
        <w:t>up was 4.89% in the observation group versus 17.23% in the control group (</w:t>
      </w:r>
      <w:r w:rsidR="002747F3">
        <w:rPr>
          <w:rFonts w:ascii="Times New Roman" w:eastAsia="Segoe UI" w:hAnsi="Times New Roman" w:cs="Times New Roman"/>
          <w:i/>
          <w:iCs/>
          <w:color w:val="0F1115"/>
          <w:shd w:val="clear" w:color="auto" w:fill="FFFFFF"/>
        </w:rPr>
        <w:t xml:space="preserve">p </w:t>
      </w:r>
      <w:r>
        <w:rPr>
          <w:rFonts w:ascii="Times New Roman" w:eastAsia="Segoe UI" w:hAnsi="Times New Roman" w:cs="Times New Roman"/>
          <w:color w:val="0F1115"/>
          <w:shd w:val="clear" w:color="auto" w:fill="FFFFFF"/>
        </w:rPr>
        <w:t>&lt;</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0.05). </w:t>
      </w:r>
      <w:r>
        <w:rPr>
          <w:rFonts w:ascii="Times New Roman" w:eastAsia="Segoe UI" w:hAnsi="Times New Roman" w:cs="Times New Roman"/>
          <w:i/>
          <w:iCs/>
          <w:color w:val="0F1115"/>
          <w:shd w:val="clear" w:color="auto" w:fill="FFFFFF"/>
        </w:rPr>
        <w:t xml:space="preserve">Conclusion: </w:t>
      </w:r>
      <w:r>
        <w:rPr>
          <w:rFonts w:ascii="Times New Roman" w:eastAsia="Segoe UI" w:hAnsi="Times New Roman" w:cs="Times New Roman"/>
          <w:color w:val="0F1115"/>
          <w:shd w:val="clear" w:color="auto" w:fill="FFFFFF"/>
        </w:rPr>
        <w:t>This management model can increase the full vaccination coverage rate among age</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eligible children, reduce the occurrence of mild adverse reactions, help parents acquire more knowledge on vaccine prevention, and lower the incidence of infectious diseases during follow</w:t>
      </w:r>
      <w:r>
        <w:rPr>
          <w:rFonts w:ascii="Times New Roman" w:eastAsia="Segoe UI" w:hAnsi="Times New Roman" w:cs="Times New Roman"/>
          <w:color w:val="0F1115"/>
          <w:shd w:val="clear" w:color="auto" w:fill="FFFFFF"/>
        </w:rPr>
        <w:noBreakHyphen/>
        <w:t>up.</w:t>
      </w:r>
    </w:p>
    <w:p w14:paraId="3EE1F991"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b/>
          <w:bCs/>
          <w:color w:val="0F1115"/>
          <w:shd w:val="clear" w:color="auto" w:fill="FFFFFF"/>
        </w:rPr>
        <w:t>Keywords:</w:t>
      </w:r>
      <w:r>
        <w:rPr>
          <w:rFonts w:ascii="Times New Roman" w:eastAsia="Segoe UI" w:hAnsi="Times New Roman" w:cs="Times New Roman"/>
          <w:color w:val="0F1115"/>
          <w:shd w:val="clear" w:color="auto" w:fill="FFFFFF"/>
        </w:rPr>
        <w:t> Systematic vaccination management; Prevention and control of infectious diseases in children; Vaccination coverage rate; Adverse reactions to vaccination; Child preventive health care</w:t>
      </w:r>
    </w:p>
    <w:p w14:paraId="7E2FFFC5" w14:textId="77777777" w:rsidR="003739CD" w:rsidRDefault="003739CD" w:rsidP="002747F3">
      <w:pPr>
        <w:widowControl/>
        <w:snapToGrid w:val="0"/>
        <w:rPr>
          <w:rFonts w:ascii="Times New Roman" w:eastAsia="Segoe UI" w:hAnsi="Times New Roman" w:cs="Times New Roman"/>
          <w:sz w:val="24"/>
        </w:rPr>
      </w:pPr>
    </w:p>
    <w:p w14:paraId="43F95606" w14:textId="4AE1C525" w:rsidR="002747F3" w:rsidRPr="00E70375" w:rsidRDefault="002747F3" w:rsidP="002747F3">
      <w:pPr>
        <w:widowControl/>
        <w:snapToGrid w:val="0"/>
        <w:rPr>
          <w:rFonts w:ascii="Times New Roman" w:eastAsia="Segoe UI" w:hAnsi="Times New Roman" w:cs="Times New Roman"/>
          <w:b/>
          <w:bCs/>
          <w:sz w:val="24"/>
        </w:rPr>
      </w:pPr>
      <w:r w:rsidRPr="00E70375">
        <w:rPr>
          <w:rFonts w:ascii="Times New Roman" w:eastAsia="Segoe UI" w:hAnsi="Times New Roman" w:cs="Times New Roman"/>
          <w:b/>
          <w:bCs/>
          <w:sz w:val="24"/>
        </w:rPr>
        <w:t>Online publication:</w:t>
      </w:r>
    </w:p>
    <w:p w14:paraId="054E5392" w14:textId="77777777" w:rsidR="002747F3" w:rsidRDefault="002747F3" w:rsidP="00E70375">
      <w:pPr>
        <w:widowControl/>
        <w:snapToGrid w:val="0"/>
        <w:rPr>
          <w:rFonts w:ascii="Times New Roman" w:eastAsia="Segoe UI" w:hAnsi="Times New Roman" w:cs="Times New Roman"/>
          <w:sz w:val="24"/>
        </w:rPr>
      </w:pPr>
    </w:p>
    <w:p w14:paraId="12742F71" w14:textId="77777777" w:rsidR="003739CD" w:rsidRDefault="006E0A48" w:rsidP="00E70375">
      <w:pPr>
        <w:pStyle w:val="NormalWeb"/>
        <w:widowControl/>
        <w:shd w:val="clear" w:color="auto" w:fill="FFFFFF"/>
        <w:snapToGrid w:val="0"/>
        <w:rPr>
          <w:rFonts w:ascii="Times New Roman" w:eastAsia="Segoe UI" w:hAnsi="Times New Roman" w:cs="Times New Roman"/>
          <w:b/>
          <w:bCs/>
          <w:color w:val="0F1115"/>
          <w:shd w:val="clear" w:color="auto" w:fill="FFFFFF"/>
        </w:rPr>
      </w:pPr>
      <w:r>
        <w:rPr>
          <w:rFonts w:ascii="Times New Roman" w:eastAsia="SimSun" w:hAnsi="Times New Roman" w:cs="Times New Roman" w:hint="eastAsia"/>
          <w:b/>
          <w:bCs/>
          <w:color w:val="0F1115"/>
          <w:shd w:val="clear" w:color="auto" w:fill="FFFFFF"/>
        </w:rPr>
        <w:t xml:space="preserve">1. </w:t>
      </w:r>
      <w:r>
        <w:rPr>
          <w:rFonts w:ascii="Times New Roman" w:eastAsia="Segoe UI" w:hAnsi="Times New Roman" w:cs="Times New Roman"/>
          <w:b/>
          <w:bCs/>
          <w:color w:val="0F1115"/>
          <w:shd w:val="clear" w:color="auto" w:fill="FFFFFF"/>
        </w:rPr>
        <w:t>Introduction</w:t>
      </w:r>
    </w:p>
    <w:p w14:paraId="0E4CB3BB"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Relevant studies indicate that in 2023, the reported incidence of notifiable infectious diseases (NID) among children under 5 years of age in China was 213.69 per 100,000, of which vaccine</w:t>
      </w:r>
      <w:r>
        <w:rPr>
          <w:rFonts w:ascii="Times New Roman" w:eastAsia="Segoe UI" w:hAnsi="Times New Roman" w:cs="Times New Roman"/>
          <w:color w:val="0F1115"/>
          <w:shd w:val="clear" w:color="auto" w:fill="FFFFFF"/>
        </w:rPr>
        <w:noBreakHyphen/>
        <w:t xml:space="preserve">preventable diseases accounted for 42.7%. The risk of cluster outbreaks of enterovirus infections, mumps, and other diseases in childcare facilities and primary schools remains at a relatively high level </w:t>
      </w:r>
      <w:r>
        <w:rPr>
          <w:rFonts w:ascii="Times New Roman" w:eastAsia="Segoe UI" w:hAnsi="Times New Roman" w:cs="Times New Roman"/>
          <w:color w:val="0F1115"/>
          <w:shd w:val="clear" w:color="auto" w:fill="FFFFFF"/>
          <w:vertAlign w:val="superscript"/>
        </w:rPr>
        <w:t>[1</w:t>
      </w:r>
      <w:r>
        <w:rPr>
          <w:rFonts w:ascii="Times New Roman" w:eastAsia="Segoe UI" w:hAnsi="Times New Roman" w:cs="Times New Roman"/>
          <w:color w:val="0F1115"/>
          <w:shd w:val="clear" w:color="auto" w:fill="FFFFFF"/>
          <w:vertAlign w:val="superscript"/>
        </w:rPr>
        <w:noBreakHyphen/>
        <w:t>2]</w:t>
      </w:r>
      <w:r>
        <w:rPr>
          <w:rFonts w:ascii="Times New Roman" w:eastAsia="Segoe UI" w:hAnsi="Times New Roman" w:cs="Times New Roman"/>
          <w:color w:val="0F1115"/>
          <w:shd w:val="clear" w:color="auto" w:fill="FFFFFF"/>
        </w:rPr>
        <w:t>. Previous vaccination management has mostly relied on notifications at fixed time points and verbal instructions at the time of single vaccinations. Some parents hold misconceptions regarding the protective scope of different vaccines, post</w:t>
      </w:r>
      <w:r>
        <w:rPr>
          <w:rFonts w:ascii="Times New Roman" w:eastAsia="Segoe UI" w:hAnsi="Times New Roman" w:cs="Times New Roman"/>
          <w:color w:val="0F1115"/>
          <w:shd w:val="clear" w:color="auto" w:fill="FFFFFF"/>
        </w:rPr>
        <w:noBreakHyphen/>
        <w:t xml:space="preserve">vaccination precautions, and management of adverse reactions. Missed and delayed vaccinations are more prominent among children from migrant families and those in remote counties </w:t>
      </w:r>
      <w:r>
        <w:rPr>
          <w:rFonts w:ascii="Times New Roman" w:eastAsia="Segoe UI" w:hAnsi="Times New Roman" w:cs="Times New Roman"/>
          <w:color w:val="0F1115"/>
          <w:shd w:val="clear" w:color="auto" w:fill="FFFFFF"/>
          <w:vertAlign w:val="superscript"/>
        </w:rPr>
        <w:t>[3]</w:t>
      </w:r>
      <w:r>
        <w:rPr>
          <w:rFonts w:ascii="Times New Roman" w:eastAsia="Segoe UI" w:hAnsi="Times New Roman" w:cs="Times New Roman"/>
          <w:color w:val="0F1115"/>
          <w:shd w:val="clear" w:color="auto" w:fill="FFFFFF"/>
        </w:rPr>
        <w:t>. The framework of systematic vaccination management was first proposed by the National Disease Control and Prevention Administration in 2022, covering three core links: pre</w:t>
      </w:r>
      <w:r>
        <w:rPr>
          <w:rFonts w:ascii="Times New Roman" w:eastAsia="Segoe UI" w:hAnsi="Times New Roman" w:cs="Times New Roman"/>
          <w:color w:val="0F1115"/>
          <w:shd w:val="clear" w:color="auto" w:fill="FFFFFF"/>
        </w:rPr>
        <w:noBreakHyphen/>
        <w:t>vaccination risk assessment, phased science popularization of vaccination knowledge, and post</w:t>
      </w:r>
      <w:r>
        <w:rPr>
          <w:rFonts w:ascii="Times New Roman" w:eastAsia="Segoe UI" w:hAnsi="Times New Roman" w:cs="Times New Roman"/>
          <w:color w:val="0F1115"/>
          <w:shd w:val="clear" w:color="auto" w:fill="FFFFFF"/>
        </w:rPr>
        <w:noBreakHyphen/>
        <w:t>vaccination follow</w:t>
      </w:r>
      <w:r>
        <w:rPr>
          <w:rFonts w:ascii="Times New Roman" w:eastAsia="Segoe UI" w:hAnsi="Times New Roman" w:cs="Times New Roman"/>
          <w:color w:val="0F1115"/>
          <w:shd w:val="clear" w:color="auto" w:fill="FFFFFF"/>
        </w:rPr>
        <w:noBreakHyphen/>
        <w:t>up. Small</w:t>
      </w:r>
      <w:r>
        <w:rPr>
          <w:rFonts w:ascii="Times New Roman" w:eastAsia="Segoe UI" w:hAnsi="Times New Roman" w:cs="Times New Roman"/>
          <w:color w:val="0F1115"/>
          <w:shd w:val="clear" w:color="auto" w:fill="FFFFFF"/>
        </w:rPr>
        <w:noBreakHyphen/>
        <w:t>scale studies have confirmed that this model can improve the standardization of the entire vaccination process; however, practical data on vaccination scenarios for age</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 xml:space="preserve">eligible children in primary healthcare institutions remain scarce </w:t>
      </w:r>
      <w:r>
        <w:rPr>
          <w:rFonts w:ascii="Times New Roman" w:eastAsia="Segoe UI" w:hAnsi="Times New Roman" w:cs="Times New Roman"/>
          <w:color w:val="0F1115"/>
          <w:shd w:val="clear" w:color="auto" w:fill="FFFFFF"/>
          <w:vertAlign w:val="superscript"/>
        </w:rPr>
        <w:t>[4]</w:t>
      </w:r>
      <w:r>
        <w:rPr>
          <w:rFonts w:ascii="Times New Roman" w:eastAsia="Segoe UI" w:hAnsi="Times New Roman" w:cs="Times New Roman"/>
          <w:color w:val="0F1115"/>
          <w:shd w:val="clear" w:color="auto" w:fill="FFFFFF"/>
        </w:rPr>
        <w:t>. This study aims to explore the practical utility of systematic vaccination management in the prevention and control of infectious diseases in children.</w:t>
      </w:r>
    </w:p>
    <w:p w14:paraId="2F97D0D2" w14:textId="77777777" w:rsidR="003739CD" w:rsidRDefault="003739CD" w:rsidP="00E70375">
      <w:pPr>
        <w:widowControl/>
        <w:snapToGrid w:val="0"/>
        <w:rPr>
          <w:rFonts w:ascii="Times New Roman" w:eastAsia="Segoe UI" w:hAnsi="Times New Roman" w:cs="Times New Roman"/>
          <w:sz w:val="24"/>
        </w:rPr>
      </w:pPr>
    </w:p>
    <w:p w14:paraId="6E32D17E"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Materials and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ethods</w:t>
      </w:r>
    </w:p>
    <w:p w14:paraId="2E9BBA5F"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2</w:t>
      </w:r>
      <w:r>
        <w:rPr>
          <w:rFonts w:ascii="Times New Roman" w:eastAsia="Segoe UI" w:hAnsi="Times New Roman" w:cs="Times New Roman"/>
          <w:b/>
          <w:bCs/>
          <w:color w:val="0F1115"/>
          <w:shd w:val="clear" w:color="auto" w:fill="FFFFFF"/>
        </w:rPr>
        <w:t>.1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General </w:t>
      </w:r>
      <w:r>
        <w:rPr>
          <w:rFonts w:ascii="Times New Roman" w:eastAsia="SimSun" w:hAnsi="Times New Roman" w:cs="Times New Roman" w:hint="eastAsia"/>
          <w:b/>
          <w:bCs/>
          <w:color w:val="0F1115"/>
          <w:shd w:val="clear" w:color="auto" w:fill="FFFFFF"/>
        </w:rPr>
        <w:t>i</w:t>
      </w:r>
      <w:r>
        <w:rPr>
          <w:rFonts w:ascii="Times New Roman" w:eastAsia="Segoe UI" w:hAnsi="Times New Roman" w:cs="Times New Roman"/>
          <w:b/>
          <w:bCs/>
          <w:color w:val="0F1115"/>
          <w:shd w:val="clear" w:color="auto" w:fill="FFFFFF"/>
        </w:rPr>
        <w:t>nformation</w:t>
      </w:r>
    </w:p>
    <w:p w14:paraId="2749A20F" w14:textId="5050A08B" w:rsidR="003739CD" w:rsidRDefault="006E0A48" w:rsidP="00E70375">
      <w:pPr>
        <w:pStyle w:val="NormalWeb"/>
        <w:widowControl/>
        <w:shd w:val="clear" w:color="auto" w:fill="FFFFFF"/>
        <w:snapToGrid w:val="0"/>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A total of 80 age</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eligible children who visited the Preventive Health Care Department of our hospital from April 2024 to April 2025 were enrolled and equally divided into a control group and an observation group using a random number table, with 40 cases in each group. The children in the control group were aged 1</w:t>
      </w:r>
      <w:r w:rsidR="002747F3">
        <w:rPr>
          <w:rFonts w:ascii="Times New Roman" w:eastAsia="Segoe UI" w:hAnsi="Times New Roman" w:cs="Times New Roman"/>
          <w:color w:val="0F1115"/>
          <w:shd w:val="clear" w:color="auto" w:fill="FFFFFF"/>
        </w:rPr>
        <w:t>–</w:t>
      </w:r>
      <w:r>
        <w:rPr>
          <w:rFonts w:ascii="Times New Roman" w:eastAsia="Segoe UI" w:hAnsi="Times New Roman" w:cs="Times New Roman"/>
          <w:color w:val="0F1115"/>
          <w:shd w:val="clear" w:color="auto" w:fill="FFFFFF"/>
        </w:rPr>
        <w:t>6 years, with a mean age of (3.24</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1.07) years, including 22 males and 18 females. The observation group had children aged 1</w:t>
      </w:r>
      <w:r w:rsidR="002747F3">
        <w:rPr>
          <w:rFonts w:ascii="Times New Roman" w:eastAsia="Segoe UI" w:hAnsi="Times New Roman" w:cs="Times New Roman"/>
          <w:color w:val="0F1115"/>
          <w:shd w:val="clear" w:color="auto" w:fill="FFFFFF"/>
        </w:rPr>
        <w:t>–</w:t>
      </w:r>
      <w:r>
        <w:rPr>
          <w:rFonts w:ascii="Times New Roman" w:eastAsia="Segoe UI" w:hAnsi="Times New Roman" w:cs="Times New Roman"/>
          <w:color w:val="0F1115"/>
          <w:shd w:val="clear" w:color="auto" w:fill="FFFFFF"/>
        </w:rPr>
        <w:t>6 years, with a mean age of (3.31</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1.12) years, including 21 males and 19 females. No statistically significant difference was found in general characteristics between the two groups (</w:t>
      </w:r>
      <w:r w:rsidR="002747F3">
        <w:rPr>
          <w:rFonts w:ascii="Times New Roman" w:eastAsia="Segoe UI" w:hAnsi="Times New Roman" w:cs="Times New Roman"/>
          <w:i/>
          <w:iCs/>
          <w:color w:val="0F1115"/>
          <w:shd w:val="clear" w:color="auto" w:fill="FFFFFF"/>
        </w:rPr>
        <w:t xml:space="preserve">p </w:t>
      </w:r>
      <w:r>
        <w:rPr>
          <w:rFonts w:ascii="Times New Roman" w:eastAsia="Segoe UI" w:hAnsi="Times New Roman" w:cs="Times New Roman"/>
          <w:color w:val="0F1115"/>
          <w:shd w:val="clear" w:color="auto" w:fill="FFFFFF"/>
        </w:rPr>
        <w:t>&gt;</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0.05). This study complied with the requirements of the Declaration of Helsinki.</w:t>
      </w:r>
    </w:p>
    <w:p w14:paraId="4EDAE13B" w14:textId="77777777" w:rsidR="003739CD" w:rsidRDefault="003739CD" w:rsidP="00E70375">
      <w:pPr>
        <w:pStyle w:val="NormalWeb"/>
        <w:widowControl/>
        <w:shd w:val="clear" w:color="auto" w:fill="FFFFFF"/>
        <w:snapToGrid w:val="0"/>
        <w:rPr>
          <w:rFonts w:ascii="Times New Roman" w:eastAsia="Segoe UI" w:hAnsi="Times New Roman" w:cs="Times New Roman"/>
          <w:color w:val="0F1115"/>
          <w:shd w:val="clear" w:color="auto" w:fill="FFFFFF"/>
        </w:rPr>
      </w:pPr>
    </w:p>
    <w:p w14:paraId="3DFF6EB9"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shd w:val="clear" w:color="auto" w:fill="FFFFFF"/>
        </w:rPr>
      </w:pPr>
      <w:r>
        <w:rPr>
          <w:rFonts w:ascii="Times New Roman" w:eastAsia="SimSun" w:hAnsi="Times New Roman" w:cs="Times New Roman" w:hint="eastAsia"/>
          <w:b/>
          <w:bCs/>
          <w:color w:val="0F1115"/>
          <w:shd w:val="clear" w:color="auto" w:fill="FFFFFF"/>
        </w:rPr>
        <w:t xml:space="preserve">2.1.1. </w:t>
      </w:r>
      <w:r>
        <w:rPr>
          <w:rFonts w:ascii="Times New Roman" w:eastAsia="Segoe UI" w:hAnsi="Times New Roman" w:cs="Times New Roman"/>
          <w:b/>
          <w:bCs/>
          <w:color w:val="0F1115"/>
          <w:shd w:val="clear" w:color="auto" w:fill="FFFFFF"/>
        </w:rPr>
        <w:t>Inclusion criteria</w:t>
      </w:r>
      <w:r>
        <w:rPr>
          <w:rFonts w:ascii="Times New Roman" w:eastAsia="Segoe UI" w:hAnsi="Times New Roman" w:cs="Times New Roman"/>
          <w:color w:val="0F1115"/>
          <w:shd w:val="clear" w:color="auto" w:fill="FFFFFF"/>
        </w:rPr>
        <w:t xml:space="preserve"> </w:t>
      </w:r>
    </w:p>
    <w:p w14:paraId="2ECDC306" w14:textId="07E467AF" w:rsidR="002747F3" w:rsidRDefault="006E0A48" w:rsidP="00E70375">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 xml:space="preserve">(1) </w:t>
      </w:r>
      <w:r w:rsidR="002747F3">
        <w:rPr>
          <w:rFonts w:ascii="Times New Roman" w:eastAsia="Segoe UI" w:hAnsi="Times New Roman" w:cs="Times New Roman"/>
          <w:color w:val="0F1115"/>
          <w:shd w:val="clear" w:color="auto" w:fill="FFFFFF"/>
        </w:rPr>
        <w:tab/>
      </w:r>
      <w:r>
        <w:rPr>
          <w:rFonts w:ascii="Times New Roman" w:eastAsia="Segoe UI" w:hAnsi="Times New Roman" w:cs="Times New Roman"/>
          <w:color w:val="0F1115"/>
          <w:shd w:val="clear" w:color="auto" w:fill="FFFFFF"/>
        </w:rPr>
        <w:t xml:space="preserve">Age between 1 and 6 years, meeting the age requirements for vaccines in the National Immunization Program. </w:t>
      </w:r>
    </w:p>
    <w:p w14:paraId="5AA2E9D7" w14:textId="3C4D0F18" w:rsidR="002747F3" w:rsidRDefault="006E0A48" w:rsidP="00E70375">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 xml:space="preserve">(2) </w:t>
      </w:r>
      <w:r w:rsidR="002747F3">
        <w:rPr>
          <w:rFonts w:ascii="Times New Roman" w:eastAsia="Segoe UI" w:hAnsi="Times New Roman" w:cs="Times New Roman"/>
          <w:color w:val="0F1115"/>
          <w:shd w:val="clear" w:color="auto" w:fill="FFFFFF"/>
        </w:rPr>
        <w:tab/>
      </w:r>
      <w:r>
        <w:rPr>
          <w:rFonts w:ascii="Times New Roman" w:eastAsia="Segoe UI" w:hAnsi="Times New Roman" w:cs="Times New Roman"/>
          <w:color w:val="0F1115"/>
          <w:shd w:val="clear" w:color="auto" w:fill="FFFFFF"/>
        </w:rPr>
        <w:t>The guardians of the children were fully informed about the study content, voluntarily signed informed consent, and were able to complete the entire follow</w:t>
      </w:r>
      <w:r>
        <w:rPr>
          <w:rFonts w:ascii="Times New Roman" w:eastAsia="Segoe UI" w:hAnsi="Times New Roman" w:cs="Times New Roman"/>
          <w:color w:val="0F1115"/>
          <w:shd w:val="clear" w:color="auto" w:fill="FFFFFF"/>
        </w:rPr>
        <w:noBreakHyphen/>
        <w:t xml:space="preserve">up. </w:t>
      </w:r>
    </w:p>
    <w:p w14:paraId="3F1B398D" w14:textId="36C5EB2D" w:rsidR="002747F3" w:rsidRDefault="006E0A48" w:rsidP="00E70375">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 xml:space="preserve">(3) </w:t>
      </w:r>
      <w:r w:rsidR="002747F3">
        <w:rPr>
          <w:rFonts w:ascii="Times New Roman" w:eastAsia="Segoe UI" w:hAnsi="Times New Roman" w:cs="Times New Roman"/>
          <w:color w:val="0F1115"/>
          <w:shd w:val="clear" w:color="auto" w:fill="FFFFFF"/>
        </w:rPr>
        <w:tab/>
      </w:r>
      <w:r>
        <w:rPr>
          <w:rFonts w:ascii="Times New Roman" w:eastAsia="Segoe UI" w:hAnsi="Times New Roman" w:cs="Times New Roman"/>
          <w:color w:val="0F1115"/>
          <w:shd w:val="clear" w:color="auto" w:fill="FFFFFF"/>
        </w:rPr>
        <w:t xml:space="preserve">The enrolled children had no congenital immune deficiencies or severe dysfunction of major organs such as the heart, liver, or kidneys. </w:t>
      </w:r>
    </w:p>
    <w:p w14:paraId="26C08C10" w14:textId="4121BCAC" w:rsidR="003739CD" w:rsidRDefault="006E0A48" w:rsidP="00E70375">
      <w:pPr>
        <w:pStyle w:val="NormalWeb"/>
        <w:widowControl/>
        <w:shd w:val="clear" w:color="auto" w:fill="FFFFFF"/>
        <w:snapToGrid w:val="0"/>
        <w:ind w:left="709" w:hanging="709"/>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(4) </w:t>
      </w:r>
      <w:r w:rsidR="002747F3">
        <w:rPr>
          <w:rFonts w:ascii="Times New Roman" w:eastAsia="Segoe UI" w:hAnsi="Times New Roman" w:cs="Times New Roman"/>
          <w:color w:val="0F1115"/>
          <w:shd w:val="clear" w:color="auto" w:fill="FFFFFF"/>
        </w:rPr>
        <w:tab/>
      </w:r>
      <w:r>
        <w:rPr>
          <w:rFonts w:ascii="Times New Roman" w:eastAsia="Segoe UI" w:hAnsi="Times New Roman" w:cs="Times New Roman"/>
          <w:color w:val="0F1115"/>
          <w:shd w:val="clear" w:color="auto" w:fill="FFFFFF"/>
        </w:rPr>
        <w:t>Had not completed all scheduled vaccinations for their age group before enrollment.</w:t>
      </w:r>
    </w:p>
    <w:p w14:paraId="43CA0540" w14:textId="77777777" w:rsidR="003739CD" w:rsidRDefault="003739CD" w:rsidP="00E70375">
      <w:pPr>
        <w:pStyle w:val="NormalWeb"/>
        <w:widowControl/>
        <w:shd w:val="clear" w:color="auto" w:fill="FFFFFF"/>
        <w:snapToGrid w:val="0"/>
        <w:ind w:firstLineChars="200" w:firstLine="480"/>
        <w:rPr>
          <w:rFonts w:ascii="Times New Roman" w:eastAsia="Segoe UI" w:hAnsi="Times New Roman" w:cs="Times New Roman"/>
          <w:color w:val="0F1115"/>
          <w:shd w:val="clear" w:color="auto" w:fill="FFFFFF"/>
        </w:rPr>
      </w:pPr>
    </w:p>
    <w:p w14:paraId="38382E02" w14:textId="77777777" w:rsidR="003739CD" w:rsidRDefault="006E0A48" w:rsidP="00E70375">
      <w:pPr>
        <w:pStyle w:val="NormalWeb"/>
        <w:widowControl/>
        <w:shd w:val="clear" w:color="auto" w:fill="FFFFFF"/>
        <w:snapToGrid w:val="0"/>
        <w:rPr>
          <w:rFonts w:ascii="Times New Roman" w:eastAsia="Segoe UI" w:hAnsi="Times New Roman" w:cs="Times New Roman"/>
          <w:b/>
          <w:bCs/>
          <w:color w:val="0F1115"/>
          <w:shd w:val="clear" w:color="auto" w:fill="FFFFFF"/>
        </w:rPr>
      </w:pPr>
      <w:r>
        <w:rPr>
          <w:rFonts w:ascii="Times New Roman" w:eastAsia="SimSun" w:hAnsi="Times New Roman" w:cs="Times New Roman" w:hint="eastAsia"/>
          <w:b/>
          <w:bCs/>
          <w:color w:val="0F1115"/>
          <w:shd w:val="clear" w:color="auto" w:fill="FFFFFF"/>
        </w:rPr>
        <w:t xml:space="preserve">2.1.2. </w:t>
      </w:r>
      <w:r>
        <w:rPr>
          <w:rFonts w:ascii="Times New Roman" w:eastAsia="Segoe UI" w:hAnsi="Times New Roman" w:cs="Times New Roman"/>
          <w:b/>
          <w:bCs/>
          <w:color w:val="0F1115"/>
          <w:shd w:val="clear" w:color="auto" w:fill="FFFFFF"/>
        </w:rPr>
        <w:t xml:space="preserve">Exclusion criteria </w:t>
      </w:r>
    </w:p>
    <w:p w14:paraId="29156A87" w14:textId="278D4AA9" w:rsidR="002747F3" w:rsidRDefault="006E0A48" w:rsidP="00E70375">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 xml:space="preserve">(1) </w:t>
      </w:r>
      <w:r w:rsidR="002747F3">
        <w:rPr>
          <w:rFonts w:ascii="Times New Roman" w:eastAsia="Segoe UI" w:hAnsi="Times New Roman" w:cs="Times New Roman"/>
          <w:color w:val="0F1115"/>
          <w:shd w:val="clear" w:color="auto" w:fill="FFFFFF"/>
        </w:rPr>
        <w:tab/>
      </w:r>
      <w:r>
        <w:rPr>
          <w:rFonts w:ascii="Times New Roman" w:eastAsia="Segoe UI" w:hAnsi="Times New Roman" w:cs="Times New Roman"/>
          <w:color w:val="0F1115"/>
          <w:shd w:val="clear" w:color="auto" w:fill="FFFFFF"/>
        </w:rPr>
        <w:t xml:space="preserve">Presence of clear contraindications to vaccination, or a history of severe allergic reactions within 1 month before enrollment. </w:t>
      </w:r>
    </w:p>
    <w:p w14:paraId="105322EF" w14:textId="69ED279F" w:rsidR="002747F3" w:rsidRDefault="006E0A48" w:rsidP="00E70375">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 xml:space="preserve">(2) </w:t>
      </w:r>
      <w:r w:rsidR="002747F3">
        <w:rPr>
          <w:rFonts w:ascii="Times New Roman" w:eastAsia="Segoe UI" w:hAnsi="Times New Roman" w:cs="Times New Roman"/>
          <w:color w:val="0F1115"/>
          <w:shd w:val="clear" w:color="auto" w:fill="FFFFFF"/>
        </w:rPr>
        <w:tab/>
      </w:r>
      <w:r>
        <w:rPr>
          <w:rFonts w:ascii="Times New Roman" w:eastAsia="Segoe UI" w:hAnsi="Times New Roman" w:cs="Times New Roman"/>
          <w:color w:val="0F1115"/>
          <w:shd w:val="clear" w:color="auto" w:fill="FFFFFF"/>
        </w:rPr>
        <w:t>Participation in other vaccine</w:t>
      </w:r>
      <w:r>
        <w:rPr>
          <w:rFonts w:ascii="Times New Roman" w:eastAsia="Segoe UI" w:hAnsi="Times New Roman" w:cs="Times New Roman"/>
          <w:color w:val="0F1115"/>
          <w:shd w:val="clear" w:color="auto" w:fill="FFFFFF"/>
        </w:rPr>
        <w:noBreakHyphen/>
        <w:t xml:space="preserve">related clinical studies within 3 months before enrollment. </w:t>
      </w:r>
    </w:p>
    <w:p w14:paraId="66CADF8D" w14:textId="4BBE34EA" w:rsidR="002747F3" w:rsidRDefault="006E0A48" w:rsidP="00E70375">
      <w:pPr>
        <w:pStyle w:val="NormalWeb"/>
        <w:widowControl/>
        <w:shd w:val="clear" w:color="auto" w:fill="FFFFFF"/>
        <w:snapToGrid w:val="0"/>
        <w:ind w:left="709" w:hanging="709"/>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 xml:space="preserve">(3) </w:t>
      </w:r>
      <w:r w:rsidR="002747F3">
        <w:rPr>
          <w:rFonts w:ascii="Times New Roman" w:eastAsia="Segoe UI" w:hAnsi="Times New Roman" w:cs="Times New Roman"/>
          <w:color w:val="0F1115"/>
          <w:shd w:val="clear" w:color="auto" w:fill="FFFFFF"/>
        </w:rPr>
        <w:tab/>
      </w:r>
      <w:r>
        <w:rPr>
          <w:rFonts w:ascii="Times New Roman" w:eastAsia="Segoe UI" w:hAnsi="Times New Roman" w:cs="Times New Roman"/>
          <w:color w:val="0F1115"/>
          <w:shd w:val="clear" w:color="auto" w:fill="FFFFFF"/>
        </w:rPr>
        <w:t>G</w:t>
      </w:r>
      <w:r>
        <w:rPr>
          <w:rFonts w:ascii="Times New Roman" w:eastAsia="Segoe UI" w:hAnsi="Times New Roman" w:cs="Times New Roman"/>
          <w:color w:val="0F1115"/>
          <w:shd w:val="clear" w:color="auto" w:fill="FFFFFF"/>
        </w:rPr>
        <w:t xml:space="preserve">uardians had cognitive impairments or diagnosed psychiatric disorders that prevented cooperation with the survey and information collection. </w:t>
      </w:r>
    </w:p>
    <w:p w14:paraId="2ED80D96" w14:textId="03C04A06" w:rsidR="003739CD" w:rsidRDefault="006E0A48" w:rsidP="00E70375">
      <w:pPr>
        <w:pStyle w:val="NormalWeb"/>
        <w:widowControl/>
        <w:shd w:val="clear" w:color="auto" w:fill="FFFFFF"/>
        <w:snapToGrid w:val="0"/>
        <w:ind w:left="709" w:hanging="709"/>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(4) </w:t>
      </w:r>
      <w:r w:rsidR="002747F3">
        <w:rPr>
          <w:rFonts w:ascii="Times New Roman" w:eastAsia="Segoe UI" w:hAnsi="Times New Roman" w:cs="Times New Roman"/>
          <w:color w:val="0F1115"/>
          <w:shd w:val="clear" w:color="auto" w:fill="FFFFFF"/>
        </w:rPr>
        <w:tab/>
      </w:r>
      <w:r>
        <w:rPr>
          <w:rFonts w:ascii="Times New Roman" w:eastAsia="Segoe UI" w:hAnsi="Times New Roman" w:cs="Times New Roman"/>
          <w:color w:val="0F1115"/>
          <w:shd w:val="clear" w:color="auto" w:fill="FFFFFF"/>
        </w:rPr>
        <w:t>Possible change of residence across cities during follow</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up that would preclude completion of subsequent vaccinations and health status tracking.</w:t>
      </w:r>
    </w:p>
    <w:p w14:paraId="318DFD73" w14:textId="77777777" w:rsidR="003739CD" w:rsidRDefault="003739CD" w:rsidP="00E70375">
      <w:pPr>
        <w:pStyle w:val="NormalWeb"/>
        <w:widowControl/>
        <w:shd w:val="clear" w:color="auto" w:fill="FFFFFF"/>
        <w:snapToGrid w:val="0"/>
        <w:rPr>
          <w:rFonts w:ascii="Times New Roman" w:eastAsia="Segoe UI" w:hAnsi="Times New Roman" w:cs="Times New Roman"/>
          <w:b/>
          <w:bCs/>
          <w:color w:val="0F1115"/>
          <w:shd w:val="clear" w:color="auto" w:fill="FFFFFF"/>
        </w:rPr>
      </w:pPr>
    </w:p>
    <w:p w14:paraId="2F40E2F8"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2</w:t>
      </w:r>
      <w:r>
        <w:rPr>
          <w:rFonts w:ascii="Times New Roman" w:eastAsia="Segoe UI" w:hAnsi="Times New Roman" w:cs="Times New Roman"/>
          <w:b/>
          <w:bCs/>
          <w:color w:val="0F1115"/>
          <w:shd w:val="clear" w:color="auto" w:fill="FFFFFF"/>
        </w:rPr>
        <w:t>.2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Methods</w:t>
      </w:r>
    </w:p>
    <w:p w14:paraId="675014CA" w14:textId="77777777" w:rsidR="003739CD" w:rsidRDefault="006E0A48" w:rsidP="00E70375">
      <w:pPr>
        <w:pStyle w:val="NormalWeb"/>
        <w:widowControl/>
        <w:shd w:val="clear" w:color="auto" w:fill="FFFFFF"/>
        <w:snapToGrid w:val="0"/>
        <w:rPr>
          <w:rFonts w:ascii="Times New Roman" w:eastAsia="Segoe UI" w:hAnsi="Times New Roman" w:cs="Times New Roman"/>
          <w:b/>
          <w:bCs/>
          <w:color w:val="0F1115"/>
          <w:shd w:val="clear" w:color="auto" w:fill="FFFFFF"/>
        </w:rPr>
      </w:pPr>
      <w:r>
        <w:rPr>
          <w:rFonts w:ascii="Times New Roman" w:eastAsia="SimSun" w:hAnsi="Times New Roman" w:cs="Times New Roman" w:hint="eastAsia"/>
          <w:b/>
          <w:bCs/>
          <w:color w:val="0F1115"/>
          <w:shd w:val="clear" w:color="auto" w:fill="FFFFFF"/>
        </w:rPr>
        <w:t xml:space="preserve">2.2.1. </w:t>
      </w:r>
      <w:r>
        <w:rPr>
          <w:rFonts w:ascii="Times New Roman" w:eastAsia="Segoe UI" w:hAnsi="Times New Roman" w:cs="Times New Roman"/>
          <w:b/>
          <w:bCs/>
          <w:color w:val="0F1115"/>
          <w:shd w:val="clear" w:color="auto" w:fill="FFFFFF"/>
        </w:rPr>
        <w:t>Control group</w:t>
      </w:r>
    </w:p>
    <w:p w14:paraId="063A7B47" w14:textId="5B00D13E"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On the day of vaccination, nurses verified the child</w:t>
      </w:r>
      <w:r w:rsidR="002747F3">
        <w:rPr>
          <w:rFonts w:ascii="Times New Roman" w:eastAsia="Segoe UI" w:hAnsi="Times New Roman" w:cs="Times New Roman"/>
          <w:color w:val="0F1115"/>
          <w:shd w:val="clear" w:color="auto" w:fill="FFFFFF"/>
        </w:rPr>
        <w:t>’</w:t>
      </w:r>
      <w:r>
        <w:rPr>
          <w:rFonts w:ascii="Times New Roman" w:eastAsia="Segoe UI" w:hAnsi="Times New Roman" w:cs="Times New Roman"/>
          <w:color w:val="0F1115"/>
          <w:shd w:val="clear" w:color="auto" w:fill="FFFFFF"/>
        </w:rPr>
        <w:t>s identity and matched the vaccine accordingly. They provided oral instructions on contraindications and common post</w:t>
      </w:r>
      <w:r>
        <w:rPr>
          <w:rFonts w:ascii="Times New Roman" w:eastAsia="Segoe UI" w:hAnsi="Times New Roman" w:cs="Times New Roman"/>
          <w:color w:val="0F1115"/>
          <w:shd w:val="clear" w:color="auto" w:fill="FFFFFF"/>
        </w:rPr>
        <w:noBreakHyphen/>
        <w:t>vaccination reactions.</w:t>
      </w:r>
    </w:p>
    <w:p w14:paraId="0C9809DE" w14:textId="77777777" w:rsidR="003739CD" w:rsidRDefault="003739CD" w:rsidP="00E70375">
      <w:pPr>
        <w:pStyle w:val="NormalWeb"/>
        <w:widowControl/>
        <w:shd w:val="clear" w:color="auto" w:fill="FFFFFF"/>
        <w:snapToGrid w:val="0"/>
        <w:rPr>
          <w:rFonts w:ascii="Times New Roman" w:eastAsia="Segoe UI" w:hAnsi="Times New Roman" w:cs="Times New Roman"/>
          <w:b/>
          <w:bCs/>
          <w:color w:val="0F1115"/>
          <w:shd w:val="clear" w:color="auto" w:fill="FFFFFF"/>
        </w:rPr>
      </w:pPr>
    </w:p>
    <w:p w14:paraId="3FBF5088" w14:textId="77777777" w:rsidR="003739CD" w:rsidRDefault="006E0A48" w:rsidP="00E70375">
      <w:pPr>
        <w:pStyle w:val="NormalWeb"/>
        <w:widowControl/>
        <w:shd w:val="clear" w:color="auto" w:fill="FFFFFF"/>
        <w:snapToGrid w:val="0"/>
        <w:rPr>
          <w:rFonts w:ascii="Times New Roman" w:eastAsia="Segoe UI" w:hAnsi="Times New Roman" w:cs="Times New Roman"/>
          <w:b/>
          <w:bCs/>
          <w:color w:val="0F1115"/>
          <w:shd w:val="clear" w:color="auto" w:fill="FFFFFF"/>
        </w:rPr>
      </w:pPr>
      <w:r>
        <w:rPr>
          <w:rFonts w:ascii="Times New Roman" w:eastAsia="SimSun" w:hAnsi="Times New Roman" w:cs="Times New Roman" w:hint="eastAsia"/>
          <w:b/>
          <w:bCs/>
          <w:color w:val="0F1115"/>
          <w:shd w:val="clear" w:color="auto" w:fill="FFFFFF"/>
        </w:rPr>
        <w:t xml:space="preserve">2.2.2. </w:t>
      </w:r>
      <w:r>
        <w:rPr>
          <w:rFonts w:ascii="Times New Roman" w:eastAsia="Segoe UI" w:hAnsi="Times New Roman" w:cs="Times New Roman"/>
          <w:b/>
          <w:bCs/>
          <w:color w:val="0F1115"/>
          <w:shd w:val="clear" w:color="auto" w:fill="FFFFFF"/>
        </w:rPr>
        <w:t>Observation group</w:t>
      </w:r>
    </w:p>
    <w:p w14:paraId="298144CE"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The observation group received systematic vaccination management.</w:t>
      </w:r>
    </w:p>
    <w:p w14:paraId="45C1B5CD" w14:textId="72492CE7" w:rsidR="002747F3" w:rsidRDefault="006E0A48" w:rsidP="00E70375">
      <w:pPr>
        <w:pStyle w:val="NormalWeb"/>
        <w:widowControl/>
        <w:snapToGrid w:val="0"/>
        <w:ind w:left="709" w:hanging="709"/>
        <w:rPr>
          <w:rFonts w:ascii="Times New Roman" w:hAnsi="Times New Roman" w:cs="Times New Roman"/>
        </w:rPr>
      </w:pPr>
      <w:r>
        <w:rPr>
          <w:rFonts w:ascii="Times New Roman" w:eastAsia="SimSun" w:hAnsi="Times New Roman" w:cs="Times New Roman" w:hint="eastAsia"/>
          <w:color w:val="0F1115"/>
          <w:shd w:val="clear" w:color="auto" w:fill="FFFFFF"/>
        </w:rPr>
        <w:t>(</w:t>
      </w:r>
      <w:r>
        <w:rPr>
          <w:rFonts w:ascii="Times New Roman" w:eastAsia="SimSun" w:hAnsi="Times New Roman" w:cs="Times New Roman"/>
          <w:color w:val="0F1115"/>
          <w:shd w:val="clear" w:color="auto" w:fill="FFFFFF"/>
        </w:rPr>
        <w:t>1</w:t>
      </w:r>
      <w:r>
        <w:rPr>
          <w:rFonts w:ascii="Times New Roman" w:eastAsia="SimSun" w:hAnsi="Times New Roman" w:cs="Times New Roman" w:hint="eastAsia"/>
          <w:color w:val="0F1115"/>
          <w:shd w:val="clear" w:color="auto" w:fill="FFFFFF"/>
        </w:rPr>
        <w:t>)</w:t>
      </w:r>
      <w:r>
        <w:rPr>
          <w:rFonts w:ascii="Times New Roman" w:eastAsia="SimSun" w:hAnsi="Times New Roman" w:cs="Times New Roman"/>
          <w:color w:val="0F1115"/>
          <w:shd w:val="clear" w:color="auto" w:fill="FFFFFF"/>
        </w:rPr>
        <w:t xml:space="preserve"> </w:t>
      </w:r>
      <w:r w:rsidR="002747F3">
        <w:rPr>
          <w:rFonts w:ascii="Times New Roman" w:eastAsia="SimSun" w:hAnsi="Times New Roman" w:cs="Times New Roman"/>
          <w:color w:val="0F1115"/>
          <w:shd w:val="clear" w:color="auto" w:fill="FFFFFF"/>
        </w:rPr>
        <w:tab/>
      </w:r>
      <w:r>
        <w:rPr>
          <w:rFonts w:ascii="Times New Roman" w:eastAsia="Segoe UI" w:hAnsi="Times New Roman" w:cs="Times New Roman"/>
          <w:color w:val="0F1115"/>
          <w:shd w:val="clear" w:color="auto" w:fill="FFFFFF"/>
        </w:rPr>
        <w:t>Seven days before vaccination, nurses retrieved the child</w:t>
      </w:r>
      <w:r w:rsidR="002747F3">
        <w:rPr>
          <w:rFonts w:ascii="Times New Roman" w:eastAsia="Segoe UI" w:hAnsi="Times New Roman" w:cs="Times New Roman"/>
          <w:color w:val="0F1115"/>
          <w:shd w:val="clear" w:color="auto" w:fill="FFFFFF"/>
        </w:rPr>
        <w:t>’</w:t>
      </w:r>
      <w:r>
        <w:rPr>
          <w:rFonts w:ascii="Times New Roman" w:eastAsia="Segoe UI" w:hAnsi="Times New Roman" w:cs="Times New Roman"/>
          <w:color w:val="0F1115"/>
          <w:shd w:val="clear" w:color="auto" w:fill="FFFFFF"/>
        </w:rPr>
        <w:t>s previous vaccination records, checked the types of age</w:t>
      </w:r>
      <w:r>
        <w:rPr>
          <w:rFonts w:ascii="Times New Roman" w:eastAsia="Segoe UI" w:hAnsi="Times New Roman" w:cs="Times New Roman"/>
          <w:color w:val="0F1115"/>
          <w:shd w:val="clear" w:color="auto" w:fill="FFFFFF"/>
        </w:rPr>
        <w:noBreakHyphen/>
        <w:t>appropriate vaccines not yet completed, reviewed the child</w:t>
      </w:r>
      <w:r w:rsidR="002747F3">
        <w:rPr>
          <w:rFonts w:ascii="Times New Roman" w:eastAsia="Segoe UI" w:hAnsi="Times New Roman" w:cs="Times New Roman"/>
          <w:color w:val="0F1115"/>
          <w:shd w:val="clear" w:color="auto" w:fill="FFFFFF"/>
        </w:rPr>
        <w:t>’</w:t>
      </w:r>
      <w:r>
        <w:rPr>
          <w:rFonts w:ascii="Times New Roman" w:eastAsia="Segoe UI" w:hAnsi="Times New Roman" w:cs="Times New Roman"/>
          <w:color w:val="0F1115"/>
          <w:shd w:val="clear" w:color="auto" w:fill="FFFFFF"/>
        </w:rPr>
        <w:t>s reaction history after previous vaccinations, screened health records from the past week, and conducted a preliminary screening for vaccination contraindications.</w:t>
      </w:r>
    </w:p>
    <w:p w14:paraId="626297FE" w14:textId="14248C60" w:rsidR="002747F3" w:rsidRPr="00E70375" w:rsidRDefault="006E0A48" w:rsidP="00E70375">
      <w:pPr>
        <w:pStyle w:val="NormalWeb"/>
        <w:widowControl/>
        <w:snapToGrid w:val="0"/>
        <w:ind w:left="709" w:hanging="709"/>
        <w:rPr>
          <w:rFonts w:ascii="Times New Roman" w:hAnsi="Times New Roman" w:cs="Times New Roman"/>
        </w:rPr>
      </w:pPr>
      <w:r w:rsidRPr="00E70375">
        <w:rPr>
          <w:rFonts w:ascii="Times New Roman" w:hAnsi="Times New Roman" w:cs="Times New Roman"/>
        </w:rPr>
        <w:t>(</w:t>
      </w:r>
      <w:r w:rsidRPr="00E70375">
        <w:rPr>
          <w:rFonts w:ascii="Times New Roman" w:hAnsi="Times New Roman" w:cs="Times New Roman"/>
        </w:rPr>
        <w:t>2</w:t>
      </w:r>
      <w:r w:rsidRPr="00E70375">
        <w:rPr>
          <w:rFonts w:ascii="Times New Roman" w:hAnsi="Times New Roman" w:cs="Times New Roman"/>
        </w:rPr>
        <w:t>)</w:t>
      </w:r>
      <w:r w:rsidRPr="00E70375">
        <w:rPr>
          <w:rFonts w:ascii="Times New Roman" w:hAnsi="Times New Roman" w:cs="Times New Roman"/>
        </w:rPr>
        <w:t xml:space="preserve"> </w:t>
      </w:r>
      <w:r w:rsidR="002747F3" w:rsidRPr="00E70375">
        <w:rPr>
          <w:rFonts w:ascii="Times New Roman" w:hAnsi="Times New Roman" w:cs="Times New Roman"/>
        </w:rPr>
        <w:tab/>
      </w:r>
      <w:r w:rsidRPr="00E70375">
        <w:rPr>
          <w:rFonts w:ascii="Times New Roman" w:hAnsi="Times New Roman" w:cs="Times New Roman"/>
          <w:shd w:val="clear" w:color="auto" w:fill="FFFFFF"/>
        </w:rPr>
        <w:t>Three days before vaccination, nurses sent relevant science popularization content about the vaccine to parents, including the types of diseases preventable by the vaccine, and dietary and activity precautions 3 days before vaccination. Each push notification was limited to no more than two pages to avoid information overload.</w:t>
      </w:r>
    </w:p>
    <w:p w14:paraId="6060B708" w14:textId="211FCB79" w:rsidR="002747F3" w:rsidRDefault="006E0A48" w:rsidP="00E70375">
      <w:pPr>
        <w:pStyle w:val="NormalWeb"/>
        <w:widowControl/>
        <w:snapToGrid w:val="0"/>
        <w:ind w:left="709" w:hanging="709"/>
      </w:pPr>
      <w:r w:rsidRPr="00E70375">
        <w:rPr>
          <w:rFonts w:ascii="Times New Roman" w:eastAsia="SimSun" w:hAnsi="Times New Roman" w:cs="Times New Roman"/>
          <w:shd w:val="clear" w:color="auto" w:fill="FFFFFF"/>
        </w:rPr>
        <w:t>(</w:t>
      </w:r>
      <w:r w:rsidRPr="00E70375">
        <w:rPr>
          <w:rFonts w:ascii="Times New Roman" w:eastAsia="SimSun" w:hAnsi="Times New Roman" w:cs="Times New Roman"/>
          <w:shd w:val="clear" w:color="auto" w:fill="FFFFFF"/>
        </w:rPr>
        <w:t>3</w:t>
      </w:r>
      <w:r w:rsidRPr="00E70375">
        <w:rPr>
          <w:rFonts w:ascii="Times New Roman" w:eastAsia="SimSun" w:hAnsi="Times New Roman" w:cs="Times New Roman"/>
          <w:shd w:val="clear" w:color="auto" w:fill="FFFFFF"/>
        </w:rPr>
        <w:t xml:space="preserve">) </w:t>
      </w:r>
      <w:r w:rsidR="002747F3" w:rsidRPr="00E70375">
        <w:rPr>
          <w:rFonts w:ascii="Times New Roman" w:eastAsia="SimSun" w:hAnsi="Times New Roman" w:cs="Times New Roman"/>
          <w:shd w:val="clear" w:color="auto" w:fill="FFFFFF"/>
        </w:rPr>
        <w:tab/>
      </w:r>
      <w:r w:rsidRPr="00E70375">
        <w:rPr>
          <w:rFonts w:ascii="Times New Roman" w:hAnsi="Times New Roman" w:cs="Times New Roman"/>
          <w:shd w:val="clear" w:color="auto" w:fill="FFFFFF"/>
        </w:rPr>
        <w:t>On the day of vaccination, nurses first verified the child</w:t>
      </w:r>
      <w:r w:rsidR="002747F3">
        <w:rPr>
          <w:rFonts w:ascii="Times New Roman" w:hAnsi="Times New Roman" w:cs="Times New Roman"/>
          <w:shd w:val="clear" w:color="auto" w:fill="FFFFFF"/>
        </w:rPr>
        <w:t>’</w:t>
      </w:r>
      <w:r w:rsidRPr="00E70375">
        <w:rPr>
          <w:rFonts w:ascii="Times New Roman" w:hAnsi="Times New Roman" w:cs="Times New Roman"/>
          <w:shd w:val="clear" w:color="auto" w:fill="FFFFFF"/>
        </w:rPr>
        <w:t>s identity, the vaccine batch number, and expiration date. After confirming that the parents were fully aware of the informed consent content, vaccination was performed according to standard procedures. During the post</w:t>
      </w:r>
      <w:r w:rsidRPr="00E70375">
        <w:rPr>
          <w:rFonts w:ascii="Times New Roman" w:hAnsi="Times New Roman" w:cs="Times New Roman"/>
          <w:shd w:val="clear" w:color="auto" w:fill="FFFFFF"/>
        </w:rPr>
        <w:noBreakHyphen/>
        <w:t>vaccination observation period, dedicated staff patrolled the area and proactively asked about any discomfort in the children.</w:t>
      </w:r>
    </w:p>
    <w:p w14:paraId="2FB4ACEB" w14:textId="266BBABB" w:rsidR="002747F3" w:rsidRDefault="006E0A48" w:rsidP="00E70375">
      <w:pPr>
        <w:pStyle w:val="NormalWeb"/>
        <w:widowControl/>
        <w:snapToGrid w:val="0"/>
        <w:ind w:left="709" w:hanging="709"/>
        <w:rPr>
          <w:rFonts w:ascii="Times New Roman" w:hAnsi="Times New Roman" w:cs="Times New Roman"/>
        </w:rPr>
      </w:pPr>
      <w:r>
        <w:rPr>
          <w:rFonts w:ascii="Times New Roman" w:eastAsia="SimSun" w:hAnsi="Times New Roman" w:cs="Times New Roman" w:hint="eastAsia"/>
          <w:color w:val="0F1115"/>
          <w:shd w:val="clear" w:color="auto" w:fill="FFFFFF"/>
        </w:rPr>
        <w:t>(</w:t>
      </w:r>
      <w:r>
        <w:rPr>
          <w:rFonts w:ascii="Times New Roman" w:eastAsia="SimSun" w:hAnsi="Times New Roman" w:cs="Times New Roman"/>
          <w:color w:val="0F1115"/>
          <w:shd w:val="clear" w:color="auto" w:fill="FFFFFF"/>
        </w:rPr>
        <w:t>4</w:t>
      </w:r>
      <w:r>
        <w:rPr>
          <w:rFonts w:ascii="Times New Roman" w:eastAsia="SimSun" w:hAnsi="Times New Roman" w:cs="Times New Roman" w:hint="eastAsia"/>
          <w:color w:val="0F1115"/>
          <w:shd w:val="clear" w:color="auto" w:fill="FFFFFF"/>
        </w:rPr>
        <w:t xml:space="preserve">) </w:t>
      </w:r>
      <w:r w:rsidR="002747F3">
        <w:rPr>
          <w:rFonts w:ascii="Times New Roman" w:eastAsia="SimSun" w:hAnsi="Times New Roman" w:cs="Times New Roman"/>
          <w:color w:val="0F1115"/>
          <w:shd w:val="clear" w:color="auto" w:fill="FFFFFF"/>
        </w:rPr>
        <w:tab/>
      </w:r>
      <w:r>
        <w:rPr>
          <w:rFonts w:ascii="Times New Roman" w:eastAsia="Segoe UI" w:hAnsi="Times New Roman" w:cs="Times New Roman"/>
          <w:color w:val="0F1115"/>
          <w:shd w:val="clear" w:color="auto" w:fill="FFFFFF"/>
        </w:rPr>
        <w:t>Twenty</w:t>
      </w:r>
      <w:r>
        <w:rPr>
          <w:rFonts w:ascii="Times New Roman" w:eastAsia="Segoe UI" w:hAnsi="Times New Roman" w:cs="Times New Roman"/>
          <w:color w:val="0F1115"/>
          <w:shd w:val="clear" w:color="auto" w:fill="FFFFFF"/>
        </w:rPr>
        <w:noBreakHyphen/>
        <w:t>four hours after vaccination, nurses completed follow</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 xml:space="preserve">up via online messages or telephone calls, recording local reactions at the injection site and general condition. For </w:t>
      </w:r>
      <w:r>
        <w:rPr>
          <w:rFonts w:ascii="Times New Roman" w:eastAsia="Segoe UI" w:hAnsi="Times New Roman" w:cs="Times New Roman"/>
          <w:color w:val="0F1115"/>
          <w:shd w:val="clear" w:color="auto" w:fill="FFFFFF"/>
        </w:rPr>
        <w:lastRenderedPageBreak/>
        <w:t>children with mild redness, swelling, or low</w:t>
      </w:r>
      <w:r>
        <w:rPr>
          <w:rFonts w:ascii="Times New Roman" w:eastAsia="Segoe UI" w:hAnsi="Times New Roman" w:cs="Times New Roman"/>
          <w:color w:val="0F1115"/>
          <w:shd w:val="clear" w:color="auto" w:fill="FFFFFF"/>
        </w:rPr>
        <w:noBreakHyphen/>
        <w:t>grade fever, specific home care instructions were provided.</w:t>
      </w:r>
    </w:p>
    <w:p w14:paraId="1F2D95C9" w14:textId="33123496" w:rsidR="002747F3" w:rsidRDefault="006E0A48" w:rsidP="00E70375">
      <w:pPr>
        <w:pStyle w:val="NormalWeb"/>
        <w:widowControl/>
        <w:snapToGrid w:val="0"/>
        <w:ind w:left="709" w:hanging="709"/>
        <w:rPr>
          <w:rFonts w:ascii="Times New Roman" w:hAnsi="Times New Roman" w:cs="Times New Roman"/>
        </w:rPr>
      </w:pPr>
      <w:r>
        <w:rPr>
          <w:rFonts w:ascii="Times New Roman" w:hAnsi="Times New Roman" w:cs="Times New Roman" w:hint="eastAsia"/>
        </w:rPr>
        <w:t>(</w:t>
      </w:r>
      <w:r>
        <w:rPr>
          <w:rFonts w:ascii="Times New Roman" w:hAnsi="Times New Roman" w:cs="Times New Roman"/>
        </w:rPr>
        <w:t>5</w:t>
      </w:r>
      <w:r>
        <w:rPr>
          <w:rFonts w:ascii="Times New Roman" w:hAnsi="Times New Roman" w:cs="Times New Roman" w:hint="eastAsia"/>
        </w:rPr>
        <w:t xml:space="preserve">) </w:t>
      </w:r>
      <w:r w:rsidR="002747F3">
        <w:rPr>
          <w:rFonts w:ascii="Times New Roman" w:hAnsi="Times New Roman" w:cs="Times New Roman"/>
        </w:rPr>
        <w:tab/>
      </w:r>
      <w:r>
        <w:rPr>
          <w:rFonts w:ascii="Times New Roman" w:eastAsia="Segoe UI" w:hAnsi="Times New Roman" w:cs="Times New Roman"/>
          <w:color w:val="0F1115"/>
          <w:shd w:val="clear" w:color="auto" w:fill="FFFFFF"/>
        </w:rPr>
        <w:t>In the last week of each quarter, nurses summarized the vaccination status of all age</w:t>
      </w:r>
      <w:r>
        <w:rPr>
          <w:rFonts w:ascii="Times New Roman" w:eastAsia="Segoe UI" w:hAnsi="Times New Roman" w:cs="Times New Roman"/>
          <w:color w:val="0F1115"/>
          <w:shd w:val="clear" w:color="auto" w:fill="FFFFFF"/>
        </w:rPr>
        <w:noBreakHyphen/>
        <w:t>eligible children under their jurisdiction. For children with a delay of more than 15 days, they contacted parents individually to confirm the reasons and coordinate a specific catch</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up vaccination schedule.</w:t>
      </w:r>
    </w:p>
    <w:p w14:paraId="76FF23B1" w14:textId="3F079E19" w:rsidR="002747F3" w:rsidRDefault="006E0A48" w:rsidP="00E70375">
      <w:pPr>
        <w:pStyle w:val="NormalWeb"/>
        <w:widowControl/>
        <w:snapToGrid w:val="0"/>
        <w:ind w:left="709" w:hanging="709"/>
        <w:rPr>
          <w:rFonts w:ascii="Times New Roman" w:hAnsi="Times New Roman" w:cs="Times New Roman"/>
        </w:rPr>
      </w:pPr>
      <w:r>
        <w:rPr>
          <w:rFonts w:ascii="Times New Roman" w:hAnsi="Times New Roman" w:cs="Times New Roman" w:hint="eastAsia"/>
        </w:rPr>
        <w:t>(</w:t>
      </w:r>
      <w:r>
        <w:rPr>
          <w:rFonts w:ascii="Times New Roman" w:hAnsi="Times New Roman" w:cs="Times New Roman"/>
        </w:rPr>
        <w:t>6</w:t>
      </w:r>
      <w:r>
        <w:rPr>
          <w:rFonts w:ascii="Times New Roman" w:hAnsi="Times New Roman" w:cs="Times New Roman" w:hint="eastAsia"/>
        </w:rPr>
        <w:t xml:space="preserve">) </w:t>
      </w:r>
      <w:r w:rsidR="002747F3">
        <w:rPr>
          <w:rFonts w:ascii="Times New Roman" w:hAnsi="Times New Roman" w:cs="Times New Roman"/>
        </w:rPr>
        <w:tab/>
      </w:r>
      <w:r>
        <w:rPr>
          <w:rFonts w:ascii="Times New Roman" w:eastAsia="Segoe UI" w:hAnsi="Times New Roman" w:cs="Times New Roman"/>
          <w:color w:val="0F1115"/>
          <w:shd w:val="clear" w:color="auto" w:fill="FFFFFF"/>
        </w:rPr>
        <w:t>For children from migrant families or those living in remote locations, nurses aggregated their vaccination needs monthly, coordinated with the Preventive Health Care Department to set up dedicated weekend vaccination sessions, and, when necessary, collaborated with communities to arrange mobile vaccination services for on</w:t>
      </w:r>
      <w:r>
        <w:rPr>
          <w:rFonts w:ascii="Times New Roman" w:eastAsia="Segoe UI" w:hAnsi="Times New Roman" w:cs="Times New Roman"/>
          <w:color w:val="0F1115"/>
          <w:shd w:val="clear" w:color="auto" w:fill="FFFFFF"/>
        </w:rPr>
        <w:noBreakHyphen/>
        <w:t>site administration.</w:t>
      </w:r>
    </w:p>
    <w:p w14:paraId="26FFB330" w14:textId="23A5A7DA" w:rsidR="003739CD" w:rsidRDefault="006E0A48" w:rsidP="00E70375">
      <w:pPr>
        <w:pStyle w:val="NormalWeb"/>
        <w:widowControl/>
        <w:snapToGrid w:val="0"/>
        <w:ind w:left="709" w:hanging="709"/>
        <w:rPr>
          <w:rFonts w:ascii="Times New Roman" w:eastAsia="Segoe UI" w:hAnsi="Times New Roman" w:cs="Times New Roman"/>
          <w:color w:val="0F1115"/>
          <w:shd w:val="clear" w:color="auto" w:fill="FFFFFF"/>
        </w:rPr>
      </w:pPr>
      <w:r>
        <w:rPr>
          <w:rFonts w:ascii="Times New Roman" w:hAnsi="Times New Roman" w:cs="Times New Roman" w:hint="eastAsia"/>
        </w:rPr>
        <w:t>(</w:t>
      </w:r>
      <w:r>
        <w:rPr>
          <w:rFonts w:ascii="Times New Roman" w:hAnsi="Times New Roman" w:cs="Times New Roman"/>
        </w:rPr>
        <w:t>7</w:t>
      </w:r>
      <w:r>
        <w:rPr>
          <w:rFonts w:ascii="Times New Roman" w:hAnsi="Times New Roman" w:cs="Times New Roman" w:hint="eastAsia"/>
        </w:rPr>
        <w:t xml:space="preserve">) </w:t>
      </w:r>
      <w:r w:rsidR="002747F3">
        <w:rPr>
          <w:rFonts w:ascii="Times New Roman" w:hAnsi="Times New Roman" w:cs="Times New Roman"/>
        </w:rPr>
        <w:tab/>
      </w:r>
      <w:r>
        <w:rPr>
          <w:rFonts w:ascii="Times New Roman" w:eastAsia="Segoe UI" w:hAnsi="Times New Roman" w:cs="Times New Roman"/>
          <w:color w:val="0F1115"/>
          <w:shd w:val="clear" w:color="auto" w:fill="FFFFFF"/>
        </w:rPr>
        <w:t>Offline science popularization exchange activities were organized every two months. Nurses prepared presentation materials covering the transmission characteristics of common vaccine</w:t>
      </w:r>
      <w:r>
        <w:rPr>
          <w:rFonts w:ascii="Times New Roman" w:eastAsia="Segoe UI" w:hAnsi="Times New Roman" w:cs="Times New Roman"/>
          <w:color w:val="0F1115"/>
          <w:shd w:val="clear" w:color="auto" w:fill="FFFFFF"/>
        </w:rPr>
        <w:noBreakHyphen/>
        <w:t>preventable infectious diseases and daily home protection essentials, and answered various questions raised by parents on site.</w:t>
      </w:r>
    </w:p>
    <w:p w14:paraId="3A8A0C6F" w14:textId="649C5E96" w:rsidR="003739CD" w:rsidRDefault="006E0A48" w:rsidP="00E70375">
      <w:pPr>
        <w:pStyle w:val="NormalWeb"/>
        <w:widowControl/>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Statistical analysis was performed using SPSS 26.0. Categorical data were expressed as rates and compared between groups using the chi</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 xml:space="preserve">square test. Continuous data were expressed as mean ± standard deviation and compared using the </w:t>
      </w:r>
      <w:r>
        <w:rPr>
          <w:rFonts w:ascii="Times New Roman" w:eastAsia="Segoe UI" w:hAnsi="Times New Roman" w:cs="Times New Roman"/>
          <w:i/>
          <w:iCs/>
          <w:color w:val="0F1115"/>
          <w:shd w:val="clear" w:color="auto" w:fill="FFFFFF"/>
        </w:rPr>
        <w:t>t</w:t>
      </w:r>
      <w:r>
        <w:rPr>
          <w:rFonts w:ascii="Times New Roman" w:eastAsia="Segoe UI" w:hAnsi="Times New Roman" w:cs="Times New Roman"/>
          <w:color w:val="0F1115"/>
          <w:shd w:val="clear" w:color="auto" w:fill="FFFFFF"/>
        </w:rPr>
        <w:noBreakHyphen/>
        <w:t xml:space="preserve">test. A </w:t>
      </w:r>
      <w:r w:rsidR="002747F3">
        <w:rPr>
          <w:rFonts w:ascii="Times New Roman" w:eastAsia="Segoe UI" w:hAnsi="Times New Roman" w:cs="Times New Roman"/>
          <w:i/>
          <w:iCs/>
          <w:color w:val="0F1115"/>
          <w:shd w:val="clear" w:color="auto" w:fill="FFFFFF"/>
        </w:rPr>
        <w:t>p</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value of less than 0.05 was considered statistically significant.</w:t>
      </w:r>
    </w:p>
    <w:p w14:paraId="5D0BC98D" w14:textId="77777777" w:rsidR="003739CD" w:rsidRDefault="003739CD" w:rsidP="00E70375">
      <w:pPr>
        <w:pStyle w:val="NormalWeb"/>
        <w:widowControl/>
        <w:shd w:val="clear" w:color="auto" w:fill="FFFFFF"/>
        <w:snapToGrid w:val="0"/>
        <w:rPr>
          <w:rFonts w:ascii="Times New Roman" w:eastAsia="Segoe UI" w:hAnsi="Times New Roman" w:cs="Times New Roman"/>
          <w:b/>
          <w:bCs/>
          <w:color w:val="0F1115"/>
          <w:shd w:val="clear" w:color="auto" w:fill="FFFFFF"/>
        </w:rPr>
      </w:pPr>
    </w:p>
    <w:p w14:paraId="28400E26"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2</w:t>
      </w:r>
      <w:r>
        <w:rPr>
          <w:rFonts w:ascii="Times New Roman" w:eastAsia="Segoe UI" w:hAnsi="Times New Roman" w:cs="Times New Roman"/>
          <w:b/>
          <w:bCs/>
          <w:color w:val="0F1115"/>
          <w:shd w:val="clear" w:color="auto" w:fill="FFFFFF"/>
        </w:rPr>
        <w:t>.3</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Observation </w:t>
      </w:r>
      <w:r>
        <w:rPr>
          <w:rFonts w:ascii="Times New Roman" w:eastAsia="SimSun" w:hAnsi="Times New Roman" w:cs="Times New Roman" w:hint="eastAsia"/>
          <w:b/>
          <w:bCs/>
          <w:color w:val="0F1115"/>
          <w:shd w:val="clear" w:color="auto" w:fill="FFFFFF"/>
        </w:rPr>
        <w:t>i</w:t>
      </w:r>
      <w:r>
        <w:rPr>
          <w:rFonts w:ascii="Times New Roman" w:eastAsia="Segoe UI" w:hAnsi="Times New Roman" w:cs="Times New Roman"/>
          <w:b/>
          <w:bCs/>
          <w:color w:val="0F1115"/>
          <w:shd w:val="clear" w:color="auto" w:fill="FFFFFF"/>
        </w:rPr>
        <w:t>ndicators</w:t>
      </w:r>
    </w:p>
    <w:p w14:paraId="3C6B9F2C"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shd w:val="clear" w:color="auto" w:fill="FFFFFF"/>
        </w:rPr>
      </w:pPr>
      <w:r>
        <w:rPr>
          <w:rFonts w:ascii="Times New Roman" w:eastAsia="SimSun" w:hAnsi="Times New Roman" w:cs="Times New Roman" w:hint="eastAsia"/>
          <w:b/>
          <w:bCs/>
          <w:color w:val="0F1115"/>
          <w:shd w:val="clear" w:color="auto" w:fill="FFFFFF"/>
        </w:rPr>
        <w:t xml:space="preserve">2.3.1. </w:t>
      </w:r>
      <w:r>
        <w:rPr>
          <w:rFonts w:ascii="Times New Roman" w:eastAsia="Segoe UI" w:hAnsi="Times New Roman" w:cs="Times New Roman"/>
          <w:b/>
          <w:bCs/>
          <w:color w:val="0F1115"/>
          <w:shd w:val="clear" w:color="auto" w:fill="FFFFFF"/>
        </w:rPr>
        <w:t>Full</w:t>
      </w:r>
      <w:r>
        <w:rPr>
          <w:rFonts w:ascii="Times New Roman" w:eastAsia="Segoe UI" w:hAnsi="Times New Roman" w:cs="Times New Roman"/>
          <w:b/>
          <w:bCs/>
          <w:color w:val="0F1115"/>
          <w:shd w:val="clear" w:color="auto" w:fill="FFFFFF"/>
        </w:rPr>
        <w:noBreakHyphen/>
        <w:t>age</w:t>
      </w:r>
      <w:r>
        <w:rPr>
          <w:rFonts w:ascii="Times New Roman" w:eastAsia="Segoe UI" w:hAnsi="Times New Roman" w:cs="Times New Roman"/>
          <w:b/>
          <w:bCs/>
          <w:color w:val="0F1115"/>
          <w:shd w:val="clear" w:color="auto" w:fill="FFFFFF"/>
        </w:rPr>
        <w:noBreakHyphen/>
        <w:t>appropriate vaccination coverage rate</w:t>
      </w:r>
    </w:p>
    <w:p w14:paraId="07C62CE2" w14:textId="5DE591EF"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During the 12</w:t>
      </w:r>
      <w:r>
        <w:rPr>
          <w:rFonts w:ascii="Times New Roman" w:eastAsia="Segoe UI" w:hAnsi="Times New Roman" w:cs="Times New Roman"/>
          <w:color w:val="0F1115"/>
          <w:shd w:val="clear" w:color="auto" w:fill="FFFFFF"/>
        </w:rPr>
        <w:noBreakHyphen/>
        <w:t>month follow</w:t>
      </w:r>
      <w:r>
        <w:rPr>
          <w:rFonts w:ascii="Times New Roman" w:eastAsia="Segoe UI" w:hAnsi="Times New Roman" w:cs="Times New Roman"/>
          <w:color w:val="0F1115"/>
          <w:shd w:val="clear" w:color="auto" w:fill="FFFFFF"/>
        </w:rPr>
        <w:noBreakHyphen/>
        <w:t>up period, the actual completion of all required doses of vaccines for the child</w:t>
      </w:r>
      <w:r w:rsidR="002747F3">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s age group according to the National Immunization Program was counted. Calculation formula: Full vaccination coverage rate = (number of children in the group who completed all age</w:t>
      </w:r>
      <w:r>
        <w:rPr>
          <w:rFonts w:ascii="Times New Roman" w:eastAsia="Segoe UI" w:hAnsi="Times New Roman" w:cs="Times New Roman"/>
          <w:color w:val="0F1115"/>
          <w:shd w:val="clear" w:color="auto" w:fill="FFFFFF"/>
        </w:rPr>
        <w:noBreakHyphen/>
        <w:t>appropriate vaccinations / total number of children enrolled in the group) × 100%.</w:t>
      </w:r>
    </w:p>
    <w:p w14:paraId="58B4A208" w14:textId="77777777" w:rsidR="003739CD" w:rsidRDefault="003739CD" w:rsidP="00E70375">
      <w:pPr>
        <w:pStyle w:val="NormalWeb"/>
        <w:widowControl/>
        <w:shd w:val="clear" w:color="auto" w:fill="FFFFFF"/>
        <w:snapToGrid w:val="0"/>
        <w:ind w:firstLineChars="200" w:firstLine="482"/>
        <w:rPr>
          <w:rFonts w:ascii="Times New Roman" w:eastAsia="Segoe UI" w:hAnsi="Times New Roman" w:cs="Times New Roman"/>
          <w:b/>
          <w:bCs/>
          <w:color w:val="0F1115"/>
          <w:shd w:val="clear" w:color="auto" w:fill="FFFFFF"/>
        </w:rPr>
      </w:pPr>
    </w:p>
    <w:p w14:paraId="24B8F522"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shd w:val="clear" w:color="auto" w:fill="FFFFFF"/>
        </w:rPr>
      </w:pPr>
      <w:r>
        <w:rPr>
          <w:rFonts w:ascii="Times New Roman" w:eastAsia="SimSun" w:hAnsi="Times New Roman" w:cs="Times New Roman" w:hint="eastAsia"/>
          <w:b/>
          <w:bCs/>
          <w:color w:val="0F1115"/>
          <w:shd w:val="clear" w:color="auto" w:fill="FFFFFF"/>
        </w:rPr>
        <w:t xml:space="preserve">2.3.2. </w:t>
      </w:r>
      <w:r>
        <w:rPr>
          <w:rFonts w:ascii="Times New Roman" w:eastAsia="Segoe UI" w:hAnsi="Times New Roman" w:cs="Times New Roman"/>
          <w:b/>
          <w:bCs/>
          <w:color w:val="0F1115"/>
          <w:shd w:val="clear" w:color="auto" w:fill="FFFFFF"/>
        </w:rPr>
        <w:t>Incidence of mild adverse reactions post</w:t>
      </w:r>
      <w:r>
        <w:rPr>
          <w:rFonts w:ascii="Times New Roman" w:eastAsia="SimSun" w:hAnsi="Times New Roman" w:cs="Times New Roman" w:hint="eastAsia"/>
          <w:b/>
          <w:bCs/>
          <w:color w:val="0F1115"/>
          <w:shd w:val="clear" w:color="auto" w:fill="FFFFFF"/>
        </w:rPr>
        <w:t>-</w:t>
      </w:r>
      <w:r>
        <w:rPr>
          <w:rFonts w:ascii="Times New Roman" w:eastAsia="Segoe UI" w:hAnsi="Times New Roman" w:cs="Times New Roman"/>
          <w:b/>
          <w:bCs/>
          <w:color w:val="0F1115"/>
          <w:shd w:val="clear" w:color="auto" w:fill="FFFFFF"/>
        </w:rPr>
        <w:t>vaccination</w:t>
      </w:r>
    </w:p>
    <w:p w14:paraId="66A0E63A" w14:textId="1961A62C" w:rsidR="003739CD" w:rsidRDefault="006E0A48" w:rsidP="00E70375">
      <w:pPr>
        <w:pStyle w:val="NormalWeb"/>
        <w:widowControl/>
        <w:shd w:val="clear" w:color="auto" w:fill="FFFFFF"/>
        <w:snapToGrid w:val="0"/>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The scope was limited to reactions occurring within 72 hours after vaccination, including local redness with a diameter of &lt;</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5 cm, axillary temperature between 37.3</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xml:space="preserve"> and 38.0</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 and mild rash without other accompanying symptoms—all of which are self</w:t>
      </w:r>
      <w:r>
        <w:rPr>
          <w:rFonts w:ascii="Times New Roman" w:eastAsia="Segoe UI" w:hAnsi="Times New Roman" w:cs="Times New Roman"/>
          <w:color w:val="0F1115"/>
          <w:shd w:val="clear" w:color="auto" w:fill="FFFFFF"/>
        </w:rPr>
        <w:noBreakHyphen/>
        <w:t>limiting reactions requiring no clinical intervention.</w:t>
      </w:r>
    </w:p>
    <w:p w14:paraId="45AD26D9" w14:textId="77777777" w:rsidR="003739CD" w:rsidRDefault="003739CD" w:rsidP="00E70375">
      <w:pPr>
        <w:pStyle w:val="NormalWeb"/>
        <w:widowControl/>
        <w:shd w:val="clear" w:color="auto" w:fill="FFFFFF"/>
        <w:snapToGrid w:val="0"/>
        <w:rPr>
          <w:rFonts w:ascii="Times New Roman" w:eastAsia="Segoe UI" w:hAnsi="Times New Roman" w:cs="Times New Roman"/>
          <w:color w:val="0F1115"/>
          <w:shd w:val="clear" w:color="auto" w:fill="FFFFFF"/>
        </w:rPr>
      </w:pPr>
    </w:p>
    <w:p w14:paraId="1EB81C44" w14:textId="77777777" w:rsidR="003739CD" w:rsidRDefault="006E0A48" w:rsidP="00E70375">
      <w:pPr>
        <w:pStyle w:val="NormalWeb"/>
        <w:widowControl/>
        <w:shd w:val="clear" w:color="auto" w:fill="FFFFFF"/>
        <w:snapToGrid w:val="0"/>
        <w:rPr>
          <w:rFonts w:ascii="Times New Roman" w:eastAsia="Segoe UI" w:hAnsi="Times New Roman" w:cs="Times New Roman"/>
          <w:b/>
          <w:bCs/>
          <w:color w:val="0F1115"/>
          <w:shd w:val="clear" w:color="auto" w:fill="FFFFFF"/>
        </w:rPr>
      </w:pPr>
      <w:r>
        <w:rPr>
          <w:rFonts w:ascii="Times New Roman" w:eastAsia="SimSun" w:hAnsi="Times New Roman" w:cs="Times New Roman" w:hint="eastAsia"/>
          <w:b/>
          <w:bCs/>
          <w:color w:val="0F1115"/>
          <w:shd w:val="clear" w:color="auto" w:fill="FFFFFF"/>
        </w:rPr>
        <w:t xml:space="preserve">2.3.3. </w:t>
      </w:r>
      <w:r>
        <w:rPr>
          <w:rFonts w:ascii="Times New Roman" w:eastAsia="Segoe UI" w:hAnsi="Times New Roman" w:cs="Times New Roman"/>
          <w:b/>
          <w:bCs/>
          <w:color w:val="0F1115"/>
          <w:shd w:val="clear" w:color="auto" w:fill="FFFFFF"/>
        </w:rPr>
        <w:t>Parental awareness of vaccine prevention knowledge</w:t>
      </w:r>
    </w:p>
    <w:p w14:paraId="1821107B" w14:textId="5230B722"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Assessment was conducted using a self</w:t>
      </w:r>
      <w:r>
        <w:rPr>
          <w:rFonts w:ascii="Times New Roman" w:eastAsia="Segoe UI" w:hAnsi="Times New Roman" w:cs="Times New Roman"/>
          <w:color w:val="0F1115"/>
          <w:shd w:val="clear" w:color="auto" w:fill="FFFFFF"/>
        </w:rPr>
        <w:noBreakHyphen/>
        <w:t>designed questionnaire by our hospital</w:t>
      </w:r>
      <w:r w:rsidR="002747F3">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s Preventive Health Care Department. The questionnaire covered four dimensions: vaccine protective scope, contraindication requirements, adverse reaction management, and prevention of childhood infectious diseases, with a total of 20 items. Each item was scored 5 points, giving a total score of 100. A score of ≥</w:t>
      </w:r>
      <w:r w:rsidR="002747F3">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rPr>
        <w:t>80 was defined as knowledgeable.</w:t>
      </w:r>
    </w:p>
    <w:p w14:paraId="478205DE" w14:textId="77777777" w:rsidR="003739CD" w:rsidRDefault="003739CD" w:rsidP="00E70375">
      <w:pPr>
        <w:pStyle w:val="NormalWeb"/>
        <w:widowControl/>
        <w:shd w:val="clear" w:color="auto" w:fill="FFFFFF"/>
        <w:snapToGrid w:val="0"/>
        <w:rPr>
          <w:rFonts w:ascii="Times New Roman" w:eastAsia="Segoe UI" w:hAnsi="Times New Roman" w:cs="Times New Roman"/>
          <w:b/>
          <w:bCs/>
          <w:color w:val="0F1115"/>
          <w:shd w:val="clear" w:color="auto" w:fill="FFFFFF"/>
        </w:rPr>
      </w:pPr>
    </w:p>
    <w:p w14:paraId="6227DE8D"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shd w:val="clear" w:color="auto" w:fill="FFFFFF"/>
        </w:rPr>
      </w:pPr>
      <w:r>
        <w:rPr>
          <w:rFonts w:ascii="Times New Roman" w:eastAsia="SimSun" w:hAnsi="Times New Roman" w:cs="Times New Roman" w:hint="eastAsia"/>
          <w:b/>
          <w:bCs/>
          <w:color w:val="0F1115"/>
          <w:shd w:val="clear" w:color="auto" w:fill="FFFFFF"/>
        </w:rPr>
        <w:t xml:space="preserve">2.3.4. </w:t>
      </w:r>
      <w:r>
        <w:rPr>
          <w:rFonts w:ascii="Times New Roman" w:eastAsia="Segoe UI" w:hAnsi="Times New Roman" w:cs="Times New Roman"/>
          <w:b/>
          <w:bCs/>
          <w:color w:val="0F1115"/>
          <w:shd w:val="clear" w:color="auto" w:fill="FFFFFF"/>
        </w:rPr>
        <w:t>Incidence of infectious diseases in children during follow</w:t>
      </w:r>
      <w:r>
        <w:rPr>
          <w:rFonts w:ascii="Times New Roman" w:eastAsia="SimSun" w:hAnsi="Times New Roman" w:cs="Times New Roman" w:hint="eastAsia"/>
          <w:b/>
          <w:bCs/>
          <w:color w:val="0F1115"/>
          <w:shd w:val="clear" w:color="auto" w:fill="FFFFFF"/>
        </w:rPr>
        <w:t>-</w:t>
      </w:r>
      <w:r>
        <w:rPr>
          <w:rFonts w:ascii="Times New Roman" w:eastAsia="Segoe UI" w:hAnsi="Times New Roman" w:cs="Times New Roman"/>
          <w:b/>
          <w:bCs/>
          <w:color w:val="0F1115"/>
          <w:shd w:val="clear" w:color="auto" w:fill="FFFFFF"/>
        </w:rPr>
        <w:t>up</w:t>
      </w:r>
    </w:p>
    <w:p w14:paraId="2E91BD50"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The confirmed occurrence of nationally notifiable infectious diseases (NID) among children in the two groups during the 12</w:t>
      </w:r>
      <w:r>
        <w:rPr>
          <w:rFonts w:ascii="Times New Roman" w:eastAsia="Segoe UI" w:hAnsi="Times New Roman" w:cs="Times New Roman"/>
          <w:color w:val="0F1115"/>
          <w:shd w:val="clear" w:color="auto" w:fill="FFFFFF"/>
        </w:rPr>
        <w:noBreakHyphen/>
        <w:t>month follow</w:t>
      </w:r>
      <w:r>
        <w:rPr>
          <w:rFonts w:ascii="Times New Roman" w:eastAsia="Segoe UI" w:hAnsi="Times New Roman" w:cs="Times New Roman"/>
          <w:color w:val="0F1115"/>
          <w:shd w:val="clear" w:color="auto" w:fill="FFFFFF"/>
        </w:rPr>
        <w:noBreakHyphen/>
        <w:t>up was recorded. The statistical scope was limited to vaccine</w:t>
      </w:r>
      <w:r>
        <w:rPr>
          <w:rFonts w:ascii="Times New Roman" w:eastAsia="Segoe UI" w:hAnsi="Times New Roman" w:cs="Times New Roman"/>
          <w:color w:val="0F1115"/>
          <w:shd w:val="clear" w:color="auto" w:fill="FFFFFF"/>
        </w:rPr>
        <w:noBreakHyphen/>
        <w:t>preventable NIDs, with diagnosis confirmed by formal clinical diagnostic reports issued by medical institutions at all levels within the jurisdiction. Calculation formula: Incidence during follow</w:t>
      </w:r>
      <w:r>
        <w:rPr>
          <w:rFonts w:ascii="Times New Roman" w:eastAsia="Segoe UI" w:hAnsi="Times New Roman" w:cs="Times New Roman"/>
          <w:color w:val="0F1115"/>
          <w:shd w:val="clear" w:color="auto" w:fill="FFFFFF"/>
        </w:rPr>
        <w:noBreakHyphen/>
        <w:t>up = (number of children in the group diagnosed with vaccine</w:t>
      </w:r>
      <w:r>
        <w:rPr>
          <w:rFonts w:ascii="Times New Roman" w:eastAsia="Segoe UI" w:hAnsi="Times New Roman" w:cs="Times New Roman"/>
          <w:color w:val="0F1115"/>
          <w:shd w:val="clear" w:color="auto" w:fill="FFFFFF"/>
        </w:rPr>
        <w:noBreakHyphen/>
        <w:t>preventable NIDs during follow</w:t>
      </w:r>
      <w:r>
        <w:rPr>
          <w:rFonts w:ascii="Times New Roman" w:eastAsia="Segoe UI" w:hAnsi="Times New Roman" w:cs="Times New Roman"/>
          <w:color w:val="0F1115"/>
          <w:shd w:val="clear" w:color="auto" w:fill="FFFFFF"/>
        </w:rPr>
        <w:noBreakHyphen/>
      </w:r>
      <w:r>
        <w:rPr>
          <w:rFonts w:ascii="Times New Roman" w:eastAsia="Segoe UI" w:hAnsi="Times New Roman" w:cs="Times New Roman"/>
          <w:color w:val="0F1115"/>
          <w:shd w:val="clear" w:color="auto" w:fill="FFFFFF"/>
        </w:rPr>
        <w:t>up / total number of children enrolled in the group) × 100%.</w:t>
      </w:r>
    </w:p>
    <w:p w14:paraId="281863BB" w14:textId="77777777" w:rsidR="003739CD" w:rsidRDefault="003739CD" w:rsidP="00E70375">
      <w:pPr>
        <w:widowControl/>
        <w:snapToGrid w:val="0"/>
        <w:rPr>
          <w:rFonts w:ascii="Times New Roman" w:eastAsia="Segoe UI" w:hAnsi="Times New Roman" w:cs="Times New Roman"/>
          <w:sz w:val="24"/>
        </w:rPr>
      </w:pPr>
    </w:p>
    <w:p w14:paraId="4AB6C337"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3</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Results</w:t>
      </w:r>
    </w:p>
    <w:p w14:paraId="606BFD5B" w14:textId="55A921EF"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imSun" w:hAnsi="Times New Roman" w:cs="Times New Roman" w:hint="eastAsia"/>
          <w:b/>
          <w:bCs/>
          <w:color w:val="0F1115"/>
          <w:shd w:val="clear" w:color="auto" w:fill="FFFFFF"/>
        </w:rPr>
        <w:t>3</w:t>
      </w:r>
      <w:r>
        <w:rPr>
          <w:rFonts w:ascii="Times New Roman" w:eastAsia="Segoe UI" w:hAnsi="Times New Roman" w:cs="Times New Roman"/>
          <w:b/>
          <w:bCs/>
          <w:color w:val="0F1115"/>
          <w:shd w:val="clear" w:color="auto" w:fill="FFFFFF"/>
        </w:rPr>
        <w:t>.1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Comparison of </w:t>
      </w:r>
      <w:r w:rsidR="002747F3">
        <w:rPr>
          <w:rFonts w:ascii="Times New Roman" w:eastAsia="SimSun" w:hAnsi="Times New Roman" w:cs="Times New Roman"/>
          <w:b/>
          <w:bCs/>
          <w:color w:val="0F1115"/>
          <w:shd w:val="clear" w:color="auto" w:fill="FFFFFF"/>
        </w:rPr>
        <w:t>full age-appropriate</w:t>
      </w:r>
      <w:r>
        <w:rPr>
          <w:rFonts w:ascii="Times New Roman" w:eastAsia="Segoe UI" w:hAnsi="Times New Roman" w:cs="Times New Roman"/>
          <w:b/>
          <w:bCs/>
          <w:color w:val="0F1115"/>
          <w:shd w:val="clear" w:color="auto" w:fill="FFFFFF"/>
        </w:rPr>
        <w:t xml:space="preserve"> </w:t>
      </w:r>
      <w:r>
        <w:rPr>
          <w:rFonts w:ascii="Times New Roman" w:eastAsia="SimSun" w:hAnsi="Times New Roman" w:cs="Times New Roman" w:hint="eastAsia"/>
          <w:b/>
          <w:bCs/>
          <w:color w:val="0F1115"/>
          <w:shd w:val="clear" w:color="auto" w:fill="FFFFFF"/>
        </w:rPr>
        <w:t>v</w:t>
      </w:r>
      <w:r>
        <w:rPr>
          <w:rFonts w:ascii="Times New Roman" w:eastAsia="Segoe UI" w:hAnsi="Times New Roman" w:cs="Times New Roman"/>
          <w:b/>
          <w:bCs/>
          <w:color w:val="0F1115"/>
          <w:shd w:val="clear" w:color="auto" w:fill="FFFFFF"/>
        </w:rPr>
        <w:t xml:space="preserve">accination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 xml:space="preserve">overage </w:t>
      </w:r>
      <w:r>
        <w:rPr>
          <w:rFonts w:ascii="Times New Roman" w:eastAsia="SimSun" w:hAnsi="Times New Roman" w:cs="Times New Roman" w:hint="eastAsia"/>
          <w:b/>
          <w:bCs/>
          <w:color w:val="0F1115"/>
          <w:shd w:val="clear" w:color="auto" w:fill="FFFFFF"/>
        </w:rPr>
        <w:t>r</w:t>
      </w:r>
      <w:r>
        <w:rPr>
          <w:rFonts w:ascii="Times New Roman" w:eastAsia="Segoe UI" w:hAnsi="Times New Roman" w:cs="Times New Roman"/>
          <w:b/>
          <w:bCs/>
          <w:color w:val="0F1115"/>
          <w:shd w:val="clear" w:color="auto" w:fill="FFFFFF"/>
        </w:rPr>
        <w:t xml:space="preserve">ate </w:t>
      </w:r>
      <w:r>
        <w:rPr>
          <w:rFonts w:ascii="Times New Roman" w:eastAsia="SimSun" w:hAnsi="Times New Roman" w:cs="Times New Roman" w:hint="eastAsia"/>
          <w:b/>
          <w:bCs/>
          <w:color w:val="0F1115"/>
          <w:shd w:val="clear" w:color="auto" w:fill="FFFFFF"/>
        </w:rPr>
        <w:t>b</w:t>
      </w:r>
      <w:r>
        <w:rPr>
          <w:rFonts w:ascii="Times New Roman" w:eastAsia="Segoe UI" w:hAnsi="Times New Roman" w:cs="Times New Roman"/>
          <w:b/>
          <w:bCs/>
          <w:color w:val="0F1115"/>
          <w:shd w:val="clear" w:color="auto" w:fill="FFFFFF"/>
        </w:rPr>
        <w:t xml:space="preserve">etween the </w:t>
      </w:r>
      <w:r>
        <w:rPr>
          <w:rFonts w:ascii="Times New Roman" w:eastAsia="SimSun" w:hAnsi="Times New Roman" w:cs="Times New Roman" w:hint="eastAsia"/>
          <w:b/>
          <w:bCs/>
          <w:color w:val="0F1115"/>
          <w:shd w:val="clear" w:color="auto" w:fill="FFFFFF"/>
        </w:rPr>
        <w:t>t</w:t>
      </w:r>
      <w:r>
        <w:rPr>
          <w:rFonts w:ascii="Times New Roman" w:eastAsia="Segoe UI" w:hAnsi="Times New Roman" w:cs="Times New Roman"/>
          <w:b/>
          <w:bCs/>
          <w:color w:val="0F1115"/>
          <w:shd w:val="clear" w:color="auto" w:fill="FFFFFF"/>
        </w:rPr>
        <w:t xml:space="preserve">wo </w:t>
      </w:r>
      <w:r>
        <w:rPr>
          <w:rFonts w:ascii="Times New Roman" w:eastAsia="SimSun" w:hAnsi="Times New Roman" w:cs="Times New Roman" w:hint="eastAsia"/>
          <w:b/>
          <w:bCs/>
          <w:color w:val="0F1115"/>
          <w:shd w:val="clear" w:color="auto" w:fill="FFFFFF"/>
        </w:rPr>
        <w:t>g</w:t>
      </w:r>
      <w:r>
        <w:rPr>
          <w:rFonts w:ascii="Times New Roman" w:eastAsia="Segoe UI" w:hAnsi="Times New Roman" w:cs="Times New Roman"/>
          <w:b/>
          <w:bCs/>
          <w:color w:val="0F1115"/>
          <w:shd w:val="clear" w:color="auto" w:fill="FFFFFF"/>
        </w:rPr>
        <w:t>roups</w:t>
      </w:r>
    </w:p>
    <w:p w14:paraId="29E366E0" w14:textId="5BA2183B"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The full vaccination coverage rate in the observation group was significantly higher than that in the control group, and the difference was statistically significant.</w:t>
      </w:r>
      <w:r w:rsidR="002747F3">
        <w:rPr>
          <w:rFonts w:ascii="Times New Roman" w:eastAsia="Segoe UI" w:hAnsi="Times New Roman" w:cs="Times New Roman"/>
          <w:color w:val="0F1115"/>
          <w:shd w:val="clear" w:color="auto" w:fill="FFFFFF"/>
        </w:rPr>
        <w:t xml:space="preserve"> </w:t>
      </w:r>
      <w:r w:rsidR="002747F3" w:rsidRPr="00E70375">
        <w:rPr>
          <w:rFonts w:ascii="Times New Roman" w:eastAsia="Segoe UI" w:hAnsi="Times New Roman" w:cs="Times New Roman"/>
          <w:b/>
          <w:bCs/>
          <w:color w:val="0F1115"/>
          <w:shd w:val="clear" w:color="auto" w:fill="FFFFFF"/>
        </w:rPr>
        <w:t>(Table 1)</w:t>
      </w:r>
    </w:p>
    <w:p w14:paraId="13EE588C" w14:textId="77777777" w:rsidR="003739CD" w:rsidRDefault="003739CD" w:rsidP="00E70375">
      <w:pPr>
        <w:pStyle w:val="NormalWeb"/>
        <w:widowControl/>
        <w:shd w:val="clear" w:color="auto" w:fill="FFFFFF"/>
        <w:snapToGrid w:val="0"/>
        <w:rPr>
          <w:rFonts w:ascii="Times New Roman" w:eastAsia="Segoe UI" w:hAnsi="Times New Roman" w:cs="Times New Roman"/>
          <w:b/>
          <w:bCs/>
          <w:color w:val="0F1115"/>
          <w:shd w:val="clear" w:color="auto" w:fill="FFFFFF"/>
        </w:rPr>
      </w:pPr>
    </w:p>
    <w:p w14:paraId="39C7BD0A" w14:textId="5487C2A3"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b/>
          <w:bCs/>
          <w:color w:val="0F1115"/>
          <w:shd w:val="clear" w:color="auto" w:fill="FFFFFF"/>
        </w:rPr>
        <w:lastRenderedPageBreak/>
        <w:t>Table 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w:t>
      </w:r>
      <w:r>
        <w:rPr>
          <w:rFonts w:ascii="Times New Roman" w:eastAsia="Segoe UI" w:hAnsi="Times New Roman" w:cs="Times New Roman"/>
          <w:color w:val="0F1115"/>
          <w:shd w:val="clear" w:color="auto" w:fill="FFFFFF"/>
        </w:rPr>
        <w:t xml:space="preserve">Comparison of </w:t>
      </w:r>
      <w:r w:rsidR="002747F3">
        <w:rPr>
          <w:rFonts w:ascii="Times New Roman" w:eastAsia="Segoe UI" w:hAnsi="Times New Roman" w:cs="Times New Roman"/>
          <w:color w:val="0F1115"/>
          <w:shd w:val="clear" w:color="auto" w:fill="FFFFFF"/>
        </w:rPr>
        <w:t>full age-appropriate</w:t>
      </w:r>
      <w:r>
        <w:rPr>
          <w:rFonts w:ascii="Times New Roman" w:eastAsia="Segoe UI" w:hAnsi="Times New Roman" w:cs="Times New Roman"/>
          <w:color w:val="0F1115"/>
          <w:shd w:val="clear" w:color="auto" w:fill="FFFFFF"/>
        </w:rPr>
        <w:t xml:space="preserve"> vaccination coverage rates between the two groups [n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3"/>
        <w:gridCol w:w="2230"/>
        <w:gridCol w:w="2776"/>
        <w:gridCol w:w="2859"/>
      </w:tblGrid>
      <w:tr w:rsidR="003739CD" w14:paraId="0ED54B6D" w14:textId="77777777" w:rsidTr="00E70375">
        <w:trPr>
          <w:tblHeader/>
          <w:jc w:val="center"/>
        </w:trPr>
        <w:tc>
          <w:tcPr>
            <w:tcW w:w="920" w:type="pct"/>
            <w:tcBorders>
              <w:top w:val="single" w:sz="4" w:space="0" w:color="auto"/>
              <w:bottom w:val="single" w:sz="4" w:space="0" w:color="auto"/>
            </w:tcBorders>
            <w:tcMar>
              <w:top w:w="-1" w:type="dxa"/>
              <w:left w:w="-1" w:type="dxa"/>
              <w:bottom w:w="-1" w:type="dxa"/>
              <w:right w:w="-1" w:type="dxa"/>
            </w:tcMar>
            <w:vAlign w:val="center"/>
          </w:tcPr>
          <w:p w14:paraId="3EABFBBB" w14:textId="77777777" w:rsidR="003739CD" w:rsidRDefault="006E0A48" w:rsidP="00E70375">
            <w:pPr>
              <w:snapToGrid w:val="0"/>
              <w:jc w:val="left"/>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Group</w:t>
            </w:r>
          </w:p>
        </w:tc>
        <w:tc>
          <w:tcPr>
            <w:tcW w:w="1157" w:type="pct"/>
            <w:tcBorders>
              <w:top w:val="single" w:sz="4" w:space="0" w:color="auto"/>
              <w:bottom w:val="single" w:sz="4" w:space="0" w:color="auto"/>
            </w:tcBorders>
            <w:tcMar>
              <w:top w:w="-1" w:type="dxa"/>
              <w:left w:w="-1" w:type="dxa"/>
              <w:bottom w:w="-1" w:type="dxa"/>
              <w:right w:w="-1" w:type="dxa"/>
            </w:tcMar>
            <w:vAlign w:val="center"/>
          </w:tcPr>
          <w:p w14:paraId="66E4F944" w14:textId="77777777" w:rsidR="003739CD" w:rsidRDefault="006E0A48" w:rsidP="002747F3">
            <w:pPr>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Full vaccination of Category I vaccines</w:t>
            </w:r>
          </w:p>
        </w:tc>
        <w:tc>
          <w:tcPr>
            <w:tcW w:w="1440" w:type="pct"/>
            <w:tcBorders>
              <w:top w:val="single" w:sz="4" w:space="0" w:color="auto"/>
              <w:bottom w:val="single" w:sz="4" w:space="0" w:color="auto"/>
            </w:tcBorders>
            <w:tcMar>
              <w:top w:w="-1" w:type="dxa"/>
              <w:left w:w="-1" w:type="dxa"/>
              <w:bottom w:w="-1" w:type="dxa"/>
              <w:right w:w="-1" w:type="dxa"/>
            </w:tcMar>
            <w:vAlign w:val="center"/>
          </w:tcPr>
          <w:p w14:paraId="793B98B7" w14:textId="77777777" w:rsidR="003739CD" w:rsidRDefault="006E0A48" w:rsidP="002747F3">
            <w:pPr>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Completion of recommended Category II vaccines</w:t>
            </w:r>
          </w:p>
        </w:tc>
        <w:tc>
          <w:tcPr>
            <w:tcW w:w="1483" w:type="pct"/>
            <w:tcBorders>
              <w:top w:val="single" w:sz="4" w:space="0" w:color="auto"/>
              <w:bottom w:val="single" w:sz="4" w:space="0" w:color="auto"/>
            </w:tcBorders>
            <w:tcMar>
              <w:top w:w="-1" w:type="dxa"/>
              <w:left w:w="-1" w:type="dxa"/>
              <w:bottom w:w="-1" w:type="dxa"/>
              <w:right w:w="-1" w:type="dxa"/>
            </w:tcMar>
            <w:vAlign w:val="center"/>
          </w:tcPr>
          <w:p w14:paraId="7E5E9DB6" w14:textId="77777777" w:rsidR="003739CD" w:rsidRDefault="006E0A48" w:rsidP="002747F3">
            <w:pPr>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Full vaccination of all age</w:t>
            </w:r>
            <w:r>
              <w:rPr>
                <w:rFonts w:ascii="Times New Roman" w:eastAsia="Segoe UI" w:hAnsi="Times New Roman" w:cs="Times New Roman"/>
                <w:b/>
                <w:bCs/>
                <w:color w:val="0F1115"/>
                <w:sz w:val="24"/>
                <w:shd w:val="clear" w:color="auto" w:fill="FFFFFF"/>
              </w:rPr>
              <w:noBreakHyphen/>
              <w:t>appropriate vaccines</w:t>
            </w:r>
          </w:p>
        </w:tc>
      </w:tr>
      <w:tr w:rsidR="003739CD" w14:paraId="4CADDC27" w14:textId="77777777" w:rsidTr="00E70375">
        <w:trPr>
          <w:tblHeader/>
          <w:jc w:val="center"/>
        </w:trPr>
        <w:tc>
          <w:tcPr>
            <w:tcW w:w="920" w:type="pct"/>
            <w:tcBorders>
              <w:top w:val="single" w:sz="4" w:space="0" w:color="auto"/>
            </w:tcBorders>
            <w:tcMar>
              <w:top w:w="-1" w:type="dxa"/>
              <w:left w:w="-1" w:type="dxa"/>
              <w:bottom w:w="-1" w:type="dxa"/>
              <w:right w:w="-1" w:type="dxa"/>
            </w:tcMar>
            <w:vAlign w:val="center"/>
          </w:tcPr>
          <w:p w14:paraId="27BB5543" w14:textId="226ED394" w:rsidR="003739CD" w:rsidRDefault="006E0A48" w:rsidP="00E70375">
            <w:pPr>
              <w:snapToGrid w:val="0"/>
              <w:jc w:val="left"/>
              <w:rPr>
                <w:rFonts w:ascii="Times New Roman" w:hAnsi="Times New Roman" w:cs="Times New Roman"/>
                <w:sz w:val="24"/>
              </w:rPr>
            </w:pPr>
            <w:r>
              <w:rPr>
                <w:rFonts w:ascii="Times New Roman" w:eastAsia="Segoe UI" w:hAnsi="Times New Roman" w:cs="Times New Roman"/>
                <w:color w:val="0F1115"/>
                <w:sz w:val="24"/>
                <w:shd w:val="clear" w:color="auto" w:fill="FFFFFF"/>
              </w:rPr>
              <w:t>Observation group (n</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40)</w:t>
            </w:r>
          </w:p>
        </w:tc>
        <w:tc>
          <w:tcPr>
            <w:tcW w:w="1157" w:type="pct"/>
            <w:tcBorders>
              <w:top w:val="single" w:sz="4" w:space="0" w:color="auto"/>
            </w:tcBorders>
            <w:tcMar>
              <w:top w:w="-1" w:type="dxa"/>
              <w:left w:w="-1" w:type="dxa"/>
              <w:bottom w:w="-1" w:type="dxa"/>
              <w:right w:w="-1" w:type="dxa"/>
            </w:tcMar>
            <w:vAlign w:val="center"/>
          </w:tcPr>
          <w:p w14:paraId="58C2BBD0"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39 (97.50)</w:t>
            </w:r>
          </w:p>
        </w:tc>
        <w:tc>
          <w:tcPr>
            <w:tcW w:w="1440" w:type="pct"/>
            <w:tcBorders>
              <w:top w:val="single" w:sz="4" w:space="0" w:color="auto"/>
            </w:tcBorders>
            <w:tcMar>
              <w:top w:w="-1" w:type="dxa"/>
              <w:left w:w="-1" w:type="dxa"/>
              <w:bottom w:w="-1" w:type="dxa"/>
              <w:right w:w="-1" w:type="dxa"/>
            </w:tcMar>
            <w:vAlign w:val="center"/>
          </w:tcPr>
          <w:p w14:paraId="41ABF78C"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38 (95.00)</w:t>
            </w:r>
          </w:p>
        </w:tc>
        <w:tc>
          <w:tcPr>
            <w:tcW w:w="1483" w:type="pct"/>
            <w:tcBorders>
              <w:top w:val="single" w:sz="4" w:space="0" w:color="auto"/>
            </w:tcBorders>
            <w:tcMar>
              <w:top w:w="-1" w:type="dxa"/>
              <w:left w:w="-1" w:type="dxa"/>
              <w:bottom w:w="-1" w:type="dxa"/>
              <w:right w:w="-1" w:type="dxa"/>
            </w:tcMar>
            <w:vAlign w:val="center"/>
          </w:tcPr>
          <w:p w14:paraId="7D449FA8"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39 (97.52)</w:t>
            </w:r>
          </w:p>
        </w:tc>
      </w:tr>
      <w:tr w:rsidR="003739CD" w14:paraId="572D18DD" w14:textId="77777777" w:rsidTr="00E70375">
        <w:trPr>
          <w:tblHeader/>
          <w:jc w:val="center"/>
        </w:trPr>
        <w:tc>
          <w:tcPr>
            <w:tcW w:w="920" w:type="pct"/>
            <w:tcMar>
              <w:top w:w="-1" w:type="dxa"/>
              <w:left w:w="-1" w:type="dxa"/>
              <w:bottom w:w="-1" w:type="dxa"/>
              <w:right w:w="-1" w:type="dxa"/>
            </w:tcMar>
            <w:vAlign w:val="center"/>
          </w:tcPr>
          <w:p w14:paraId="44E3A234" w14:textId="1E4DA85C" w:rsidR="003739CD" w:rsidRDefault="006E0A48" w:rsidP="00E70375">
            <w:pPr>
              <w:snapToGrid w:val="0"/>
              <w:jc w:val="left"/>
              <w:rPr>
                <w:rFonts w:ascii="Times New Roman" w:hAnsi="Times New Roman" w:cs="Times New Roman"/>
                <w:sz w:val="24"/>
              </w:rPr>
            </w:pPr>
            <w:r>
              <w:rPr>
                <w:rFonts w:ascii="Times New Roman" w:eastAsia="Segoe UI" w:hAnsi="Times New Roman" w:cs="Times New Roman"/>
                <w:color w:val="0F1115"/>
                <w:sz w:val="24"/>
                <w:shd w:val="clear" w:color="auto" w:fill="FFFFFF"/>
              </w:rPr>
              <w:t>Control group (n</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40)</w:t>
            </w:r>
          </w:p>
        </w:tc>
        <w:tc>
          <w:tcPr>
            <w:tcW w:w="1157" w:type="pct"/>
            <w:tcMar>
              <w:top w:w="-1" w:type="dxa"/>
              <w:left w:w="-1" w:type="dxa"/>
              <w:bottom w:w="-1" w:type="dxa"/>
              <w:right w:w="-1" w:type="dxa"/>
            </w:tcMar>
            <w:vAlign w:val="center"/>
          </w:tcPr>
          <w:p w14:paraId="6BD27D27"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34 (85.00)</w:t>
            </w:r>
          </w:p>
        </w:tc>
        <w:tc>
          <w:tcPr>
            <w:tcW w:w="1440" w:type="pct"/>
            <w:tcMar>
              <w:top w:w="-1" w:type="dxa"/>
              <w:left w:w="-1" w:type="dxa"/>
              <w:bottom w:w="-1" w:type="dxa"/>
              <w:right w:w="-1" w:type="dxa"/>
            </w:tcMar>
            <w:vAlign w:val="center"/>
          </w:tcPr>
          <w:p w14:paraId="05184053"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30 (75.00)</w:t>
            </w:r>
          </w:p>
        </w:tc>
        <w:tc>
          <w:tcPr>
            <w:tcW w:w="1483" w:type="pct"/>
            <w:tcMar>
              <w:top w:w="-1" w:type="dxa"/>
              <w:left w:w="-1" w:type="dxa"/>
              <w:bottom w:w="-1" w:type="dxa"/>
              <w:right w:w="-1" w:type="dxa"/>
            </w:tcMar>
            <w:vAlign w:val="center"/>
          </w:tcPr>
          <w:p w14:paraId="0E686D13"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33 (82.37)</w:t>
            </w:r>
          </w:p>
        </w:tc>
      </w:tr>
      <w:tr w:rsidR="003739CD" w14:paraId="6462DA14" w14:textId="77777777" w:rsidTr="00E70375">
        <w:trPr>
          <w:tblHeader/>
          <w:jc w:val="center"/>
        </w:trPr>
        <w:tc>
          <w:tcPr>
            <w:tcW w:w="920" w:type="pct"/>
            <w:tcMar>
              <w:top w:w="-1" w:type="dxa"/>
              <w:left w:w="-1" w:type="dxa"/>
              <w:bottom w:w="-1" w:type="dxa"/>
              <w:right w:w="-1" w:type="dxa"/>
            </w:tcMar>
            <w:vAlign w:val="center"/>
          </w:tcPr>
          <w:p w14:paraId="781FC181" w14:textId="77777777" w:rsidR="003739CD" w:rsidRDefault="006E0A48" w:rsidP="00E70375">
            <w:pPr>
              <w:snapToGrid w:val="0"/>
              <w:jc w:val="left"/>
              <w:rPr>
                <w:rFonts w:ascii="Times New Roman" w:hAnsi="Times New Roman" w:cs="Times New Roman"/>
                <w:sz w:val="24"/>
              </w:rPr>
            </w:pPr>
            <w:r>
              <w:rPr>
                <w:rFonts w:ascii="Times New Roman" w:eastAsia="Segoe UI" w:hAnsi="Times New Roman" w:cs="Times New Roman"/>
                <w:color w:val="0F1115"/>
                <w:sz w:val="24"/>
                <w:shd w:val="clear" w:color="auto" w:fill="FFFFFF"/>
              </w:rPr>
              <w:t>χ²</w:t>
            </w:r>
          </w:p>
        </w:tc>
        <w:tc>
          <w:tcPr>
            <w:tcW w:w="1157" w:type="pct"/>
            <w:tcMar>
              <w:top w:w="-1" w:type="dxa"/>
              <w:left w:w="-1" w:type="dxa"/>
              <w:bottom w:w="-1" w:type="dxa"/>
              <w:right w:w="-1" w:type="dxa"/>
            </w:tcMar>
            <w:vAlign w:val="center"/>
          </w:tcPr>
          <w:p w14:paraId="754F6F4A"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3.914</w:t>
            </w:r>
          </w:p>
        </w:tc>
        <w:tc>
          <w:tcPr>
            <w:tcW w:w="1440" w:type="pct"/>
            <w:tcMar>
              <w:top w:w="-1" w:type="dxa"/>
              <w:left w:w="-1" w:type="dxa"/>
              <w:bottom w:w="-1" w:type="dxa"/>
              <w:right w:w="-1" w:type="dxa"/>
            </w:tcMar>
            <w:vAlign w:val="center"/>
          </w:tcPr>
          <w:p w14:paraId="036D6CC9"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5.165</w:t>
            </w:r>
          </w:p>
        </w:tc>
        <w:tc>
          <w:tcPr>
            <w:tcW w:w="1483" w:type="pct"/>
            <w:tcMar>
              <w:top w:w="-1" w:type="dxa"/>
              <w:left w:w="-1" w:type="dxa"/>
              <w:bottom w:w="-1" w:type="dxa"/>
              <w:right w:w="-1" w:type="dxa"/>
            </w:tcMar>
            <w:vAlign w:val="center"/>
          </w:tcPr>
          <w:p w14:paraId="17F31B16"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5.000</w:t>
            </w:r>
          </w:p>
        </w:tc>
      </w:tr>
      <w:tr w:rsidR="003739CD" w14:paraId="7FEFBC98" w14:textId="77777777" w:rsidTr="00E70375">
        <w:trPr>
          <w:tblHeader/>
          <w:jc w:val="center"/>
        </w:trPr>
        <w:tc>
          <w:tcPr>
            <w:tcW w:w="920" w:type="pct"/>
            <w:tcBorders>
              <w:bottom w:val="single" w:sz="4" w:space="0" w:color="auto"/>
            </w:tcBorders>
            <w:tcMar>
              <w:top w:w="-1" w:type="dxa"/>
              <w:left w:w="-1" w:type="dxa"/>
              <w:bottom w:w="-1" w:type="dxa"/>
              <w:right w:w="-1" w:type="dxa"/>
            </w:tcMar>
            <w:vAlign w:val="center"/>
          </w:tcPr>
          <w:p w14:paraId="3F552F38" w14:textId="7742C7DF" w:rsidR="003739CD" w:rsidRDefault="002747F3" w:rsidP="00E70375">
            <w:pPr>
              <w:snapToGrid w:val="0"/>
              <w:jc w:val="left"/>
              <w:rPr>
                <w:rFonts w:ascii="Times New Roman" w:hAnsi="Times New Roman" w:cs="Times New Roman"/>
                <w:sz w:val="24"/>
              </w:rPr>
            </w:pPr>
            <w:r>
              <w:rPr>
                <w:rFonts w:ascii="Times New Roman" w:eastAsia="Segoe UI" w:hAnsi="Times New Roman" w:cs="Times New Roman"/>
                <w:i/>
                <w:iCs/>
                <w:color w:val="0F1115"/>
                <w:sz w:val="24"/>
                <w:shd w:val="clear" w:color="auto" w:fill="FFFFFF"/>
              </w:rPr>
              <w:t>p</w:t>
            </w:r>
          </w:p>
        </w:tc>
        <w:tc>
          <w:tcPr>
            <w:tcW w:w="1157" w:type="pct"/>
            <w:tcBorders>
              <w:bottom w:val="single" w:sz="4" w:space="0" w:color="auto"/>
            </w:tcBorders>
            <w:tcMar>
              <w:top w:w="-1" w:type="dxa"/>
              <w:left w:w="-1" w:type="dxa"/>
              <w:bottom w:w="-1" w:type="dxa"/>
              <w:right w:w="-1" w:type="dxa"/>
            </w:tcMar>
            <w:vAlign w:val="center"/>
          </w:tcPr>
          <w:p w14:paraId="42015E25"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0.048</w:t>
            </w:r>
          </w:p>
        </w:tc>
        <w:tc>
          <w:tcPr>
            <w:tcW w:w="1440" w:type="pct"/>
            <w:tcBorders>
              <w:bottom w:val="single" w:sz="4" w:space="0" w:color="auto"/>
            </w:tcBorders>
            <w:tcMar>
              <w:top w:w="-1" w:type="dxa"/>
              <w:left w:w="-1" w:type="dxa"/>
              <w:bottom w:w="-1" w:type="dxa"/>
              <w:right w:w="-1" w:type="dxa"/>
            </w:tcMar>
            <w:vAlign w:val="center"/>
          </w:tcPr>
          <w:p w14:paraId="4985935F"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0.023</w:t>
            </w:r>
          </w:p>
        </w:tc>
        <w:tc>
          <w:tcPr>
            <w:tcW w:w="1483" w:type="pct"/>
            <w:tcBorders>
              <w:bottom w:val="single" w:sz="4" w:space="0" w:color="auto"/>
            </w:tcBorders>
            <w:tcMar>
              <w:top w:w="-1" w:type="dxa"/>
              <w:left w:w="-1" w:type="dxa"/>
              <w:bottom w:w="-1" w:type="dxa"/>
              <w:right w:w="-1" w:type="dxa"/>
            </w:tcMar>
            <w:vAlign w:val="center"/>
          </w:tcPr>
          <w:p w14:paraId="24738CDD"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0.025</w:t>
            </w:r>
          </w:p>
        </w:tc>
      </w:tr>
    </w:tbl>
    <w:p w14:paraId="2B2309E8" w14:textId="77777777" w:rsidR="003739CD" w:rsidRDefault="003739CD" w:rsidP="00E70375">
      <w:pPr>
        <w:pStyle w:val="NormalWeb"/>
        <w:widowControl/>
        <w:shd w:val="clear" w:color="auto" w:fill="FFFFFF"/>
        <w:snapToGrid w:val="0"/>
        <w:rPr>
          <w:rFonts w:ascii="Times New Roman" w:eastAsia="Segoe UI" w:hAnsi="Times New Roman" w:cs="Times New Roman"/>
          <w:color w:val="0F1115"/>
          <w:shd w:val="clear" w:color="auto" w:fill="FFFFFF"/>
        </w:rPr>
      </w:pPr>
    </w:p>
    <w:p w14:paraId="7A3FD854" w14:textId="77777777" w:rsidR="003739CD" w:rsidRDefault="006E0A48" w:rsidP="00E70375">
      <w:pPr>
        <w:pStyle w:val="NormalWeb"/>
        <w:widowControl/>
        <w:shd w:val="clear" w:color="auto" w:fill="FFFFFF"/>
        <w:snapToGrid w:val="0"/>
        <w:rPr>
          <w:rFonts w:ascii="Times New Roman" w:eastAsia="Segoe UI" w:hAnsi="Times New Roman" w:cs="Times New Roman"/>
          <w:b/>
          <w:bCs/>
          <w:color w:val="0F1115"/>
        </w:rPr>
      </w:pPr>
      <w:r>
        <w:rPr>
          <w:rFonts w:ascii="Times New Roman" w:eastAsia="SimSun" w:hAnsi="Times New Roman" w:cs="Times New Roman" w:hint="eastAsia"/>
          <w:b/>
          <w:bCs/>
          <w:color w:val="0F1115"/>
          <w:shd w:val="clear" w:color="auto" w:fill="FFFFFF"/>
        </w:rPr>
        <w:t>3</w:t>
      </w:r>
      <w:r>
        <w:rPr>
          <w:rFonts w:ascii="Times New Roman" w:eastAsia="Segoe UI" w:hAnsi="Times New Roman" w:cs="Times New Roman"/>
          <w:b/>
          <w:bCs/>
          <w:color w:val="0F1115"/>
          <w:shd w:val="clear" w:color="auto" w:fill="FFFFFF"/>
        </w:rPr>
        <w:t>.2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Comparison of the incidence of mild adverse reactions after vaccination between the two groups</w:t>
      </w:r>
    </w:p>
    <w:p w14:paraId="7E5B008E" w14:textId="2EC5388E" w:rsidR="003739CD" w:rsidRDefault="006E0A48" w:rsidP="00E70375">
      <w:pPr>
        <w:pStyle w:val="NormalWeb"/>
        <w:widowControl/>
        <w:shd w:val="clear" w:color="auto" w:fill="FFFFFF"/>
        <w:snapToGrid w:val="0"/>
        <w:rPr>
          <w:rFonts w:ascii="Times New Roman" w:eastAsia="Segoe UI" w:hAnsi="Times New Roman" w:cs="Times New Roman"/>
          <w:color w:val="0F1115"/>
          <w:shd w:val="clear" w:color="auto" w:fill="FFFFFF"/>
        </w:rPr>
      </w:pPr>
      <w:r>
        <w:rPr>
          <w:rFonts w:ascii="Times New Roman" w:eastAsia="Segoe UI" w:hAnsi="Times New Roman" w:cs="Times New Roman"/>
          <w:color w:val="0F1115"/>
          <w:shd w:val="clear" w:color="auto" w:fill="FFFFFF"/>
        </w:rPr>
        <w:t>The incidence of mild adverse reactions after vaccination in the observation group was significantly lower than that in the control group, and the difference between groups was statistically significant.</w:t>
      </w:r>
      <w:r w:rsidR="002747F3">
        <w:rPr>
          <w:rFonts w:ascii="Times New Roman" w:eastAsia="Segoe UI" w:hAnsi="Times New Roman" w:cs="Times New Roman"/>
          <w:color w:val="0F1115"/>
          <w:shd w:val="clear" w:color="auto" w:fill="FFFFFF"/>
        </w:rPr>
        <w:t xml:space="preserve"> </w:t>
      </w:r>
      <w:r w:rsidR="002747F3" w:rsidRPr="000A4A87">
        <w:rPr>
          <w:rFonts w:ascii="Times New Roman" w:eastAsia="Segoe UI" w:hAnsi="Times New Roman" w:cs="Times New Roman"/>
          <w:b/>
          <w:bCs/>
          <w:color w:val="0F1115"/>
          <w:shd w:val="clear" w:color="auto" w:fill="FFFFFF"/>
        </w:rPr>
        <w:t xml:space="preserve">(Table </w:t>
      </w:r>
      <w:r w:rsidR="002747F3">
        <w:rPr>
          <w:rFonts w:ascii="Times New Roman" w:eastAsia="Segoe UI" w:hAnsi="Times New Roman" w:cs="Times New Roman"/>
          <w:b/>
          <w:bCs/>
          <w:color w:val="0F1115"/>
          <w:shd w:val="clear" w:color="auto" w:fill="FFFFFF"/>
        </w:rPr>
        <w:t>2</w:t>
      </w:r>
      <w:r w:rsidR="002747F3" w:rsidRPr="000A4A87">
        <w:rPr>
          <w:rFonts w:ascii="Times New Roman" w:eastAsia="Segoe UI" w:hAnsi="Times New Roman" w:cs="Times New Roman"/>
          <w:b/>
          <w:bCs/>
          <w:color w:val="0F1115"/>
          <w:shd w:val="clear" w:color="auto" w:fill="FFFFFF"/>
        </w:rPr>
        <w:t>)</w:t>
      </w:r>
    </w:p>
    <w:p w14:paraId="0431331D" w14:textId="77777777" w:rsidR="003739CD" w:rsidRDefault="003739CD" w:rsidP="00E70375">
      <w:pPr>
        <w:pStyle w:val="NormalWeb"/>
        <w:widowControl/>
        <w:shd w:val="clear" w:color="auto" w:fill="FFFFFF"/>
        <w:snapToGrid w:val="0"/>
        <w:rPr>
          <w:rFonts w:ascii="Times New Roman" w:eastAsia="Segoe UI" w:hAnsi="Times New Roman" w:cs="Times New Roman"/>
          <w:color w:val="0F1115"/>
          <w:shd w:val="clear" w:color="auto" w:fill="FFFFFF"/>
        </w:rPr>
      </w:pPr>
    </w:p>
    <w:p w14:paraId="6E8285D2"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b/>
          <w:bCs/>
          <w:color w:val="0F1115"/>
          <w:shd w:val="clear" w:color="auto" w:fill="FFFFFF"/>
        </w:rPr>
        <w:t>Table 2</w:t>
      </w:r>
      <w:r>
        <w:rPr>
          <w:rFonts w:ascii="Times New Roman" w:eastAsia="SimSun" w:hAnsi="Times New Roman" w:cs="Times New Roman" w:hint="eastAsia"/>
          <w:color w:val="0F1115"/>
          <w:shd w:val="clear" w:color="auto" w:fill="FFFFFF"/>
        </w:rPr>
        <w:t>.</w:t>
      </w:r>
      <w:r>
        <w:rPr>
          <w:rFonts w:ascii="Times New Roman" w:eastAsia="Segoe UI" w:hAnsi="Times New Roman" w:cs="Times New Roman"/>
          <w:color w:val="0F1115"/>
          <w:shd w:val="clear" w:color="auto" w:fill="FFFFFF"/>
        </w:rPr>
        <w:t xml:space="preserve"> Comparison of the incidence of mild adverse reactions after vaccination between the two groups [n (%)]</w:t>
      </w:r>
    </w:p>
    <w:tbl>
      <w:tblPr>
        <w:tblStyle w:val="TableGrid"/>
        <w:tblW w:w="5111"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242"/>
        <w:gridCol w:w="1686"/>
        <w:gridCol w:w="1789"/>
        <w:gridCol w:w="1129"/>
        <w:gridCol w:w="2006"/>
      </w:tblGrid>
      <w:tr w:rsidR="003739CD" w14:paraId="1E1F3AE0" w14:textId="77777777" w:rsidTr="00E70375">
        <w:trPr>
          <w:tblHeader/>
          <w:jc w:val="center"/>
        </w:trPr>
        <w:tc>
          <w:tcPr>
            <w:tcW w:w="1644" w:type="pct"/>
            <w:tcBorders>
              <w:top w:val="single" w:sz="4" w:space="0" w:color="auto"/>
              <w:left w:val="nil"/>
              <w:bottom w:val="nil"/>
              <w:right w:val="nil"/>
            </w:tcBorders>
            <w:tcMar>
              <w:top w:w="-1" w:type="dxa"/>
              <w:left w:w="-1" w:type="dxa"/>
              <w:bottom w:w="-1" w:type="dxa"/>
              <w:right w:w="-1" w:type="dxa"/>
            </w:tcMar>
            <w:vAlign w:val="center"/>
          </w:tcPr>
          <w:p w14:paraId="2054C286" w14:textId="77777777" w:rsidR="003739CD" w:rsidRDefault="006E0A48" w:rsidP="00E70375">
            <w:pPr>
              <w:snapToGrid w:val="0"/>
              <w:jc w:val="left"/>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Group</w:t>
            </w:r>
          </w:p>
        </w:tc>
        <w:tc>
          <w:tcPr>
            <w:tcW w:w="855" w:type="pct"/>
            <w:tcBorders>
              <w:top w:val="single" w:sz="4" w:space="0" w:color="auto"/>
              <w:left w:val="nil"/>
              <w:bottom w:val="nil"/>
              <w:right w:val="nil"/>
            </w:tcBorders>
            <w:tcMar>
              <w:top w:w="-1" w:type="dxa"/>
              <w:left w:w="-1" w:type="dxa"/>
              <w:bottom w:w="-1" w:type="dxa"/>
              <w:right w:w="-1" w:type="dxa"/>
            </w:tcMar>
            <w:vAlign w:val="center"/>
          </w:tcPr>
          <w:p w14:paraId="6EB7649F" w14:textId="77777777" w:rsidR="003739CD" w:rsidRDefault="006E0A48" w:rsidP="002747F3">
            <w:pPr>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Local erythema</w:t>
            </w:r>
          </w:p>
        </w:tc>
        <w:tc>
          <w:tcPr>
            <w:tcW w:w="908" w:type="pct"/>
            <w:tcBorders>
              <w:top w:val="single" w:sz="4" w:space="0" w:color="auto"/>
              <w:left w:val="nil"/>
              <w:bottom w:val="nil"/>
              <w:right w:val="nil"/>
            </w:tcBorders>
            <w:tcMar>
              <w:top w:w="-1" w:type="dxa"/>
              <w:left w:w="-1" w:type="dxa"/>
              <w:bottom w:w="-1" w:type="dxa"/>
              <w:right w:w="-1" w:type="dxa"/>
            </w:tcMar>
            <w:vAlign w:val="center"/>
          </w:tcPr>
          <w:p w14:paraId="0C9C0EB7" w14:textId="77777777" w:rsidR="003739CD" w:rsidRDefault="006E0A48" w:rsidP="002747F3">
            <w:pPr>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Low-grade fever</w:t>
            </w:r>
          </w:p>
        </w:tc>
        <w:tc>
          <w:tcPr>
            <w:tcW w:w="573" w:type="pct"/>
            <w:tcBorders>
              <w:top w:val="single" w:sz="4" w:space="0" w:color="auto"/>
              <w:left w:val="nil"/>
              <w:bottom w:val="nil"/>
              <w:right w:val="nil"/>
            </w:tcBorders>
            <w:tcMar>
              <w:top w:w="-1" w:type="dxa"/>
              <w:left w:w="-1" w:type="dxa"/>
              <w:bottom w:w="-1" w:type="dxa"/>
              <w:right w:w="-1" w:type="dxa"/>
            </w:tcMar>
            <w:vAlign w:val="center"/>
          </w:tcPr>
          <w:p w14:paraId="59ED4C22" w14:textId="77777777" w:rsidR="003739CD" w:rsidRDefault="006E0A48" w:rsidP="002747F3">
            <w:pPr>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Mild rash</w:t>
            </w:r>
          </w:p>
        </w:tc>
        <w:tc>
          <w:tcPr>
            <w:tcW w:w="1018" w:type="pct"/>
            <w:tcBorders>
              <w:top w:val="single" w:sz="4" w:space="0" w:color="auto"/>
              <w:left w:val="nil"/>
              <w:bottom w:val="nil"/>
              <w:right w:val="nil"/>
            </w:tcBorders>
            <w:tcMar>
              <w:top w:w="-1" w:type="dxa"/>
              <w:left w:w="-1" w:type="dxa"/>
              <w:bottom w:w="-1" w:type="dxa"/>
              <w:right w:w="-1" w:type="dxa"/>
            </w:tcMar>
            <w:vAlign w:val="center"/>
          </w:tcPr>
          <w:p w14:paraId="7F8EA364" w14:textId="77777777" w:rsidR="003739CD" w:rsidRDefault="006E0A48" w:rsidP="002747F3">
            <w:pPr>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Total incidence rate</w:t>
            </w:r>
          </w:p>
        </w:tc>
      </w:tr>
      <w:tr w:rsidR="003739CD" w14:paraId="02BD6293" w14:textId="77777777">
        <w:trPr>
          <w:tblHeader/>
          <w:jc w:val="center"/>
        </w:trPr>
        <w:tc>
          <w:tcPr>
            <w:tcW w:w="1644" w:type="pct"/>
            <w:tcBorders>
              <w:top w:val="single" w:sz="4" w:space="0" w:color="auto"/>
              <w:left w:val="nil"/>
              <w:bottom w:val="nil"/>
              <w:right w:val="nil"/>
            </w:tcBorders>
            <w:tcMar>
              <w:top w:w="-1" w:type="dxa"/>
              <w:left w:w="-1" w:type="dxa"/>
              <w:bottom w:w="-1" w:type="dxa"/>
              <w:right w:w="-1" w:type="dxa"/>
            </w:tcMar>
            <w:vAlign w:val="center"/>
          </w:tcPr>
          <w:p w14:paraId="2F226D7B" w14:textId="7E70E2B5" w:rsidR="003739CD" w:rsidRDefault="006E0A48" w:rsidP="00E70375">
            <w:pPr>
              <w:snapToGrid w:val="0"/>
              <w:jc w:val="left"/>
              <w:rPr>
                <w:rFonts w:ascii="Times New Roman" w:hAnsi="Times New Roman" w:cs="Times New Roman"/>
                <w:sz w:val="24"/>
              </w:rPr>
            </w:pPr>
            <w:r>
              <w:rPr>
                <w:rFonts w:ascii="Times New Roman" w:eastAsia="Segoe UI" w:hAnsi="Times New Roman" w:cs="Times New Roman"/>
                <w:color w:val="0F1115"/>
                <w:sz w:val="24"/>
                <w:shd w:val="clear" w:color="auto" w:fill="FFFFFF"/>
              </w:rPr>
              <w:t>Observation group (total doses</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249)</w:t>
            </w:r>
          </w:p>
        </w:tc>
        <w:tc>
          <w:tcPr>
            <w:tcW w:w="855" w:type="pct"/>
            <w:tcBorders>
              <w:top w:val="single" w:sz="4" w:space="0" w:color="auto"/>
              <w:left w:val="nil"/>
              <w:bottom w:val="nil"/>
              <w:right w:val="nil"/>
            </w:tcBorders>
            <w:tcMar>
              <w:top w:w="-1" w:type="dxa"/>
              <w:left w:w="-1" w:type="dxa"/>
              <w:bottom w:w="-1" w:type="dxa"/>
              <w:right w:w="-1" w:type="dxa"/>
            </w:tcMar>
            <w:vAlign w:val="center"/>
          </w:tcPr>
          <w:p w14:paraId="56CED3CF"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3 (1.20)</w:t>
            </w:r>
          </w:p>
        </w:tc>
        <w:tc>
          <w:tcPr>
            <w:tcW w:w="908" w:type="pct"/>
            <w:tcBorders>
              <w:top w:val="single" w:sz="4" w:space="0" w:color="auto"/>
              <w:left w:val="nil"/>
              <w:bottom w:val="nil"/>
              <w:right w:val="nil"/>
            </w:tcBorders>
            <w:tcMar>
              <w:top w:w="-1" w:type="dxa"/>
              <w:left w:w="-1" w:type="dxa"/>
              <w:bottom w:w="-1" w:type="dxa"/>
              <w:right w:w="-1" w:type="dxa"/>
            </w:tcMar>
            <w:vAlign w:val="center"/>
          </w:tcPr>
          <w:p w14:paraId="57A09B04"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2 (0.80)</w:t>
            </w:r>
          </w:p>
        </w:tc>
        <w:tc>
          <w:tcPr>
            <w:tcW w:w="573" w:type="pct"/>
            <w:tcBorders>
              <w:top w:val="single" w:sz="4" w:space="0" w:color="auto"/>
              <w:left w:val="nil"/>
              <w:bottom w:val="nil"/>
              <w:right w:val="nil"/>
            </w:tcBorders>
            <w:tcMar>
              <w:top w:w="-1" w:type="dxa"/>
              <w:left w:w="-1" w:type="dxa"/>
              <w:bottom w:w="-1" w:type="dxa"/>
              <w:right w:w="-1" w:type="dxa"/>
            </w:tcMar>
            <w:vAlign w:val="center"/>
          </w:tcPr>
          <w:p w14:paraId="4767DB18"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 (0.40)</w:t>
            </w:r>
          </w:p>
        </w:tc>
        <w:tc>
          <w:tcPr>
            <w:tcW w:w="1018" w:type="pct"/>
            <w:tcBorders>
              <w:top w:val="single" w:sz="4" w:space="0" w:color="auto"/>
              <w:left w:val="nil"/>
              <w:bottom w:val="nil"/>
              <w:right w:val="nil"/>
            </w:tcBorders>
            <w:tcMar>
              <w:top w:w="-1" w:type="dxa"/>
              <w:left w:w="-1" w:type="dxa"/>
              <w:bottom w:w="-1" w:type="dxa"/>
              <w:right w:w="-1" w:type="dxa"/>
            </w:tcMar>
            <w:vAlign w:val="center"/>
          </w:tcPr>
          <w:p w14:paraId="764CFE1C"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6 (2.41)</w:t>
            </w:r>
          </w:p>
        </w:tc>
      </w:tr>
      <w:tr w:rsidR="003739CD" w14:paraId="77EF8AEB" w14:textId="77777777">
        <w:trPr>
          <w:tblHeader/>
          <w:jc w:val="center"/>
        </w:trPr>
        <w:tc>
          <w:tcPr>
            <w:tcW w:w="1644" w:type="pct"/>
            <w:tcBorders>
              <w:top w:val="nil"/>
              <w:left w:val="nil"/>
              <w:bottom w:val="nil"/>
              <w:right w:val="nil"/>
            </w:tcBorders>
            <w:tcMar>
              <w:top w:w="-1" w:type="dxa"/>
              <w:left w:w="-1" w:type="dxa"/>
              <w:bottom w:w="-1" w:type="dxa"/>
              <w:right w:w="-1" w:type="dxa"/>
            </w:tcMar>
            <w:vAlign w:val="center"/>
          </w:tcPr>
          <w:p w14:paraId="367B522E" w14:textId="44C8285C" w:rsidR="003739CD" w:rsidRDefault="006E0A48" w:rsidP="00E70375">
            <w:pPr>
              <w:snapToGrid w:val="0"/>
              <w:jc w:val="left"/>
              <w:rPr>
                <w:rFonts w:ascii="Times New Roman" w:hAnsi="Times New Roman" w:cs="Times New Roman"/>
                <w:sz w:val="24"/>
              </w:rPr>
            </w:pPr>
            <w:r>
              <w:rPr>
                <w:rFonts w:ascii="Times New Roman" w:eastAsia="Segoe UI" w:hAnsi="Times New Roman" w:cs="Times New Roman"/>
                <w:color w:val="0F1115"/>
                <w:sz w:val="24"/>
                <w:shd w:val="clear" w:color="auto" w:fill="FFFFFF"/>
              </w:rPr>
              <w:t>Control group (total doses</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244)</w:t>
            </w:r>
          </w:p>
        </w:tc>
        <w:tc>
          <w:tcPr>
            <w:tcW w:w="855" w:type="pct"/>
            <w:tcBorders>
              <w:top w:val="nil"/>
              <w:left w:val="nil"/>
              <w:bottom w:val="nil"/>
              <w:right w:val="nil"/>
            </w:tcBorders>
            <w:tcMar>
              <w:top w:w="-1" w:type="dxa"/>
              <w:left w:w="-1" w:type="dxa"/>
              <w:bottom w:w="-1" w:type="dxa"/>
              <w:right w:w="-1" w:type="dxa"/>
            </w:tcMar>
            <w:vAlign w:val="center"/>
          </w:tcPr>
          <w:p w14:paraId="340C9212"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15 (6.15)</w:t>
            </w:r>
          </w:p>
        </w:tc>
        <w:tc>
          <w:tcPr>
            <w:tcW w:w="908" w:type="pct"/>
            <w:tcBorders>
              <w:top w:val="nil"/>
              <w:left w:val="nil"/>
              <w:bottom w:val="nil"/>
              <w:right w:val="nil"/>
            </w:tcBorders>
            <w:tcMar>
              <w:top w:w="-1" w:type="dxa"/>
              <w:left w:w="-1" w:type="dxa"/>
              <w:bottom w:w="-1" w:type="dxa"/>
              <w:right w:w="-1" w:type="dxa"/>
            </w:tcMar>
            <w:vAlign w:val="center"/>
          </w:tcPr>
          <w:p w14:paraId="614C8179"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10 (4.10)</w:t>
            </w:r>
          </w:p>
        </w:tc>
        <w:tc>
          <w:tcPr>
            <w:tcW w:w="573" w:type="pct"/>
            <w:tcBorders>
              <w:top w:val="nil"/>
              <w:left w:val="nil"/>
              <w:bottom w:val="nil"/>
              <w:right w:val="nil"/>
            </w:tcBorders>
            <w:tcMar>
              <w:top w:w="-1" w:type="dxa"/>
              <w:left w:w="-1" w:type="dxa"/>
              <w:bottom w:w="-1" w:type="dxa"/>
              <w:right w:w="-1" w:type="dxa"/>
            </w:tcMar>
            <w:vAlign w:val="center"/>
          </w:tcPr>
          <w:p w14:paraId="4F0FDCFE"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6 (2.46)</w:t>
            </w:r>
          </w:p>
        </w:tc>
        <w:tc>
          <w:tcPr>
            <w:tcW w:w="1018" w:type="pct"/>
            <w:tcBorders>
              <w:top w:val="nil"/>
              <w:left w:val="nil"/>
              <w:bottom w:val="nil"/>
              <w:right w:val="nil"/>
            </w:tcBorders>
            <w:tcMar>
              <w:top w:w="-1" w:type="dxa"/>
              <w:left w:w="-1" w:type="dxa"/>
              <w:bottom w:w="-1" w:type="dxa"/>
              <w:right w:w="-1" w:type="dxa"/>
            </w:tcMar>
            <w:vAlign w:val="center"/>
          </w:tcPr>
          <w:p w14:paraId="2E9DD48A"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31 (12.68)</w:t>
            </w:r>
          </w:p>
        </w:tc>
      </w:tr>
      <w:tr w:rsidR="003739CD" w14:paraId="6D2C8166" w14:textId="77777777">
        <w:trPr>
          <w:tblHeader/>
          <w:jc w:val="center"/>
        </w:trPr>
        <w:tc>
          <w:tcPr>
            <w:tcW w:w="1644" w:type="pct"/>
            <w:tcBorders>
              <w:top w:val="nil"/>
              <w:left w:val="nil"/>
              <w:bottom w:val="nil"/>
              <w:right w:val="nil"/>
            </w:tcBorders>
            <w:tcMar>
              <w:top w:w="-1" w:type="dxa"/>
              <w:left w:w="-1" w:type="dxa"/>
              <w:bottom w:w="-1" w:type="dxa"/>
              <w:right w:w="-1" w:type="dxa"/>
            </w:tcMar>
            <w:vAlign w:val="center"/>
          </w:tcPr>
          <w:p w14:paraId="3BB162F1" w14:textId="77777777" w:rsidR="003739CD" w:rsidRDefault="006E0A48" w:rsidP="00E70375">
            <w:pPr>
              <w:snapToGrid w:val="0"/>
              <w:jc w:val="left"/>
              <w:rPr>
                <w:rFonts w:ascii="Times New Roman" w:hAnsi="Times New Roman" w:cs="Times New Roman"/>
                <w:sz w:val="24"/>
              </w:rPr>
            </w:pPr>
            <w:r>
              <w:rPr>
                <w:rFonts w:ascii="Times New Roman" w:eastAsia="Segoe UI" w:hAnsi="Times New Roman" w:cs="Times New Roman"/>
                <w:color w:val="0F1115"/>
                <w:sz w:val="24"/>
                <w:shd w:val="clear" w:color="auto" w:fill="FFFFFF"/>
              </w:rPr>
              <w:t>χ²</w:t>
            </w:r>
          </w:p>
        </w:tc>
        <w:tc>
          <w:tcPr>
            <w:tcW w:w="855" w:type="pct"/>
            <w:tcBorders>
              <w:top w:val="nil"/>
              <w:left w:val="nil"/>
              <w:bottom w:val="nil"/>
              <w:right w:val="nil"/>
            </w:tcBorders>
            <w:tcMar>
              <w:top w:w="-1" w:type="dxa"/>
              <w:left w:w="-1" w:type="dxa"/>
              <w:bottom w:w="-1" w:type="dxa"/>
              <w:right w:w="-1" w:type="dxa"/>
            </w:tcMar>
            <w:vAlign w:val="center"/>
          </w:tcPr>
          <w:p w14:paraId="1F2D7DE9" w14:textId="77777777" w:rsidR="003739CD" w:rsidRDefault="003739CD" w:rsidP="002747F3">
            <w:pPr>
              <w:snapToGrid w:val="0"/>
              <w:jc w:val="center"/>
              <w:rPr>
                <w:rFonts w:ascii="Times New Roman" w:hAnsi="Times New Roman" w:cs="Times New Roman"/>
                <w:sz w:val="24"/>
              </w:rPr>
            </w:pPr>
          </w:p>
        </w:tc>
        <w:tc>
          <w:tcPr>
            <w:tcW w:w="908" w:type="pct"/>
            <w:tcBorders>
              <w:top w:val="nil"/>
              <w:left w:val="nil"/>
              <w:bottom w:val="nil"/>
              <w:right w:val="nil"/>
            </w:tcBorders>
            <w:tcMar>
              <w:top w:w="-1" w:type="dxa"/>
              <w:left w:w="-1" w:type="dxa"/>
              <w:bottom w:w="-1" w:type="dxa"/>
              <w:right w:w="-1" w:type="dxa"/>
            </w:tcMar>
            <w:vAlign w:val="center"/>
          </w:tcPr>
          <w:p w14:paraId="2F441CA0" w14:textId="77777777" w:rsidR="003739CD" w:rsidRDefault="003739CD" w:rsidP="002747F3">
            <w:pPr>
              <w:snapToGrid w:val="0"/>
              <w:jc w:val="center"/>
              <w:rPr>
                <w:rFonts w:ascii="Times New Roman" w:hAnsi="Times New Roman" w:cs="Times New Roman"/>
                <w:sz w:val="24"/>
              </w:rPr>
            </w:pPr>
          </w:p>
        </w:tc>
        <w:tc>
          <w:tcPr>
            <w:tcW w:w="573" w:type="pct"/>
            <w:tcBorders>
              <w:top w:val="nil"/>
              <w:left w:val="nil"/>
              <w:bottom w:val="nil"/>
              <w:right w:val="nil"/>
            </w:tcBorders>
            <w:tcMar>
              <w:top w:w="-1" w:type="dxa"/>
              <w:left w:w="-1" w:type="dxa"/>
              <w:bottom w:w="-1" w:type="dxa"/>
              <w:right w:w="-1" w:type="dxa"/>
            </w:tcMar>
            <w:vAlign w:val="center"/>
          </w:tcPr>
          <w:p w14:paraId="630AFCD1" w14:textId="77777777" w:rsidR="003739CD" w:rsidRDefault="003739CD" w:rsidP="002747F3">
            <w:pPr>
              <w:snapToGrid w:val="0"/>
              <w:jc w:val="center"/>
              <w:rPr>
                <w:rFonts w:ascii="Times New Roman" w:hAnsi="Times New Roman" w:cs="Times New Roman"/>
                <w:sz w:val="24"/>
              </w:rPr>
            </w:pPr>
          </w:p>
        </w:tc>
        <w:tc>
          <w:tcPr>
            <w:tcW w:w="1018" w:type="pct"/>
            <w:tcBorders>
              <w:top w:val="nil"/>
              <w:left w:val="nil"/>
              <w:bottom w:val="nil"/>
              <w:right w:val="nil"/>
            </w:tcBorders>
            <w:tcMar>
              <w:top w:w="-1" w:type="dxa"/>
              <w:left w:w="-1" w:type="dxa"/>
              <w:bottom w:w="-1" w:type="dxa"/>
              <w:right w:w="-1" w:type="dxa"/>
            </w:tcMar>
            <w:vAlign w:val="center"/>
          </w:tcPr>
          <w:p w14:paraId="3791BDD6"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17.853</w:t>
            </w:r>
          </w:p>
        </w:tc>
      </w:tr>
      <w:tr w:rsidR="003739CD" w14:paraId="5060D5A5" w14:textId="77777777" w:rsidTr="00E70375">
        <w:trPr>
          <w:tblHeader/>
          <w:jc w:val="center"/>
        </w:trPr>
        <w:tc>
          <w:tcPr>
            <w:tcW w:w="1644" w:type="pct"/>
            <w:tcBorders>
              <w:top w:val="nil"/>
              <w:left w:val="nil"/>
              <w:bottom w:val="single" w:sz="4" w:space="0" w:color="auto"/>
              <w:right w:val="nil"/>
            </w:tcBorders>
            <w:tcMar>
              <w:top w:w="-1" w:type="dxa"/>
              <w:left w:w="-1" w:type="dxa"/>
              <w:bottom w:w="-1" w:type="dxa"/>
              <w:right w:w="-1" w:type="dxa"/>
            </w:tcMar>
            <w:vAlign w:val="center"/>
          </w:tcPr>
          <w:p w14:paraId="5F6D0AE8" w14:textId="57FA9BFD" w:rsidR="003739CD" w:rsidRDefault="002747F3" w:rsidP="00E70375">
            <w:pPr>
              <w:snapToGrid w:val="0"/>
              <w:jc w:val="left"/>
              <w:rPr>
                <w:rFonts w:ascii="Times New Roman" w:hAnsi="Times New Roman" w:cs="Times New Roman"/>
                <w:sz w:val="24"/>
              </w:rPr>
            </w:pPr>
            <w:r>
              <w:rPr>
                <w:rFonts w:ascii="Times New Roman" w:eastAsia="Segoe UI" w:hAnsi="Times New Roman" w:cs="Times New Roman"/>
                <w:i/>
                <w:iCs/>
                <w:color w:val="0F1115"/>
                <w:sz w:val="24"/>
                <w:shd w:val="clear" w:color="auto" w:fill="FFFFFF"/>
              </w:rPr>
              <w:t>p</w:t>
            </w:r>
          </w:p>
        </w:tc>
        <w:tc>
          <w:tcPr>
            <w:tcW w:w="855" w:type="pct"/>
            <w:tcBorders>
              <w:top w:val="nil"/>
              <w:left w:val="nil"/>
              <w:bottom w:val="single" w:sz="4" w:space="0" w:color="auto"/>
              <w:right w:val="nil"/>
            </w:tcBorders>
            <w:tcMar>
              <w:top w:w="-1" w:type="dxa"/>
              <w:left w:w="-1" w:type="dxa"/>
              <w:bottom w:w="-1" w:type="dxa"/>
              <w:right w:w="-1" w:type="dxa"/>
            </w:tcMar>
            <w:vAlign w:val="center"/>
          </w:tcPr>
          <w:p w14:paraId="75485300" w14:textId="77777777" w:rsidR="003739CD" w:rsidRDefault="003739CD" w:rsidP="002747F3">
            <w:pPr>
              <w:snapToGrid w:val="0"/>
              <w:jc w:val="center"/>
              <w:rPr>
                <w:rFonts w:ascii="Times New Roman" w:hAnsi="Times New Roman" w:cs="Times New Roman"/>
                <w:sz w:val="24"/>
              </w:rPr>
            </w:pPr>
          </w:p>
        </w:tc>
        <w:tc>
          <w:tcPr>
            <w:tcW w:w="908" w:type="pct"/>
            <w:tcBorders>
              <w:top w:val="nil"/>
              <w:left w:val="nil"/>
              <w:bottom w:val="single" w:sz="4" w:space="0" w:color="auto"/>
              <w:right w:val="nil"/>
            </w:tcBorders>
            <w:tcMar>
              <w:top w:w="-1" w:type="dxa"/>
              <w:left w:w="-1" w:type="dxa"/>
              <w:bottom w:w="-1" w:type="dxa"/>
              <w:right w:w="-1" w:type="dxa"/>
            </w:tcMar>
            <w:vAlign w:val="center"/>
          </w:tcPr>
          <w:p w14:paraId="72A51657" w14:textId="77777777" w:rsidR="003739CD" w:rsidRDefault="003739CD" w:rsidP="002747F3">
            <w:pPr>
              <w:snapToGrid w:val="0"/>
              <w:jc w:val="center"/>
              <w:rPr>
                <w:rFonts w:ascii="Times New Roman" w:hAnsi="Times New Roman" w:cs="Times New Roman"/>
                <w:sz w:val="24"/>
              </w:rPr>
            </w:pPr>
          </w:p>
        </w:tc>
        <w:tc>
          <w:tcPr>
            <w:tcW w:w="573" w:type="pct"/>
            <w:tcBorders>
              <w:top w:val="nil"/>
              <w:left w:val="nil"/>
              <w:bottom w:val="single" w:sz="4" w:space="0" w:color="auto"/>
              <w:right w:val="nil"/>
            </w:tcBorders>
            <w:tcMar>
              <w:top w:w="-1" w:type="dxa"/>
              <w:left w:w="-1" w:type="dxa"/>
              <w:bottom w:w="-1" w:type="dxa"/>
              <w:right w:w="-1" w:type="dxa"/>
            </w:tcMar>
            <w:vAlign w:val="center"/>
          </w:tcPr>
          <w:p w14:paraId="425704D0" w14:textId="77777777" w:rsidR="003739CD" w:rsidRDefault="003739CD" w:rsidP="002747F3">
            <w:pPr>
              <w:snapToGrid w:val="0"/>
              <w:jc w:val="center"/>
              <w:rPr>
                <w:rFonts w:ascii="Times New Roman" w:hAnsi="Times New Roman" w:cs="Times New Roman"/>
                <w:sz w:val="24"/>
              </w:rPr>
            </w:pPr>
          </w:p>
        </w:tc>
        <w:tc>
          <w:tcPr>
            <w:tcW w:w="1018" w:type="pct"/>
            <w:tcBorders>
              <w:top w:val="nil"/>
              <w:left w:val="nil"/>
              <w:bottom w:val="single" w:sz="4" w:space="0" w:color="auto"/>
              <w:right w:val="nil"/>
            </w:tcBorders>
            <w:tcMar>
              <w:top w:w="-1" w:type="dxa"/>
              <w:left w:w="-1" w:type="dxa"/>
              <w:bottom w:w="-1" w:type="dxa"/>
              <w:right w:w="-1" w:type="dxa"/>
            </w:tcMar>
            <w:vAlign w:val="center"/>
          </w:tcPr>
          <w:p w14:paraId="1F60671F" w14:textId="10AAED1D"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&lt;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0.001</w:t>
            </w:r>
          </w:p>
        </w:tc>
      </w:tr>
    </w:tbl>
    <w:p w14:paraId="2DF0FC6D" w14:textId="77777777" w:rsidR="003739CD" w:rsidRDefault="003739CD" w:rsidP="00E70375">
      <w:pPr>
        <w:pStyle w:val="NormalWeb"/>
        <w:widowControl/>
        <w:shd w:val="clear" w:color="auto" w:fill="FFFFFF"/>
        <w:snapToGrid w:val="0"/>
        <w:rPr>
          <w:rFonts w:ascii="Times New Roman" w:eastAsia="Segoe UI" w:hAnsi="Times New Roman" w:cs="Times New Roman"/>
          <w:b/>
          <w:bCs/>
          <w:color w:val="0F1115"/>
          <w:shd w:val="clear" w:color="auto" w:fill="FFFFFF"/>
        </w:rPr>
      </w:pPr>
    </w:p>
    <w:p w14:paraId="1110A124" w14:textId="77777777" w:rsidR="003739CD" w:rsidRDefault="006E0A48" w:rsidP="00E70375">
      <w:pPr>
        <w:pStyle w:val="NormalWeb"/>
        <w:widowControl/>
        <w:shd w:val="clear" w:color="auto" w:fill="FFFFFF"/>
        <w:snapToGrid w:val="0"/>
        <w:rPr>
          <w:rFonts w:ascii="Times New Roman" w:eastAsia="Segoe UI" w:hAnsi="Times New Roman" w:cs="Times New Roman"/>
          <w:b/>
          <w:bCs/>
          <w:color w:val="0F1115"/>
        </w:rPr>
      </w:pPr>
      <w:r>
        <w:rPr>
          <w:rFonts w:ascii="Times New Roman" w:eastAsia="SimSun" w:hAnsi="Times New Roman" w:cs="Times New Roman" w:hint="eastAsia"/>
          <w:b/>
          <w:bCs/>
          <w:color w:val="0F1115"/>
          <w:shd w:val="clear" w:color="auto" w:fill="FFFFFF"/>
        </w:rPr>
        <w:t>3</w:t>
      </w:r>
      <w:r>
        <w:rPr>
          <w:rFonts w:ascii="Times New Roman" w:eastAsia="Segoe UI" w:hAnsi="Times New Roman" w:cs="Times New Roman"/>
          <w:b/>
          <w:bCs/>
          <w:color w:val="0F1115"/>
          <w:shd w:val="clear" w:color="auto" w:fill="FFFFFF"/>
        </w:rPr>
        <w:t>.3</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Comparison of awareness of vaccine prevention and control knowledge between parents of children in the two groups</w:t>
      </w:r>
    </w:p>
    <w:p w14:paraId="460296C1" w14:textId="42DB0999"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The awareness rate of vaccine prevention and control knowledge among parents in the observation group was 95.14%, which was significantly higher than that in the control group (78.46%), and the difference between the groups was statistically significant.</w:t>
      </w:r>
      <w:r w:rsidR="002747F3">
        <w:rPr>
          <w:rFonts w:ascii="Times New Roman" w:eastAsia="Segoe UI" w:hAnsi="Times New Roman" w:cs="Times New Roman"/>
          <w:color w:val="0F1115"/>
          <w:shd w:val="clear" w:color="auto" w:fill="FFFFFF"/>
        </w:rPr>
        <w:t xml:space="preserve"> </w:t>
      </w:r>
      <w:r w:rsidR="002747F3" w:rsidRPr="000A4A87">
        <w:rPr>
          <w:rFonts w:ascii="Times New Roman" w:eastAsia="Segoe UI" w:hAnsi="Times New Roman" w:cs="Times New Roman"/>
          <w:b/>
          <w:bCs/>
          <w:color w:val="0F1115"/>
          <w:shd w:val="clear" w:color="auto" w:fill="FFFFFF"/>
        </w:rPr>
        <w:t xml:space="preserve">(Table </w:t>
      </w:r>
      <w:r w:rsidR="002747F3">
        <w:rPr>
          <w:rFonts w:ascii="Times New Roman" w:eastAsia="Segoe UI" w:hAnsi="Times New Roman" w:cs="Times New Roman"/>
          <w:b/>
          <w:bCs/>
          <w:color w:val="0F1115"/>
          <w:shd w:val="clear" w:color="auto" w:fill="FFFFFF"/>
        </w:rPr>
        <w:t>3</w:t>
      </w:r>
      <w:r w:rsidR="002747F3" w:rsidRPr="000A4A87">
        <w:rPr>
          <w:rFonts w:ascii="Times New Roman" w:eastAsia="Segoe UI" w:hAnsi="Times New Roman" w:cs="Times New Roman"/>
          <w:b/>
          <w:bCs/>
          <w:color w:val="0F1115"/>
          <w:shd w:val="clear" w:color="auto" w:fill="FFFFFF"/>
        </w:rPr>
        <w:t>)</w:t>
      </w:r>
    </w:p>
    <w:p w14:paraId="6C5E3830" w14:textId="77777777" w:rsidR="003739CD" w:rsidRDefault="003739CD" w:rsidP="00E70375">
      <w:pPr>
        <w:pStyle w:val="NormalWeb"/>
        <w:widowControl/>
        <w:shd w:val="clear" w:color="auto" w:fill="FFFFFF"/>
        <w:snapToGrid w:val="0"/>
        <w:rPr>
          <w:rFonts w:ascii="Times New Roman" w:eastAsia="Segoe UI" w:hAnsi="Times New Roman" w:cs="Times New Roman"/>
          <w:color w:val="0F1115"/>
          <w:shd w:val="clear" w:color="auto" w:fill="FFFFFF"/>
        </w:rPr>
      </w:pPr>
    </w:p>
    <w:p w14:paraId="759E6D9D"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b/>
          <w:bCs/>
          <w:color w:val="0F1115"/>
          <w:shd w:val="clear" w:color="auto" w:fill="FFFFFF"/>
        </w:rPr>
        <w:t>Table 3</w:t>
      </w:r>
      <w:r>
        <w:rPr>
          <w:rFonts w:ascii="Times New Roman" w:eastAsia="SimSun" w:hAnsi="Times New Roman" w:cs="Times New Roman"/>
          <w:b/>
          <w:bCs/>
          <w:color w:val="0F1115"/>
          <w:shd w:val="clear" w:color="auto" w:fill="FFFFFF"/>
        </w:rPr>
        <w:t>.</w:t>
      </w:r>
      <w:r>
        <w:rPr>
          <w:rFonts w:ascii="Times New Roman" w:eastAsia="Segoe UI" w:hAnsi="Times New Roman" w:cs="Times New Roman"/>
          <w:color w:val="0F1115"/>
          <w:shd w:val="clear" w:color="auto" w:fill="FFFFFF"/>
        </w:rPr>
        <w:t xml:space="preserve"> Comparison of vaccine prevention and control knowledge scores between parents of children in the two groups (</w:t>
      </w:r>
      <w:r>
        <w:rPr>
          <w:rFonts w:ascii="Times New Roman" w:eastAsia="SimSun" w:hAnsi="Times New Roman" w:cs="Times New Roman"/>
          <w:color w:val="0000FF"/>
          <w:position w:val="-6"/>
        </w:rPr>
        <w:object w:dxaOrig="220" w:dyaOrig="270" w14:anchorId="7FB2DD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3.35pt" o:ole="">
            <v:imagedata r:id="rId4" o:title=""/>
          </v:shape>
          <o:OLEObject Type="Embed" ProgID="Equation.DSMT4" ShapeID="_x0000_i1025" DrawAspect="Content" ObjectID="_1850636252" r:id="rId5"/>
        </w:object>
      </w:r>
      <w:r>
        <w:rPr>
          <w:rFonts w:ascii="Times New Roman" w:hAnsi="Times New Roman"/>
        </w:rPr>
        <w:t>± s</w:t>
      </w:r>
      <w:r>
        <w:rPr>
          <w:rFonts w:ascii="Times New Roman" w:eastAsia="Segoe UI" w:hAnsi="Times New Roman" w:cs="Times New Roman"/>
          <w:color w:val="0F1115"/>
          <w:shd w:val="clear" w:color="auto" w:fill="FFFFFF"/>
        </w:rPr>
        <w:t>, points)</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826"/>
        <w:gridCol w:w="882"/>
        <w:gridCol w:w="882"/>
        <w:gridCol w:w="881"/>
        <w:gridCol w:w="881"/>
        <w:gridCol w:w="881"/>
        <w:gridCol w:w="881"/>
        <w:gridCol w:w="881"/>
        <w:gridCol w:w="881"/>
        <w:gridCol w:w="881"/>
        <w:gridCol w:w="881"/>
      </w:tblGrid>
      <w:tr w:rsidR="002747F3" w14:paraId="1CFF75AF" w14:textId="77777777" w:rsidTr="002747F3">
        <w:trPr>
          <w:tblHeader/>
          <w:jc w:val="center"/>
        </w:trPr>
        <w:tc>
          <w:tcPr>
            <w:tcW w:w="429" w:type="pct"/>
            <w:vMerge w:val="restart"/>
            <w:tcBorders>
              <w:top w:val="single" w:sz="4" w:space="0" w:color="auto"/>
              <w:left w:val="nil"/>
              <w:right w:val="nil"/>
            </w:tcBorders>
            <w:tcMar>
              <w:top w:w="-1" w:type="dxa"/>
              <w:left w:w="-1" w:type="dxa"/>
              <w:bottom w:w="-1" w:type="dxa"/>
              <w:right w:w="-1" w:type="dxa"/>
            </w:tcMar>
            <w:vAlign w:val="center"/>
          </w:tcPr>
          <w:p w14:paraId="59E01AB1" w14:textId="77777777" w:rsidR="002747F3" w:rsidRDefault="002747F3" w:rsidP="00E70375">
            <w:pPr>
              <w:keepNext/>
              <w:snapToGrid w:val="0"/>
              <w:jc w:val="left"/>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Group</w:t>
            </w:r>
          </w:p>
        </w:tc>
        <w:tc>
          <w:tcPr>
            <w:tcW w:w="915" w:type="pct"/>
            <w:gridSpan w:val="2"/>
            <w:tcBorders>
              <w:top w:val="single" w:sz="4" w:space="0" w:color="auto"/>
              <w:left w:val="nil"/>
              <w:bottom w:val="nil"/>
              <w:right w:val="nil"/>
            </w:tcBorders>
            <w:tcMar>
              <w:top w:w="-1" w:type="dxa"/>
              <w:left w:w="-1" w:type="dxa"/>
              <w:bottom w:w="-1" w:type="dxa"/>
              <w:right w:w="-1" w:type="dxa"/>
            </w:tcMar>
            <w:vAlign w:val="center"/>
          </w:tcPr>
          <w:p w14:paraId="056CDF7B"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Vaccine protection scope</w:t>
            </w:r>
          </w:p>
        </w:tc>
        <w:tc>
          <w:tcPr>
            <w:tcW w:w="914" w:type="pct"/>
            <w:gridSpan w:val="2"/>
            <w:tcBorders>
              <w:top w:val="single" w:sz="4" w:space="0" w:color="auto"/>
              <w:left w:val="nil"/>
              <w:bottom w:val="nil"/>
              <w:right w:val="nil"/>
            </w:tcBorders>
            <w:tcMar>
              <w:top w:w="-1" w:type="dxa"/>
              <w:left w:w="-1" w:type="dxa"/>
              <w:bottom w:w="-1" w:type="dxa"/>
              <w:right w:w="-1" w:type="dxa"/>
            </w:tcMar>
            <w:vAlign w:val="center"/>
          </w:tcPr>
          <w:p w14:paraId="3CC629BB"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Vaccination contraindication requirements</w:t>
            </w:r>
          </w:p>
        </w:tc>
        <w:tc>
          <w:tcPr>
            <w:tcW w:w="914" w:type="pct"/>
            <w:gridSpan w:val="2"/>
            <w:tcBorders>
              <w:top w:val="single" w:sz="4" w:space="0" w:color="auto"/>
              <w:left w:val="nil"/>
              <w:bottom w:val="nil"/>
              <w:right w:val="nil"/>
            </w:tcBorders>
            <w:tcMar>
              <w:top w:w="-1" w:type="dxa"/>
              <w:left w:w="-1" w:type="dxa"/>
              <w:bottom w:w="-1" w:type="dxa"/>
              <w:right w:w="-1" w:type="dxa"/>
            </w:tcMar>
            <w:vAlign w:val="center"/>
          </w:tcPr>
          <w:p w14:paraId="193BBFAE"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Adverse reaction management</w:t>
            </w:r>
          </w:p>
        </w:tc>
        <w:tc>
          <w:tcPr>
            <w:tcW w:w="914" w:type="pct"/>
            <w:gridSpan w:val="2"/>
            <w:tcBorders>
              <w:top w:val="single" w:sz="4" w:space="0" w:color="auto"/>
              <w:left w:val="nil"/>
              <w:bottom w:val="nil"/>
              <w:right w:val="nil"/>
            </w:tcBorders>
            <w:tcMar>
              <w:top w:w="-1" w:type="dxa"/>
              <w:left w:w="-1" w:type="dxa"/>
              <w:bottom w:w="-1" w:type="dxa"/>
              <w:right w:w="-1" w:type="dxa"/>
            </w:tcMar>
            <w:vAlign w:val="center"/>
          </w:tcPr>
          <w:p w14:paraId="24353A66"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Infectious disease prevention</w:t>
            </w:r>
          </w:p>
        </w:tc>
        <w:tc>
          <w:tcPr>
            <w:tcW w:w="914" w:type="pct"/>
            <w:gridSpan w:val="2"/>
            <w:tcBorders>
              <w:top w:val="single" w:sz="4" w:space="0" w:color="auto"/>
              <w:left w:val="nil"/>
              <w:bottom w:val="nil"/>
              <w:right w:val="nil"/>
            </w:tcBorders>
            <w:tcMar>
              <w:top w:w="-1" w:type="dxa"/>
              <w:left w:w="-1" w:type="dxa"/>
              <w:bottom w:w="-1" w:type="dxa"/>
              <w:right w:w="-1" w:type="dxa"/>
            </w:tcMar>
            <w:vAlign w:val="center"/>
          </w:tcPr>
          <w:p w14:paraId="290E19C5"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Total score</w:t>
            </w:r>
          </w:p>
        </w:tc>
      </w:tr>
      <w:tr w:rsidR="002747F3" w14:paraId="29548DED" w14:textId="77777777" w:rsidTr="002747F3">
        <w:trPr>
          <w:tblHeader/>
          <w:jc w:val="center"/>
        </w:trPr>
        <w:tc>
          <w:tcPr>
            <w:tcW w:w="429" w:type="pct"/>
            <w:vMerge/>
            <w:tcBorders>
              <w:left w:val="nil"/>
              <w:bottom w:val="single" w:sz="4" w:space="0" w:color="auto"/>
              <w:right w:val="nil"/>
            </w:tcBorders>
            <w:tcMar>
              <w:top w:w="-1" w:type="dxa"/>
              <w:left w:w="-1" w:type="dxa"/>
              <w:bottom w:w="-1" w:type="dxa"/>
              <w:right w:w="-1" w:type="dxa"/>
            </w:tcMar>
            <w:vAlign w:val="center"/>
          </w:tcPr>
          <w:p w14:paraId="0F526942" w14:textId="77777777" w:rsidR="002747F3" w:rsidRDefault="002747F3" w:rsidP="00E70375">
            <w:pPr>
              <w:keepNext/>
              <w:snapToGrid w:val="0"/>
              <w:jc w:val="left"/>
              <w:rPr>
                <w:rFonts w:ascii="Times New Roman" w:hAnsi="Times New Roman" w:cs="Times New Roman"/>
                <w:b/>
                <w:bCs/>
                <w:sz w:val="24"/>
              </w:rPr>
            </w:pPr>
          </w:p>
        </w:tc>
        <w:tc>
          <w:tcPr>
            <w:tcW w:w="458" w:type="pct"/>
            <w:tcBorders>
              <w:top w:val="single" w:sz="4" w:space="0" w:color="auto"/>
              <w:left w:val="nil"/>
              <w:bottom w:val="single" w:sz="4" w:space="0" w:color="auto"/>
              <w:right w:val="nil"/>
            </w:tcBorders>
            <w:tcMar>
              <w:top w:w="-1" w:type="dxa"/>
              <w:left w:w="-1" w:type="dxa"/>
              <w:bottom w:w="-1" w:type="dxa"/>
              <w:right w:w="-1" w:type="dxa"/>
            </w:tcMar>
            <w:vAlign w:val="center"/>
          </w:tcPr>
          <w:p w14:paraId="679CC2AB"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Before intervention</w:t>
            </w:r>
          </w:p>
        </w:tc>
        <w:tc>
          <w:tcPr>
            <w:tcW w:w="458" w:type="pct"/>
            <w:tcBorders>
              <w:top w:val="single" w:sz="4" w:space="0" w:color="auto"/>
              <w:left w:val="nil"/>
              <w:bottom w:val="single" w:sz="4" w:space="0" w:color="auto"/>
              <w:right w:val="nil"/>
            </w:tcBorders>
            <w:tcMar>
              <w:top w:w="-1" w:type="dxa"/>
              <w:left w:w="-1" w:type="dxa"/>
              <w:bottom w:w="-1" w:type="dxa"/>
              <w:right w:w="-1" w:type="dxa"/>
            </w:tcMar>
            <w:vAlign w:val="center"/>
          </w:tcPr>
          <w:p w14:paraId="03E51515"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After intervention</w:t>
            </w:r>
          </w:p>
        </w:tc>
        <w:tc>
          <w:tcPr>
            <w:tcW w:w="457" w:type="pct"/>
            <w:tcBorders>
              <w:top w:val="single" w:sz="4" w:space="0" w:color="auto"/>
              <w:left w:val="nil"/>
              <w:bottom w:val="single" w:sz="4" w:space="0" w:color="auto"/>
              <w:right w:val="nil"/>
            </w:tcBorders>
            <w:tcMar>
              <w:top w:w="-1" w:type="dxa"/>
              <w:left w:w="-1" w:type="dxa"/>
              <w:bottom w:w="-1" w:type="dxa"/>
              <w:right w:w="-1" w:type="dxa"/>
            </w:tcMar>
            <w:vAlign w:val="center"/>
          </w:tcPr>
          <w:p w14:paraId="06667CE1"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Before intervention</w:t>
            </w:r>
          </w:p>
        </w:tc>
        <w:tc>
          <w:tcPr>
            <w:tcW w:w="457" w:type="pct"/>
            <w:tcBorders>
              <w:top w:val="single" w:sz="4" w:space="0" w:color="auto"/>
              <w:left w:val="nil"/>
              <w:bottom w:val="single" w:sz="4" w:space="0" w:color="auto"/>
              <w:right w:val="nil"/>
            </w:tcBorders>
            <w:tcMar>
              <w:top w:w="-1" w:type="dxa"/>
              <w:left w:w="-1" w:type="dxa"/>
              <w:bottom w:w="-1" w:type="dxa"/>
              <w:right w:w="-1" w:type="dxa"/>
            </w:tcMar>
            <w:vAlign w:val="center"/>
          </w:tcPr>
          <w:p w14:paraId="24D18AB3"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After intervention</w:t>
            </w:r>
          </w:p>
        </w:tc>
        <w:tc>
          <w:tcPr>
            <w:tcW w:w="457" w:type="pct"/>
            <w:tcBorders>
              <w:top w:val="single" w:sz="4" w:space="0" w:color="auto"/>
              <w:left w:val="nil"/>
              <w:bottom w:val="single" w:sz="4" w:space="0" w:color="auto"/>
              <w:right w:val="nil"/>
            </w:tcBorders>
            <w:tcMar>
              <w:top w:w="-1" w:type="dxa"/>
              <w:left w:w="-1" w:type="dxa"/>
              <w:bottom w:w="-1" w:type="dxa"/>
              <w:right w:w="-1" w:type="dxa"/>
            </w:tcMar>
            <w:vAlign w:val="center"/>
          </w:tcPr>
          <w:p w14:paraId="15C2A908"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Before intervention</w:t>
            </w:r>
          </w:p>
        </w:tc>
        <w:tc>
          <w:tcPr>
            <w:tcW w:w="457" w:type="pct"/>
            <w:tcBorders>
              <w:top w:val="single" w:sz="4" w:space="0" w:color="auto"/>
              <w:left w:val="nil"/>
              <w:bottom w:val="single" w:sz="4" w:space="0" w:color="auto"/>
              <w:right w:val="nil"/>
            </w:tcBorders>
            <w:tcMar>
              <w:top w:w="-1" w:type="dxa"/>
              <w:left w:w="-1" w:type="dxa"/>
              <w:bottom w:w="-1" w:type="dxa"/>
              <w:right w:w="-1" w:type="dxa"/>
            </w:tcMar>
            <w:vAlign w:val="center"/>
          </w:tcPr>
          <w:p w14:paraId="67DB4DA1"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After intervention</w:t>
            </w:r>
          </w:p>
        </w:tc>
        <w:tc>
          <w:tcPr>
            <w:tcW w:w="457" w:type="pct"/>
            <w:tcBorders>
              <w:top w:val="single" w:sz="4" w:space="0" w:color="auto"/>
              <w:left w:val="nil"/>
              <w:bottom w:val="single" w:sz="4" w:space="0" w:color="auto"/>
              <w:right w:val="nil"/>
            </w:tcBorders>
            <w:tcMar>
              <w:top w:w="-1" w:type="dxa"/>
              <w:left w:w="-1" w:type="dxa"/>
              <w:bottom w:w="-1" w:type="dxa"/>
              <w:right w:w="-1" w:type="dxa"/>
            </w:tcMar>
            <w:vAlign w:val="center"/>
          </w:tcPr>
          <w:p w14:paraId="633DFC64"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Before intervention</w:t>
            </w:r>
          </w:p>
        </w:tc>
        <w:tc>
          <w:tcPr>
            <w:tcW w:w="457" w:type="pct"/>
            <w:tcBorders>
              <w:top w:val="single" w:sz="4" w:space="0" w:color="auto"/>
              <w:left w:val="nil"/>
              <w:bottom w:val="single" w:sz="4" w:space="0" w:color="auto"/>
              <w:right w:val="nil"/>
            </w:tcBorders>
            <w:tcMar>
              <w:top w:w="-1" w:type="dxa"/>
              <w:left w:w="-1" w:type="dxa"/>
              <w:bottom w:w="-1" w:type="dxa"/>
              <w:right w:w="-1" w:type="dxa"/>
            </w:tcMar>
            <w:vAlign w:val="center"/>
          </w:tcPr>
          <w:p w14:paraId="5C087F8A"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After intervention</w:t>
            </w:r>
          </w:p>
        </w:tc>
        <w:tc>
          <w:tcPr>
            <w:tcW w:w="457" w:type="pct"/>
            <w:tcBorders>
              <w:top w:val="single" w:sz="4" w:space="0" w:color="auto"/>
              <w:left w:val="nil"/>
              <w:bottom w:val="single" w:sz="4" w:space="0" w:color="auto"/>
              <w:right w:val="nil"/>
            </w:tcBorders>
            <w:tcMar>
              <w:top w:w="-1" w:type="dxa"/>
              <w:left w:w="-1" w:type="dxa"/>
              <w:bottom w:w="-1" w:type="dxa"/>
              <w:right w:w="-1" w:type="dxa"/>
            </w:tcMar>
            <w:vAlign w:val="center"/>
          </w:tcPr>
          <w:p w14:paraId="4D11AA99"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Before intervention</w:t>
            </w:r>
          </w:p>
        </w:tc>
        <w:tc>
          <w:tcPr>
            <w:tcW w:w="457" w:type="pct"/>
            <w:tcBorders>
              <w:top w:val="single" w:sz="4" w:space="0" w:color="auto"/>
              <w:left w:val="nil"/>
              <w:bottom w:val="single" w:sz="4" w:space="0" w:color="auto"/>
              <w:right w:val="nil"/>
            </w:tcBorders>
            <w:tcMar>
              <w:top w:w="-1" w:type="dxa"/>
              <w:left w:w="-1" w:type="dxa"/>
              <w:bottom w:w="-1" w:type="dxa"/>
              <w:right w:w="-1" w:type="dxa"/>
            </w:tcMar>
            <w:vAlign w:val="center"/>
          </w:tcPr>
          <w:p w14:paraId="39CA84C7" w14:textId="77777777" w:rsidR="002747F3" w:rsidRDefault="002747F3" w:rsidP="002747F3">
            <w:pPr>
              <w:keepNext/>
              <w:snapToGrid w:val="0"/>
              <w:jc w:val="center"/>
              <w:rPr>
                <w:rFonts w:ascii="Times New Roman" w:hAnsi="Times New Roman" w:cs="Times New Roman"/>
                <w:b/>
                <w:bCs/>
                <w:sz w:val="24"/>
              </w:rPr>
            </w:pPr>
            <w:r>
              <w:rPr>
                <w:rFonts w:ascii="Times New Roman" w:eastAsia="Segoe UI" w:hAnsi="Times New Roman" w:cs="Times New Roman"/>
                <w:b/>
                <w:bCs/>
                <w:color w:val="0F1115"/>
                <w:sz w:val="24"/>
                <w:shd w:val="clear" w:color="auto" w:fill="FFFFFF"/>
              </w:rPr>
              <w:t>After intervention</w:t>
            </w:r>
          </w:p>
        </w:tc>
      </w:tr>
      <w:tr w:rsidR="003739CD" w14:paraId="23D51E4D" w14:textId="77777777" w:rsidTr="002747F3">
        <w:trPr>
          <w:tblHeader/>
          <w:jc w:val="center"/>
        </w:trPr>
        <w:tc>
          <w:tcPr>
            <w:tcW w:w="429" w:type="pct"/>
            <w:tcBorders>
              <w:top w:val="single" w:sz="4" w:space="0" w:color="auto"/>
              <w:left w:val="nil"/>
              <w:bottom w:val="nil"/>
              <w:right w:val="nil"/>
            </w:tcBorders>
            <w:tcMar>
              <w:top w:w="-1" w:type="dxa"/>
              <w:left w:w="-1" w:type="dxa"/>
              <w:bottom w:w="-1" w:type="dxa"/>
              <w:right w:w="-1" w:type="dxa"/>
            </w:tcMar>
            <w:vAlign w:val="center"/>
          </w:tcPr>
          <w:p w14:paraId="2BD58973" w14:textId="2944CCD5" w:rsidR="003739CD" w:rsidRDefault="006E0A48" w:rsidP="00E70375">
            <w:pPr>
              <w:keepNext/>
              <w:snapToGrid w:val="0"/>
              <w:jc w:val="left"/>
              <w:rPr>
                <w:rFonts w:ascii="Times New Roman" w:hAnsi="Times New Roman" w:cs="Times New Roman"/>
                <w:sz w:val="24"/>
              </w:rPr>
            </w:pPr>
            <w:r>
              <w:rPr>
                <w:rFonts w:ascii="Times New Roman" w:eastAsia="Segoe UI" w:hAnsi="Times New Roman" w:cs="Times New Roman"/>
                <w:color w:val="0F1115"/>
                <w:sz w:val="24"/>
                <w:shd w:val="clear" w:color="auto" w:fill="FFFFFF"/>
              </w:rPr>
              <w:t>Observation group (n</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40)</w:t>
            </w:r>
          </w:p>
        </w:tc>
        <w:tc>
          <w:tcPr>
            <w:tcW w:w="458" w:type="pct"/>
            <w:tcBorders>
              <w:top w:val="single" w:sz="4" w:space="0" w:color="auto"/>
              <w:left w:val="nil"/>
              <w:bottom w:val="nil"/>
              <w:right w:val="nil"/>
            </w:tcBorders>
            <w:tcMar>
              <w:top w:w="-1" w:type="dxa"/>
              <w:left w:w="-1" w:type="dxa"/>
              <w:bottom w:w="-1" w:type="dxa"/>
              <w:right w:w="-1" w:type="dxa"/>
            </w:tcMar>
            <w:vAlign w:val="center"/>
          </w:tcPr>
          <w:p w14:paraId="3A06DE24" w14:textId="443F1AFE"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18.24</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2.15</w:t>
            </w:r>
          </w:p>
        </w:tc>
        <w:tc>
          <w:tcPr>
            <w:tcW w:w="458" w:type="pct"/>
            <w:tcBorders>
              <w:top w:val="single" w:sz="4" w:space="0" w:color="auto"/>
              <w:left w:val="nil"/>
              <w:bottom w:val="nil"/>
              <w:right w:val="nil"/>
            </w:tcBorders>
            <w:tcMar>
              <w:top w:w="-1" w:type="dxa"/>
              <w:left w:w="-1" w:type="dxa"/>
              <w:bottom w:w="-1" w:type="dxa"/>
              <w:right w:w="-1" w:type="dxa"/>
            </w:tcMar>
            <w:vAlign w:val="center"/>
          </w:tcPr>
          <w:p w14:paraId="3484CAFE" w14:textId="43FB5332"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23.71</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1.06</w:t>
            </w:r>
          </w:p>
        </w:tc>
        <w:tc>
          <w:tcPr>
            <w:tcW w:w="457" w:type="pct"/>
            <w:tcBorders>
              <w:top w:val="single" w:sz="4" w:space="0" w:color="auto"/>
              <w:left w:val="nil"/>
              <w:bottom w:val="nil"/>
              <w:right w:val="nil"/>
            </w:tcBorders>
            <w:tcMar>
              <w:top w:w="-1" w:type="dxa"/>
              <w:left w:w="-1" w:type="dxa"/>
              <w:bottom w:w="-1" w:type="dxa"/>
              <w:right w:w="-1" w:type="dxa"/>
            </w:tcMar>
            <w:vAlign w:val="center"/>
          </w:tcPr>
          <w:p w14:paraId="656C49CA" w14:textId="1BB38599"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17.92</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2.33</w:t>
            </w:r>
          </w:p>
        </w:tc>
        <w:tc>
          <w:tcPr>
            <w:tcW w:w="457" w:type="pct"/>
            <w:tcBorders>
              <w:top w:val="single" w:sz="4" w:space="0" w:color="auto"/>
              <w:left w:val="nil"/>
              <w:bottom w:val="nil"/>
              <w:right w:val="nil"/>
            </w:tcBorders>
            <w:tcMar>
              <w:top w:w="-1" w:type="dxa"/>
              <w:left w:w="-1" w:type="dxa"/>
              <w:bottom w:w="-1" w:type="dxa"/>
              <w:right w:w="-1" w:type="dxa"/>
            </w:tcMar>
            <w:vAlign w:val="center"/>
          </w:tcPr>
          <w:p w14:paraId="0657AA38" w14:textId="51190FA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23.64</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1.12</w:t>
            </w:r>
          </w:p>
        </w:tc>
        <w:tc>
          <w:tcPr>
            <w:tcW w:w="457" w:type="pct"/>
            <w:tcBorders>
              <w:top w:val="single" w:sz="4" w:space="0" w:color="auto"/>
              <w:left w:val="nil"/>
              <w:bottom w:val="nil"/>
              <w:right w:val="nil"/>
            </w:tcBorders>
            <w:tcMar>
              <w:top w:w="-1" w:type="dxa"/>
              <w:left w:w="-1" w:type="dxa"/>
              <w:bottom w:w="-1" w:type="dxa"/>
              <w:right w:w="-1" w:type="dxa"/>
            </w:tcMar>
            <w:vAlign w:val="center"/>
          </w:tcPr>
          <w:p w14:paraId="6C29E608" w14:textId="497A6809"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16.58</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2.64</w:t>
            </w:r>
          </w:p>
        </w:tc>
        <w:tc>
          <w:tcPr>
            <w:tcW w:w="457" w:type="pct"/>
            <w:tcBorders>
              <w:top w:val="single" w:sz="4" w:space="0" w:color="auto"/>
              <w:left w:val="nil"/>
              <w:bottom w:val="nil"/>
              <w:right w:val="nil"/>
            </w:tcBorders>
            <w:tcMar>
              <w:top w:w="-1" w:type="dxa"/>
              <w:left w:w="-1" w:type="dxa"/>
              <w:bottom w:w="-1" w:type="dxa"/>
              <w:right w:w="-1" w:type="dxa"/>
            </w:tcMar>
            <w:vAlign w:val="center"/>
          </w:tcPr>
          <w:p w14:paraId="1E6AA9E2" w14:textId="77F61076"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23.59</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1.08</w:t>
            </w:r>
          </w:p>
        </w:tc>
        <w:tc>
          <w:tcPr>
            <w:tcW w:w="457" w:type="pct"/>
            <w:tcBorders>
              <w:top w:val="single" w:sz="4" w:space="0" w:color="auto"/>
              <w:left w:val="nil"/>
              <w:bottom w:val="nil"/>
              <w:right w:val="nil"/>
            </w:tcBorders>
            <w:tcMar>
              <w:top w:w="-1" w:type="dxa"/>
              <w:left w:w="-1" w:type="dxa"/>
              <w:bottom w:w="-1" w:type="dxa"/>
              <w:right w:w="-1" w:type="dxa"/>
            </w:tcMar>
            <w:vAlign w:val="center"/>
          </w:tcPr>
          <w:p w14:paraId="7D040902" w14:textId="35E26DFD"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17.31</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2.47</w:t>
            </w:r>
          </w:p>
        </w:tc>
        <w:tc>
          <w:tcPr>
            <w:tcW w:w="457" w:type="pct"/>
            <w:tcBorders>
              <w:top w:val="single" w:sz="4" w:space="0" w:color="auto"/>
              <w:left w:val="nil"/>
              <w:bottom w:val="nil"/>
              <w:right w:val="nil"/>
            </w:tcBorders>
            <w:tcMar>
              <w:top w:w="-1" w:type="dxa"/>
              <w:left w:w="-1" w:type="dxa"/>
              <w:bottom w:w="-1" w:type="dxa"/>
              <w:right w:w="-1" w:type="dxa"/>
            </w:tcMar>
            <w:vAlign w:val="center"/>
          </w:tcPr>
          <w:p w14:paraId="1EDA7DA0" w14:textId="4AA244C6"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23.83</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0.97</w:t>
            </w:r>
          </w:p>
        </w:tc>
        <w:tc>
          <w:tcPr>
            <w:tcW w:w="457" w:type="pct"/>
            <w:tcBorders>
              <w:top w:val="single" w:sz="4" w:space="0" w:color="auto"/>
              <w:left w:val="nil"/>
              <w:bottom w:val="nil"/>
              <w:right w:val="nil"/>
            </w:tcBorders>
            <w:tcMar>
              <w:top w:w="-1" w:type="dxa"/>
              <w:left w:w="-1" w:type="dxa"/>
              <w:bottom w:w="-1" w:type="dxa"/>
              <w:right w:w="-1" w:type="dxa"/>
            </w:tcMar>
            <w:vAlign w:val="center"/>
          </w:tcPr>
          <w:p w14:paraId="3F122C2E" w14:textId="4E352CCE"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70.05</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6.28</w:t>
            </w:r>
          </w:p>
        </w:tc>
        <w:tc>
          <w:tcPr>
            <w:tcW w:w="457" w:type="pct"/>
            <w:tcBorders>
              <w:top w:val="single" w:sz="4" w:space="0" w:color="auto"/>
              <w:left w:val="nil"/>
              <w:bottom w:val="nil"/>
              <w:right w:val="nil"/>
            </w:tcBorders>
            <w:tcMar>
              <w:top w:w="-1" w:type="dxa"/>
              <w:left w:w="-1" w:type="dxa"/>
              <w:bottom w:w="-1" w:type="dxa"/>
              <w:right w:w="-1" w:type="dxa"/>
            </w:tcMar>
            <w:vAlign w:val="center"/>
          </w:tcPr>
          <w:p w14:paraId="3735BE5F" w14:textId="6904C29C"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94.77</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3.15</w:t>
            </w:r>
          </w:p>
        </w:tc>
      </w:tr>
      <w:tr w:rsidR="003739CD" w14:paraId="394EB4A3" w14:textId="77777777" w:rsidTr="002747F3">
        <w:trPr>
          <w:tblHeader/>
          <w:jc w:val="center"/>
        </w:trPr>
        <w:tc>
          <w:tcPr>
            <w:tcW w:w="429" w:type="pct"/>
            <w:tcBorders>
              <w:top w:val="nil"/>
              <w:left w:val="nil"/>
              <w:bottom w:val="nil"/>
              <w:right w:val="nil"/>
            </w:tcBorders>
            <w:tcMar>
              <w:top w:w="-1" w:type="dxa"/>
              <w:left w:w="-1" w:type="dxa"/>
              <w:bottom w:w="-1" w:type="dxa"/>
              <w:right w:w="-1" w:type="dxa"/>
            </w:tcMar>
            <w:vAlign w:val="center"/>
          </w:tcPr>
          <w:p w14:paraId="41F83701" w14:textId="76BC5F9B" w:rsidR="003739CD" w:rsidRDefault="006E0A48" w:rsidP="00E70375">
            <w:pPr>
              <w:keepNext/>
              <w:snapToGrid w:val="0"/>
              <w:jc w:val="left"/>
              <w:rPr>
                <w:rFonts w:ascii="Times New Roman" w:hAnsi="Times New Roman" w:cs="Times New Roman"/>
                <w:sz w:val="24"/>
              </w:rPr>
            </w:pPr>
            <w:r>
              <w:rPr>
                <w:rFonts w:ascii="Times New Roman" w:eastAsia="Segoe UI" w:hAnsi="Times New Roman" w:cs="Times New Roman"/>
                <w:color w:val="0F1115"/>
                <w:sz w:val="24"/>
                <w:shd w:val="clear" w:color="auto" w:fill="FFFFFF"/>
              </w:rPr>
              <w:t>Control group (n</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40)</w:t>
            </w:r>
          </w:p>
        </w:tc>
        <w:tc>
          <w:tcPr>
            <w:tcW w:w="458" w:type="pct"/>
            <w:tcBorders>
              <w:top w:val="nil"/>
              <w:left w:val="nil"/>
              <w:bottom w:val="nil"/>
              <w:right w:val="nil"/>
            </w:tcBorders>
            <w:tcMar>
              <w:top w:w="-1" w:type="dxa"/>
              <w:left w:w="-1" w:type="dxa"/>
              <w:bottom w:w="-1" w:type="dxa"/>
              <w:right w:w="-1" w:type="dxa"/>
            </w:tcMar>
            <w:vAlign w:val="center"/>
          </w:tcPr>
          <w:p w14:paraId="6A6302B1" w14:textId="76AACA76"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18.31</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2.21</w:t>
            </w:r>
          </w:p>
        </w:tc>
        <w:tc>
          <w:tcPr>
            <w:tcW w:w="458" w:type="pct"/>
            <w:tcBorders>
              <w:top w:val="nil"/>
              <w:left w:val="nil"/>
              <w:bottom w:val="nil"/>
              <w:right w:val="nil"/>
            </w:tcBorders>
            <w:tcMar>
              <w:top w:w="-1" w:type="dxa"/>
              <w:left w:w="-1" w:type="dxa"/>
              <w:bottom w:w="-1" w:type="dxa"/>
              <w:right w:w="-1" w:type="dxa"/>
            </w:tcMar>
            <w:vAlign w:val="center"/>
          </w:tcPr>
          <w:p w14:paraId="736B3EA1" w14:textId="1126115F"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20.15</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1.78</w:t>
            </w:r>
          </w:p>
        </w:tc>
        <w:tc>
          <w:tcPr>
            <w:tcW w:w="457" w:type="pct"/>
            <w:tcBorders>
              <w:top w:val="nil"/>
              <w:left w:val="nil"/>
              <w:bottom w:val="nil"/>
              <w:right w:val="nil"/>
            </w:tcBorders>
            <w:tcMar>
              <w:top w:w="-1" w:type="dxa"/>
              <w:left w:w="-1" w:type="dxa"/>
              <w:bottom w:w="-1" w:type="dxa"/>
              <w:right w:w="-1" w:type="dxa"/>
            </w:tcMar>
            <w:vAlign w:val="center"/>
          </w:tcPr>
          <w:p w14:paraId="744E89C4" w14:textId="7C7530C4"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17.87</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2.41</w:t>
            </w:r>
          </w:p>
        </w:tc>
        <w:tc>
          <w:tcPr>
            <w:tcW w:w="457" w:type="pct"/>
            <w:tcBorders>
              <w:top w:val="nil"/>
              <w:left w:val="nil"/>
              <w:bottom w:val="nil"/>
              <w:right w:val="nil"/>
            </w:tcBorders>
            <w:tcMar>
              <w:top w:w="-1" w:type="dxa"/>
              <w:left w:w="-1" w:type="dxa"/>
              <w:bottom w:w="-1" w:type="dxa"/>
              <w:right w:w="-1" w:type="dxa"/>
            </w:tcMar>
            <w:vAlign w:val="center"/>
          </w:tcPr>
          <w:p w14:paraId="040817F9" w14:textId="36DCC571"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19.72</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1.94</w:t>
            </w:r>
          </w:p>
        </w:tc>
        <w:tc>
          <w:tcPr>
            <w:tcW w:w="457" w:type="pct"/>
            <w:tcBorders>
              <w:top w:val="nil"/>
              <w:left w:val="nil"/>
              <w:bottom w:val="nil"/>
              <w:right w:val="nil"/>
            </w:tcBorders>
            <w:tcMar>
              <w:top w:w="-1" w:type="dxa"/>
              <w:left w:w="-1" w:type="dxa"/>
              <w:bottom w:w="-1" w:type="dxa"/>
              <w:right w:w="-1" w:type="dxa"/>
            </w:tcMar>
            <w:vAlign w:val="center"/>
          </w:tcPr>
          <w:p w14:paraId="458C50FF" w14:textId="4E8F4BCD"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16.63</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2.59</w:t>
            </w:r>
          </w:p>
        </w:tc>
        <w:tc>
          <w:tcPr>
            <w:tcW w:w="457" w:type="pct"/>
            <w:tcBorders>
              <w:top w:val="nil"/>
              <w:left w:val="nil"/>
              <w:bottom w:val="nil"/>
              <w:right w:val="nil"/>
            </w:tcBorders>
            <w:tcMar>
              <w:top w:w="-1" w:type="dxa"/>
              <w:left w:w="-1" w:type="dxa"/>
              <w:bottom w:w="-1" w:type="dxa"/>
              <w:right w:w="-1" w:type="dxa"/>
            </w:tcMar>
            <w:vAlign w:val="center"/>
          </w:tcPr>
          <w:p w14:paraId="330C208D" w14:textId="6A5BE9D0"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19.54</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2.06</w:t>
            </w:r>
          </w:p>
        </w:tc>
        <w:tc>
          <w:tcPr>
            <w:tcW w:w="457" w:type="pct"/>
            <w:tcBorders>
              <w:top w:val="nil"/>
              <w:left w:val="nil"/>
              <w:bottom w:val="nil"/>
              <w:right w:val="nil"/>
            </w:tcBorders>
            <w:tcMar>
              <w:top w:w="-1" w:type="dxa"/>
              <w:left w:w="-1" w:type="dxa"/>
              <w:bottom w:w="-1" w:type="dxa"/>
              <w:right w:w="-1" w:type="dxa"/>
            </w:tcMar>
            <w:vAlign w:val="center"/>
          </w:tcPr>
          <w:p w14:paraId="734999DC" w14:textId="6325B171"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17.26</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2.52</w:t>
            </w:r>
          </w:p>
        </w:tc>
        <w:tc>
          <w:tcPr>
            <w:tcW w:w="457" w:type="pct"/>
            <w:tcBorders>
              <w:top w:val="nil"/>
              <w:left w:val="nil"/>
              <w:bottom w:val="nil"/>
              <w:right w:val="nil"/>
            </w:tcBorders>
            <w:tcMar>
              <w:top w:w="-1" w:type="dxa"/>
              <w:left w:w="-1" w:type="dxa"/>
              <w:bottom w:w="-1" w:type="dxa"/>
              <w:right w:w="-1" w:type="dxa"/>
            </w:tcMar>
            <w:vAlign w:val="center"/>
          </w:tcPr>
          <w:p w14:paraId="69A0888D" w14:textId="381536EF"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19.38</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1.85</w:t>
            </w:r>
          </w:p>
        </w:tc>
        <w:tc>
          <w:tcPr>
            <w:tcW w:w="457" w:type="pct"/>
            <w:tcBorders>
              <w:top w:val="nil"/>
              <w:left w:val="nil"/>
              <w:bottom w:val="nil"/>
              <w:right w:val="nil"/>
            </w:tcBorders>
            <w:tcMar>
              <w:top w:w="-1" w:type="dxa"/>
              <w:left w:w="-1" w:type="dxa"/>
              <w:bottom w:w="-1" w:type="dxa"/>
              <w:right w:w="-1" w:type="dxa"/>
            </w:tcMar>
            <w:vAlign w:val="center"/>
          </w:tcPr>
          <w:p w14:paraId="4EA37E56" w14:textId="20E94478"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70.07</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6.35</w:t>
            </w:r>
          </w:p>
        </w:tc>
        <w:tc>
          <w:tcPr>
            <w:tcW w:w="457" w:type="pct"/>
            <w:tcBorders>
              <w:top w:val="nil"/>
              <w:left w:val="nil"/>
              <w:bottom w:val="nil"/>
              <w:right w:val="nil"/>
            </w:tcBorders>
            <w:tcMar>
              <w:top w:w="-1" w:type="dxa"/>
              <w:left w:w="-1" w:type="dxa"/>
              <w:bottom w:w="-1" w:type="dxa"/>
              <w:right w:w="-1" w:type="dxa"/>
            </w:tcMar>
            <w:vAlign w:val="center"/>
          </w:tcPr>
          <w:p w14:paraId="71327F68" w14:textId="2FF47AAC"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78.79</w:t>
            </w:r>
            <w:r w:rsidR="002747F3">
              <w:rPr>
                <w:rFonts w:ascii="Times New Roman" w:eastAsia="Segoe UI" w:hAnsi="Times New Roman" w:cs="Times New Roman"/>
                <w:color w:val="0F1115"/>
                <w:sz w:val="24"/>
                <w:shd w:val="clear" w:color="auto" w:fill="FFFFFF"/>
              </w:rPr>
              <w:t xml:space="preserve"> ± </w:t>
            </w:r>
            <w:r>
              <w:rPr>
                <w:rFonts w:ascii="Times New Roman" w:eastAsia="Segoe UI" w:hAnsi="Times New Roman" w:cs="Times New Roman"/>
                <w:color w:val="0F1115"/>
                <w:sz w:val="24"/>
                <w:shd w:val="clear" w:color="auto" w:fill="FFFFFF"/>
              </w:rPr>
              <w:t>5.26</w:t>
            </w:r>
          </w:p>
        </w:tc>
      </w:tr>
      <w:tr w:rsidR="003739CD" w14:paraId="17B7DB78" w14:textId="77777777" w:rsidTr="002747F3">
        <w:trPr>
          <w:tblHeader/>
          <w:jc w:val="center"/>
        </w:trPr>
        <w:tc>
          <w:tcPr>
            <w:tcW w:w="429" w:type="pct"/>
            <w:tcBorders>
              <w:top w:val="nil"/>
              <w:left w:val="nil"/>
              <w:bottom w:val="nil"/>
              <w:right w:val="nil"/>
            </w:tcBorders>
            <w:tcMar>
              <w:top w:w="-1" w:type="dxa"/>
              <w:left w:w="-1" w:type="dxa"/>
              <w:bottom w:w="-1" w:type="dxa"/>
              <w:right w:w="-1" w:type="dxa"/>
            </w:tcMar>
            <w:vAlign w:val="center"/>
          </w:tcPr>
          <w:p w14:paraId="1B74B4CC" w14:textId="77777777" w:rsidR="003739CD" w:rsidRDefault="006E0A48" w:rsidP="00E70375">
            <w:pPr>
              <w:keepNext/>
              <w:snapToGrid w:val="0"/>
              <w:jc w:val="left"/>
              <w:rPr>
                <w:rFonts w:ascii="Times New Roman" w:hAnsi="Times New Roman" w:cs="Times New Roman"/>
                <w:i/>
                <w:iCs/>
                <w:sz w:val="24"/>
              </w:rPr>
            </w:pPr>
            <w:r>
              <w:rPr>
                <w:rFonts w:ascii="Times New Roman" w:eastAsia="Segoe UI" w:hAnsi="Times New Roman" w:cs="Times New Roman"/>
                <w:i/>
                <w:iCs/>
                <w:color w:val="0F1115"/>
                <w:sz w:val="24"/>
                <w:shd w:val="clear" w:color="auto" w:fill="FFFFFF"/>
              </w:rPr>
              <w:t xml:space="preserve">t </w:t>
            </w:r>
          </w:p>
        </w:tc>
        <w:tc>
          <w:tcPr>
            <w:tcW w:w="458" w:type="pct"/>
            <w:tcBorders>
              <w:top w:val="nil"/>
              <w:left w:val="nil"/>
              <w:bottom w:val="nil"/>
              <w:right w:val="nil"/>
            </w:tcBorders>
            <w:tcMar>
              <w:top w:w="-1" w:type="dxa"/>
              <w:left w:w="-1" w:type="dxa"/>
              <w:bottom w:w="-1" w:type="dxa"/>
              <w:right w:w="-1" w:type="dxa"/>
            </w:tcMar>
            <w:vAlign w:val="center"/>
          </w:tcPr>
          <w:p w14:paraId="6748B8F1"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0.138</w:t>
            </w:r>
          </w:p>
        </w:tc>
        <w:tc>
          <w:tcPr>
            <w:tcW w:w="458" w:type="pct"/>
            <w:tcBorders>
              <w:top w:val="nil"/>
              <w:left w:val="nil"/>
              <w:bottom w:val="nil"/>
              <w:right w:val="nil"/>
            </w:tcBorders>
            <w:tcMar>
              <w:top w:w="-1" w:type="dxa"/>
              <w:left w:w="-1" w:type="dxa"/>
              <w:bottom w:w="-1" w:type="dxa"/>
              <w:right w:w="-1" w:type="dxa"/>
            </w:tcMar>
            <w:vAlign w:val="center"/>
          </w:tcPr>
          <w:p w14:paraId="6BEBF6A6"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11.087</w:t>
            </w:r>
          </w:p>
        </w:tc>
        <w:tc>
          <w:tcPr>
            <w:tcW w:w="457" w:type="pct"/>
            <w:tcBorders>
              <w:top w:val="nil"/>
              <w:left w:val="nil"/>
              <w:bottom w:val="nil"/>
              <w:right w:val="nil"/>
            </w:tcBorders>
            <w:tcMar>
              <w:top w:w="-1" w:type="dxa"/>
              <w:left w:w="-1" w:type="dxa"/>
              <w:bottom w:w="-1" w:type="dxa"/>
              <w:right w:w="-1" w:type="dxa"/>
            </w:tcMar>
            <w:vAlign w:val="center"/>
          </w:tcPr>
          <w:p w14:paraId="56623D3B"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0.092</w:t>
            </w:r>
          </w:p>
        </w:tc>
        <w:tc>
          <w:tcPr>
            <w:tcW w:w="457" w:type="pct"/>
            <w:tcBorders>
              <w:top w:val="nil"/>
              <w:left w:val="nil"/>
              <w:bottom w:val="nil"/>
              <w:right w:val="nil"/>
            </w:tcBorders>
            <w:tcMar>
              <w:top w:w="-1" w:type="dxa"/>
              <w:left w:w="-1" w:type="dxa"/>
              <w:bottom w:w="-1" w:type="dxa"/>
              <w:right w:w="-1" w:type="dxa"/>
            </w:tcMar>
            <w:vAlign w:val="center"/>
          </w:tcPr>
          <w:p w14:paraId="11D3F540"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11.126</w:t>
            </w:r>
          </w:p>
        </w:tc>
        <w:tc>
          <w:tcPr>
            <w:tcW w:w="457" w:type="pct"/>
            <w:tcBorders>
              <w:top w:val="nil"/>
              <w:left w:val="nil"/>
              <w:bottom w:val="nil"/>
              <w:right w:val="nil"/>
            </w:tcBorders>
            <w:tcMar>
              <w:top w:w="-1" w:type="dxa"/>
              <w:left w:w="-1" w:type="dxa"/>
              <w:bottom w:w="-1" w:type="dxa"/>
              <w:right w:w="-1" w:type="dxa"/>
            </w:tcMar>
            <w:vAlign w:val="center"/>
          </w:tcPr>
          <w:p w14:paraId="0B74528C"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0.084</w:t>
            </w:r>
          </w:p>
        </w:tc>
        <w:tc>
          <w:tcPr>
            <w:tcW w:w="457" w:type="pct"/>
            <w:tcBorders>
              <w:top w:val="nil"/>
              <w:left w:val="nil"/>
              <w:bottom w:val="nil"/>
              <w:right w:val="nil"/>
            </w:tcBorders>
            <w:tcMar>
              <w:top w:w="-1" w:type="dxa"/>
              <w:left w:w="-1" w:type="dxa"/>
              <w:bottom w:w="-1" w:type="dxa"/>
              <w:right w:w="-1" w:type="dxa"/>
            </w:tcMar>
            <w:vAlign w:val="center"/>
          </w:tcPr>
          <w:p w14:paraId="088F847A"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10.974</w:t>
            </w:r>
          </w:p>
        </w:tc>
        <w:tc>
          <w:tcPr>
            <w:tcW w:w="457" w:type="pct"/>
            <w:tcBorders>
              <w:top w:val="nil"/>
              <w:left w:val="nil"/>
              <w:bottom w:val="nil"/>
              <w:right w:val="nil"/>
            </w:tcBorders>
            <w:tcMar>
              <w:top w:w="-1" w:type="dxa"/>
              <w:left w:w="-1" w:type="dxa"/>
              <w:bottom w:w="-1" w:type="dxa"/>
              <w:right w:w="-1" w:type="dxa"/>
            </w:tcMar>
            <w:vAlign w:val="center"/>
          </w:tcPr>
          <w:p w14:paraId="04D9F7F8"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0.087</w:t>
            </w:r>
          </w:p>
        </w:tc>
        <w:tc>
          <w:tcPr>
            <w:tcW w:w="457" w:type="pct"/>
            <w:tcBorders>
              <w:top w:val="nil"/>
              <w:left w:val="nil"/>
              <w:bottom w:val="nil"/>
              <w:right w:val="nil"/>
            </w:tcBorders>
            <w:tcMar>
              <w:top w:w="-1" w:type="dxa"/>
              <w:left w:w="-1" w:type="dxa"/>
              <w:bottom w:w="-1" w:type="dxa"/>
              <w:right w:w="-1" w:type="dxa"/>
            </w:tcMar>
            <w:vAlign w:val="center"/>
          </w:tcPr>
          <w:p w14:paraId="390A88AF"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13.702</w:t>
            </w:r>
          </w:p>
        </w:tc>
        <w:tc>
          <w:tcPr>
            <w:tcW w:w="457" w:type="pct"/>
            <w:tcBorders>
              <w:top w:val="nil"/>
              <w:left w:val="nil"/>
              <w:bottom w:val="nil"/>
              <w:right w:val="nil"/>
            </w:tcBorders>
            <w:tcMar>
              <w:top w:w="-1" w:type="dxa"/>
              <w:left w:w="-1" w:type="dxa"/>
              <w:bottom w:w="-1" w:type="dxa"/>
              <w:right w:w="-1" w:type="dxa"/>
            </w:tcMar>
            <w:vAlign w:val="center"/>
          </w:tcPr>
          <w:p w14:paraId="642A8620"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0.014</w:t>
            </w:r>
          </w:p>
        </w:tc>
        <w:tc>
          <w:tcPr>
            <w:tcW w:w="457" w:type="pct"/>
            <w:tcBorders>
              <w:top w:val="nil"/>
              <w:left w:val="nil"/>
              <w:bottom w:val="nil"/>
              <w:right w:val="nil"/>
            </w:tcBorders>
            <w:tcMar>
              <w:top w:w="-1" w:type="dxa"/>
              <w:left w:w="-1" w:type="dxa"/>
              <w:bottom w:w="-1" w:type="dxa"/>
              <w:right w:w="-1" w:type="dxa"/>
            </w:tcMar>
            <w:vAlign w:val="center"/>
          </w:tcPr>
          <w:p w14:paraId="4E6870AF"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16.497</w:t>
            </w:r>
          </w:p>
        </w:tc>
      </w:tr>
      <w:tr w:rsidR="003739CD" w14:paraId="7DC44141" w14:textId="77777777" w:rsidTr="00E70375">
        <w:trPr>
          <w:tblHeader/>
          <w:jc w:val="center"/>
        </w:trPr>
        <w:tc>
          <w:tcPr>
            <w:tcW w:w="429" w:type="pct"/>
            <w:tcBorders>
              <w:top w:val="nil"/>
              <w:left w:val="nil"/>
              <w:bottom w:val="single" w:sz="4" w:space="0" w:color="auto"/>
              <w:right w:val="nil"/>
            </w:tcBorders>
            <w:tcMar>
              <w:top w:w="-1" w:type="dxa"/>
              <w:left w:w="-1" w:type="dxa"/>
              <w:bottom w:w="-1" w:type="dxa"/>
              <w:right w:w="-1" w:type="dxa"/>
            </w:tcMar>
            <w:vAlign w:val="center"/>
          </w:tcPr>
          <w:p w14:paraId="036B41AC" w14:textId="5112F279" w:rsidR="003739CD" w:rsidRDefault="002747F3" w:rsidP="00E70375">
            <w:pPr>
              <w:keepNext/>
              <w:snapToGrid w:val="0"/>
              <w:jc w:val="left"/>
              <w:rPr>
                <w:rFonts w:ascii="Times New Roman" w:hAnsi="Times New Roman" w:cs="Times New Roman"/>
                <w:i/>
                <w:iCs/>
                <w:sz w:val="24"/>
              </w:rPr>
            </w:pPr>
            <w:r>
              <w:rPr>
                <w:rFonts w:ascii="Times New Roman" w:eastAsia="Segoe UI" w:hAnsi="Times New Roman" w:cs="Times New Roman"/>
                <w:i/>
                <w:iCs/>
                <w:color w:val="0F1115"/>
                <w:sz w:val="24"/>
                <w:shd w:val="clear" w:color="auto" w:fill="FFFFFF"/>
              </w:rPr>
              <w:t>p</w:t>
            </w:r>
            <w:r w:rsidR="006E0A48">
              <w:rPr>
                <w:rFonts w:ascii="Times New Roman" w:eastAsia="Segoe UI" w:hAnsi="Times New Roman" w:cs="Times New Roman"/>
                <w:i/>
                <w:iCs/>
                <w:color w:val="0F1115"/>
                <w:sz w:val="24"/>
                <w:shd w:val="clear" w:color="auto" w:fill="FFFFFF"/>
              </w:rPr>
              <w:t xml:space="preserve"> </w:t>
            </w:r>
          </w:p>
        </w:tc>
        <w:tc>
          <w:tcPr>
            <w:tcW w:w="458" w:type="pct"/>
            <w:tcBorders>
              <w:top w:val="nil"/>
              <w:left w:val="nil"/>
              <w:bottom w:val="single" w:sz="4" w:space="0" w:color="auto"/>
              <w:right w:val="nil"/>
            </w:tcBorders>
            <w:tcMar>
              <w:top w:w="-1" w:type="dxa"/>
              <w:left w:w="-1" w:type="dxa"/>
              <w:bottom w:w="-1" w:type="dxa"/>
              <w:right w:w="-1" w:type="dxa"/>
            </w:tcMar>
            <w:vAlign w:val="center"/>
          </w:tcPr>
          <w:p w14:paraId="44C30401"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0.891</w:t>
            </w:r>
          </w:p>
        </w:tc>
        <w:tc>
          <w:tcPr>
            <w:tcW w:w="458" w:type="pct"/>
            <w:tcBorders>
              <w:top w:val="nil"/>
              <w:left w:val="nil"/>
              <w:bottom w:val="single" w:sz="4" w:space="0" w:color="auto"/>
              <w:right w:val="nil"/>
            </w:tcBorders>
            <w:tcMar>
              <w:top w:w="-1" w:type="dxa"/>
              <w:left w:w="-1" w:type="dxa"/>
              <w:bottom w:w="-1" w:type="dxa"/>
              <w:right w:w="-1" w:type="dxa"/>
            </w:tcMar>
            <w:vAlign w:val="center"/>
          </w:tcPr>
          <w:p w14:paraId="087D6DC3" w14:textId="0AB7FA1C"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&lt;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0.001</w:t>
            </w:r>
          </w:p>
        </w:tc>
        <w:tc>
          <w:tcPr>
            <w:tcW w:w="457" w:type="pct"/>
            <w:tcBorders>
              <w:top w:val="nil"/>
              <w:left w:val="nil"/>
              <w:bottom w:val="single" w:sz="4" w:space="0" w:color="auto"/>
              <w:right w:val="nil"/>
            </w:tcBorders>
            <w:tcMar>
              <w:top w:w="-1" w:type="dxa"/>
              <w:left w:w="-1" w:type="dxa"/>
              <w:bottom w:w="-1" w:type="dxa"/>
              <w:right w:w="-1" w:type="dxa"/>
            </w:tcMar>
            <w:vAlign w:val="center"/>
          </w:tcPr>
          <w:p w14:paraId="4EE88BAF"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0.927</w:t>
            </w:r>
          </w:p>
        </w:tc>
        <w:tc>
          <w:tcPr>
            <w:tcW w:w="457" w:type="pct"/>
            <w:tcBorders>
              <w:top w:val="nil"/>
              <w:left w:val="nil"/>
              <w:bottom w:val="single" w:sz="4" w:space="0" w:color="auto"/>
              <w:right w:val="nil"/>
            </w:tcBorders>
            <w:tcMar>
              <w:top w:w="-1" w:type="dxa"/>
              <w:left w:w="-1" w:type="dxa"/>
              <w:bottom w:w="-1" w:type="dxa"/>
              <w:right w:w="-1" w:type="dxa"/>
            </w:tcMar>
            <w:vAlign w:val="center"/>
          </w:tcPr>
          <w:p w14:paraId="4A439B1B" w14:textId="29264912"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&lt;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0.001</w:t>
            </w:r>
          </w:p>
        </w:tc>
        <w:tc>
          <w:tcPr>
            <w:tcW w:w="457" w:type="pct"/>
            <w:tcBorders>
              <w:top w:val="nil"/>
              <w:left w:val="nil"/>
              <w:bottom w:val="single" w:sz="4" w:space="0" w:color="auto"/>
              <w:right w:val="nil"/>
            </w:tcBorders>
            <w:tcMar>
              <w:top w:w="-1" w:type="dxa"/>
              <w:left w:w="-1" w:type="dxa"/>
              <w:bottom w:w="-1" w:type="dxa"/>
              <w:right w:w="-1" w:type="dxa"/>
            </w:tcMar>
            <w:vAlign w:val="center"/>
          </w:tcPr>
          <w:p w14:paraId="1EA22F2E"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0.933</w:t>
            </w:r>
          </w:p>
        </w:tc>
        <w:tc>
          <w:tcPr>
            <w:tcW w:w="457" w:type="pct"/>
            <w:tcBorders>
              <w:top w:val="nil"/>
              <w:left w:val="nil"/>
              <w:bottom w:val="single" w:sz="4" w:space="0" w:color="auto"/>
              <w:right w:val="nil"/>
            </w:tcBorders>
            <w:tcMar>
              <w:top w:w="-1" w:type="dxa"/>
              <w:left w:w="-1" w:type="dxa"/>
              <w:bottom w:w="-1" w:type="dxa"/>
              <w:right w:w="-1" w:type="dxa"/>
            </w:tcMar>
            <w:vAlign w:val="center"/>
          </w:tcPr>
          <w:p w14:paraId="4EF8BF6B" w14:textId="3CCE11D4"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&lt;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0.001</w:t>
            </w:r>
          </w:p>
        </w:tc>
        <w:tc>
          <w:tcPr>
            <w:tcW w:w="457" w:type="pct"/>
            <w:tcBorders>
              <w:top w:val="nil"/>
              <w:left w:val="nil"/>
              <w:bottom w:val="single" w:sz="4" w:space="0" w:color="auto"/>
              <w:right w:val="nil"/>
            </w:tcBorders>
            <w:tcMar>
              <w:top w:w="-1" w:type="dxa"/>
              <w:left w:w="-1" w:type="dxa"/>
              <w:bottom w:w="-1" w:type="dxa"/>
              <w:right w:w="-1" w:type="dxa"/>
            </w:tcMar>
            <w:vAlign w:val="center"/>
          </w:tcPr>
          <w:p w14:paraId="37D43F31"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0.931</w:t>
            </w:r>
          </w:p>
        </w:tc>
        <w:tc>
          <w:tcPr>
            <w:tcW w:w="457" w:type="pct"/>
            <w:tcBorders>
              <w:top w:val="nil"/>
              <w:left w:val="nil"/>
              <w:bottom w:val="single" w:sz="4" w:space="0" w:color="auto"/>
              <w:right w:val="nil"/>
            </w:tcBorders>
            <w:tcMar>
              <w:top w:w="-1" w:type="dxa"/>
              <w:left w:w="-1" w:type="dxa"/>
              <w:bottom w:w="-1" w:type="dxa"/>
              <w:right w:w="-1" w:type="dxa"/>
            </w:tcMar>
            <w:vAlign w:val="center"/>
          </w:tcPr>
          <w:p w14:paraId="6489140A" w14:textId="073D190B"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&lt;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0.001</w:t>
            </w:r>
          </w:p>
        </w:tc>
        <w:tc>
          <w:tcPr>
            <w:tcW w:w="457" w:type="pct"/>
            <w:tcBorders>
              <w:top w:val="nil"/>
              <w:left w:val="nil"/>
              <w:bottom w:val="single" w:sz="4" w:space="0" w:color="auto"/>
              <w:right w:val="nil"/>
            </w:tcBorders>
            <w:tcMar>
              <w:top w:w="-1" w:type="dxa"/>
              <w:left w:w="-1" w:type="dxa"/>
              <w:bottom w:w="-1" w:type="dxa"/>
              <w:right w:w="-1" w:type="dxa"/>
            </w:tcMar>
            <w:vAlign w:val="center"/>
          </w:tcPr>
          <w:p w14:paraId="79D2AA48" w14:textId="77777777"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0.989</w:t>
            </w:r>
          </w:p>
        </w:tc>
        <w:tc>
          <w:tcPr>
            <w:tcW w:w="457" w:type="pct"/>
            <w:tcBorders>
              <w:top w:val="nil"/>
              <w:left w:val="nil"/>
              <w:bottom w:val="single" w:sz="4" w:space="0" w:color="auto"/>
              <w:right w:val="nil"/>
            </w:tcBorders>
            <w:tcMar>
              <w:top w:w="-1" w:type="dxa"/>
              <w:left w:w="-1" w:type="dxa"/>
              <w:bottom w:w="-1" w:type="dxa"/>
              <w:right w:w="-1" w:type="dxa"/>
            </w:tcMar>
            <w:vAlign w:val="center"/>
          </w:tcPr>
          <w:p w14:paraId="21DB8684" w14:textId="2FC9A70E" w:rsidR="003739CD" w:rsidRDefault="006E0A48" w:rsidP="002747F3">
            <w:pPr>
              <w:keepNext/>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&lt;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0.001</w:t>
            </w:r>
          </w:p>
        </w:tc>
      </w:tr>
    </w:tbl>
    <w:p w14:paraId="6D084981" w14:textId="77777777" w:rsidR="003739CD" w:rsidRDefault="003739CD" w:rsidP="00E70375">
      <w:pPr>
        <w:pStyle w:val="NormalWeb"/>
        <w:widowControl/>
        <w:shd w:val="clear" w:color="auto" w:fill="FFFFFF"/>
        <w:snapToGrid w:val="0"/>
        <w:rPr>
          <w:rFonts w:ascii="Times New Roman" w:eastAsia="Segoe UI" w:hAnsi="Times New Roman" w:cs="Times New Roman"/>
          <w:color w:val="0F1115"/>
          <w:shd w:val="clear" w:color="auto" w:fill="FFFFFF"/>
        </w:rPr>
      </w:pPr>
    </w:p>
    <w:p w14:paraId="71F8D378" w14:textId="77777777" w:rsidR="003739CD" w:rsidRDefault="006E0A48" w:rsidP="00E70375">
      <w:pPr>
        <w:pStyle w:val="NormalWeb"/>
        <w:widowControl/>
        <w:shd w:val="clear" w:color="auto" w:fill="FFFFFF"/>
        <w:snapToGrid w:val="0"/>
        <w:rPr>
          <w:rFonts w:ascii="Times New Roman" w:eastAsia="Segoe UI" w:hAnsi="Times New Roman" w:cs="Times New Roman"/>
          <w:b/>
          <w:bCs/>
          <w:color w:val="0F1115"/>
        </w:rPr>
      </w:pPr>
      <w:r>
        <w:rPr>
          <w:rFonts w:ascii="Times New Roman" w:eastAsia="SimSun" w:hAnsi="Times New Roman" w:cs="Times New Roman" w:hint="eastAsia"/>
          <w:b/>
          <w:bCs/>
          <w:color w:val="0F1115"/>
          <w:shd w:val="clear" w:color="auto" w:fill="FFFFFF"/>
        </w:rPr>
        <w:lastRenderedPageBreak/>
        <w:t>3</w:t>
      </w:r>
      <w:r>
        <w:rPr>
          <w:rFonts w:ascii="Times New Roman" w:eastAsia="Segoe UI" w:hAnsi="Times New Roman" w:cs="Times New Roman"/>
          <w:b/>
          <w:bCs/>
          <w:color w:val="0F1115"/>
          <w:shd w:val="clear" w:color="auto" w:fill="FFFFFF"/>
        </w:rPr>
        <w:t>.4</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Comparison of the incidence of vaccine</w:t>
      </w:r>
      <w:r>
        <w:rPr>
          <w:rFonts w:ascii="Times New Roman" w:eastAsia="Segoe UI" w:hAnsi="Times New Roman" w:cs="Times New Roman"/>
          <w:b/>
          <w:bCs/>
          <w:color w:val="0F1115"/>
          <w:shd w:val="clear" w:color="auto" w:fill="FFFFFF"/>
        </w:rPr>
        <w:noBreakHyphen/>
      </w:r>
      <w:r>
        <w:rPr>
          <w:rFonts w:ascii="Times New Roman" w:eastAsia="Segoe UI" w:hAnsi="Times New Roman" w:cs="Times New Roman"/>
          <w:b/>
          <w:bCs/>
          <w:color w:val="0F1115"/>
          <w:shd w:val="clear" w:color="auto" w:fill="FFFFFF"/>
        </w:rPr>
        <w:t>preventable infectious diseases between the two groups during the follow</w:t>
      </w:r>
      <w:r>
        <w:rPr>
          <w:rFonts w:ascii="Times New Roman" w:eastAsia="Segoe UI" w:hAnsi="Times New Roman" w:cs="Times New Roman"/>
          <w:b/>
          <w:bCs/>
          <w:color w:val="0F1115"/>
          <w:shd w:val="clear" w:color="auto" w:fill="FFFFFF"/>
        </w:rPr>
        <w:noBreakHyphen/>
        <w:t>up period</w:t>
      </w:r>
    </w:p>
    <w:p w14:paraId="71D59B4D" w14:textId="3BF56D6D"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The incidence of infectious diseases in the observation group was significantly lower than that in the control group, and the difference between the groups was statistically significant.</w:t>
      </w:r>
      <w:r w:rsidR="002747F3">
        <w:rPr>
          <w:rFonts w:ascii="Times New Roman" w:eastAsia="Segoe UI" w:hAnsi="Times New Roman" w:cs="Times New Roman"/>
          <w:color w:val="0F1115"/>
          <w:shd w:val="clear" w:color="auto" w:fill="FFFFFF"/>
        </w:rPr>
        <w:t xml:space="preserve"> </w:t>
      </w:r>
      <w:r w:rsidR="002747F3" w:rsidRPr="000A4A87">
        <w:rPr>
          <w:rFonts w:ascii="Times New Roman" w:eastAsia="Segoe UI" w:hAnsi="Times New Roman" w:cs="Times New Roman"/>
          <w:b/>
          <w:bCs/>
          <w:color w:val="0F1115"/>
          <w:shd w:val="clear" w:color="auto" w:fill="FFFFFF"/>
        </w:rPr>
        <w:t xml:space="preserve">(Table </w:t>
      </w:r>
      <w:r w:rsidR="002747F3">
        <w:rPr>
          <w:rFonts w:ascii="Times New Roman" w:eastAsia="Segoe UI" w:hAnsi="Times New Roman" w:cs="Times New Roman"/>
          <w:b/>
          <w:bCs/>
          <w:color w:val="0F1115"/>
          <w:shd w:val="clear" w:color="auto" w:fill="FFFFFF"/>
        </w:rPr>
        <w:t>4</w:t>
      </w:r>
      <w:r w:rsidR="002747F3" w:rsidRPr="000A4A87">
        <w:rPr>
          <w:rFonts w:ascii="Times New Roman" w:eastAsia="Segoe UI" w:hAnsi="Times New Roman" w:cs="Times New Roman"/>
          <w:b/>
          <w:bCs/>
          <w:color w:val="0F1115"/>
          <w:shd w:val="clear" w:color="auto" w:fill="FFFFFF"/>
        </w:rPr>
        <w:t>)</w:t>
      </w:r>
    </w:p>
    <w:p w14:paraId="2AB3CACA" w14:textId="77777777" w:rsidR="003739CD" w:rsidRDefault="003739CD" w:rsidP="00E70375">
      <w:pPr>
        <w:pStyle w:val="NormalWeb"/>
        <w:widowControl/>
        <w:shd w:val="clear" w:color="auto" w:fill="FFFFFF"/>
        <w:snapToGrid w:val="0"/>
        <w:rPr>
          <w:rFonts w:ascii="Times New Roman" w:eastAsia="Segoe UI" w:hAnsi="Times New Roman" w:cs="Times New Roman"/>
          <w:color w:val="0F1115"/>
          <w:shd w:val="clear" w:color="auto" w:fill="FFFFFF"/>
        </w:rPr>
      </w:pPr>
    </w:p>
    <w:p w14:paraId="4E777DED" w14:textId="77777777" w:rsidR="003739CD" w:rsidRDefault="006E0A48" w:rsidP="00E70375">
      <w:pPr>
        <w:pStyle w:val="NormalWeb"/>
        <w:widowControl/>
        <w:shd w:val="clear" w:color="auto" w:fill="FFFFFF"/>
        <w:snapToGrid w:val="0"/>
        <w:rPr>
          <w:rFonts w:ascii="Times New Roman" w:eastAsia="Segoe UI" w:hAnsi="Times New Roman" w:cs="Times New Roman"/>
          <w:color w:val="0F1115"/>
        </w:rPr>
      </w:pPr>
      <w:r>
        <w:rPr>
          <w:rFonts w:ascii="Times New Roman" w:eastAsia="Segoe UI" w:hAnsi="Times New Roman" w:cs="Times New Roman"/>
          <w:b/>
          <w:bCs/>
          <w:color w:val="0F1115"/>
          <w:shd w:val="clear" w:color="auto" w:fill="FFFFFF"/>
        </w:rPr>
        <w:t>Table 4</w:t>
      </w:r>
      <w:r>
        <w:rPr>
          <w:rFonts w:ascii="Times New Roman" w:eastAsia="SimSun" w:hAnsi="Times New Roman" w:cs="Times New Roman"/>
          <w:b/>
          <w:bCs/>
          <w:color w:val="0F1115"/>
          <w:shd w:val="clear" w:color="auto" w:fill="FFFFFF"/>
        </w:rPr>
        <w:t>.</w:t>
      </w:r>
      <w:r>
        <w:rPr>
          <w:rFonts w:ascii="Times New Roman" w:eastAsia="Segoe UI" w:hAnsi="Times New Roman" w:cs="Times New Roman"/>
          <w:color w:val="0F1115"/>
          <w:shd w:val="clear" w:color="auto" w:fill="FFFFFF"/>
        </w:rPr>
        <w:t xml:space="preserve"> Comparison of the incidence of vaccine</w:t>
      </w:r>
      <w:r>
        <w:rPr>
          <w:rFonts w:ascii="Times New Roman" w:eastAsia="Segoe UI" w:hAnsi="Times New Roman" w:cs="Times New Roman"/>
          <w:color w:val="0F1115"/>
          <w:shd w:val="clear" w:color="auto" w:fill="FFFFFF"/>
        </w:rPr>
        <w:noBreakHyphen/>
        <w:t>preventable infectious diseases between the two groups during the follow</w:t>
      </w:r>
      <w:r>
        <w:rPr>
          <w:rFonts w:ascii="Times New Roman" w:eastAsia="Segoe UI" w:hAnsi="Times New Roman" w:cs="Times New Roman"/>
          <w:color w:val="0F1115"/>
          <w:shd w:val="clear" w:color="auto" w:fill="FFFFFF"/>
        </w:rPr>
        <w:noBreakHyphen/>
        <w:t>up period [n (%)]</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430"/>
        <w:gridCol w:w="1209"/>
        <w:gridCol w:w="2369"/>
        <w:gridCol w:w="1681"/>
        <w:gridCol w:w="1949"/>
      </w:tblGrid>
      <w:tr w:rsidR="003739CD" w14:paraId="5588F004" w14:textId="77777777" w:rsidTr="00E70375">
        <w:trPr>
          <w:tblHeader/>
          <w:jc w:val="center"/>
        </w:trPr>
        <w:tc>
          <w:tcPr>
            <w:tcW w:w="1259" w:type="pct"/>
            <w:tcBorders>
              <w:top w:val="single" w:sz="4" w:space="0" w:color="auto"/>
              <w:left w:val="nil"/>
              <w:bottom w:val="nil"/>
              <w:right w:val="nil"/>
            </w:tcBorders>
            <w:tcMar>
              <w:top w:w="-1" w:type="dxa"/>
              <w:left w:w="-1" w:type="dxa"/>
              <w:bottom w:w="-1" w:type="dxa"/>
              <w:right w:w="-1" w:type="dxa"/>
            </w:tcMar>
            <w:vAlign w:val="center"/>
          </w:tcPr>
          <w:p w14:paraId="5926BF11" w14:textId="77777777" w:rsidR="003739CD" w:rsidRPr="00E70375" w:rsidRDefault="006E0A48" w:rsidP="00E70375">
            <w:pPr>
              <w:snapToGrid w:val="0"/>
              <w:jc w:val="left"/>
              <w:rPr>
                <w:rFonts w:ascii="Times New Roman" w:hAnsi="Times New Roman" w:cs="Times New Roman"/>
                <w:b/>
                <w:bCs/>
                <w:sz w:val="24"/>
              </w:rPr>
            </w:pPr>
            <w:r w:rsidRPr="00E70375">
              <w:rPr>
                <w:rFonts w:ascii="Times New Roman" w:eastAsia="Segoe UI" w:hAnsi="Times New Roman" w:cs="Times New Roman"/>
                <w:b/>
                <w:bCs/>
                <w:color w:val="0F1115"/>
                <w:sz w:val="24"/>
                <w:shd w:val="clear" w:color="auto" w:fill="FFFFFF"/>
              </w:rPr>
              <w:t>Group</w:t>
            </w:r>
          </w:p>
        </w:tc>
        <w:tc>
          <w:tcPr>
            <w:tcW w:w="627" w:type="pct"/>
            <w:tcBorders>
              <w:top w:val="single" w:sz="4" w:space="0" w:color="auto"/>
              <w:left w:val="nil"/>
              <w:bottom w:val="nil"/>
              <w:right w:val="nil"/>
            </w:tcBorders>
            <w:tcMar>
              <w:top w:w="-1" w:type="dxa"/>
              <w:left w:w="-1" w:type="dxa"/>
              <w:bottom w:w="-1" w:type="dxa"/>
              <w:right w:w="-1" w:type="dxa"/>
            </w:tcMar>
            <w:vAlign w:val="center"/>
          </w:tcPr>
          <w:p w14:paraId="3E7CE470" w14:textId="77777777" w:rsidR="003739CD" w:rsidRPr="00E70375" w:rsidRDefault="006E0A48" w:rsidP="002747F3">
            <w:pPr>
              <w:snapToGrid w:val="0"/>
              <w:jc w:val="center"/>
              <w:rPr>
                <w:rFonts w:ascii="Times New Roman" w:hAnsi="Times New Roman" w:cs="Times New Roman"/>
                <w:b/>
                <w:bCs/>
                <w:sz w:val="24"/>
              </w:rPr>
            </w:pPr>
            <w:r w:rsidRPr="00E70375">
              <w:rPr>
                <w:rFonts w:ascii="Times New Roman" w:eastAsia="Segoe UI" w:hAnsi="Times New Roman" w:cs="Times New Roman"/>
                <w:b/>
                <w:bCs/>
                <w:color w:val="0F1115"/>
                <w:sz w:val="24"/>
                <w:shd w:val="clear" w:color="auto" w:fill="FFFFFF"/>
              </w:rPr>
              <w:t>Mumps</w:t>
            </w:r>
          </w:p>
        </w:tc>
        <w:tc>
          <w:tcPr>
            <w:tcW w:w="1229" w:type="pct"/>
            <w:tcBorders>
              <w:top w:val="single" w:sz="4" w:space="0" w:color="auto"/>
              <w:left w:val="nil"/>
              <w:bottom w:val="nil"/>
              <w:right w:val="nil"/>
            </w:tcBorders>
            <w:tcMar>
              <w:top w:w="-1" w:type="dxa"/>
              <w:left w:w="-1" w:type="dxa"/>
              <w:bottom w:w="-1" w:type="dxa"/>
              <w:right w:w="-1" w:type="dxa"/>
            </w:tcMar>
            <w:vAlign w:val="center"/>
          </w:tcPr>
          <w:p w14:paraId="585480CA" w14:textId="77777777" w:rsidR="003739CD" w:rsidRPr="00E70375" w:rsidRDefault="006E0A48" w:rsidP="002747F3">
            <w:pPr>
              <w:snapToGrid w:val="0"/>
              <w:jc w:val="center"/>
              <w:rPr>
                <w:rFonts w:ascii="Times New Roman" w:hAnsi="Times New Roman" w:cs="Times New Roman"/>
                <w:b/>
                <w:bCs/>
                <w:sz w:val="24"/>
              </w:rPr>
            </w:pPr>
            <w:r w:rsidRPr="00E70375">
              <w:rPr>
                <w:rFonts w:ascii="Times New Roman" w:eastAsia="Segoe UI" w:hAnsi="Times New Roman" w:cs="Times New Roman"/>
                <w:b/>
                <w:bCs/>
                <w:color w:val="0F1115"/>
                <w:sz w:val="24"/>
                <w:shd w:val="clear" w:color="auto" w:fill="FFFFFF"/>
              </w:rPr>
              <w:t>Hand, foot and mouth disease</w:t>
            </w:r>
          </w:p>
        </w:tc>
        <w:tc>
          <w:tcPr>
            <w:tcW w:w="872" w:type="pct"/>
            <w:tcBorders>
              <w:top w:val="single" w:sz="4" w:space="0" w:color="auto"/>
              <w:left w:val="nil"/>
              <w:bottom w:val="nil"/>
              <w:right w:val="nil"/>
            </w:tcBorders>
            <w:tcMar>
              <w:top w:w="-1" w:type="dxa"/>
              <w:left w:w="-1" w:type="dxa"/>
              <w:bottom w:w="-1" w:type="dxa"/>
              <w:right w:w="-1" w:type="dxa"/>
            </w:tcMar>
            <w:vAlign w:val="center"/>
          </w:tcPr>
          <w:p w14:paraId="3CDDB8FF" w14:textId="77777777" w:rsidR="003739CD" w:rsidRPr="00E70375" w:rsidRDefault="006E0A48" w:rsidP="002747F3">
            <w:pPr>
              <w:snapToGrid w:val="0"/>
              <w:jc w:val="center"/>
              <w:rPr>
                <w:rFonts w:ascii="Times New Roman" w:hAnsi="Times New Roman" w:cs="Times New Roman"/>
                <w:b/>
                <w:bCs/>
                <w:sz w:val="24"/>
              </w:rPr>
            </w:pPr>
            <w:r w:rsidRPr="00E70375">
              <w:rPr>
                <w:rFonts w:ascii="Times New Roman" w:eastAsia="Segoe UI" w:hAnsi="Times New Roman" w:cs="Times New Roman"/>
                <w:b/>
                <w:bCs/>
                <w:color w:val="0F1115"/>
                <w:sz w:val="24"/>
                <w:shd w:val="clear" w:color="auto" w:fill="FFFFFF"/>
              </w:rPr>
              <w:t>Chickenpox</w:t>
            </w:r>
          </w:p>
        </w:tc>
        <w:tc>
          <w:tcPr>
            <w:tcW w:w="1011" w:type="pct"/>
            <w:tcBorders>
              <w:top w:val="single" w:sz="4" w:space="0" w:color="auto"/>
              <w:left w:val="nil"/>
              <w:bottom w:val="nil"/>
              <w:right w:val="nil"/>
            </w:tcBorders>
            <w:tcMar>
              <w:top w:w="-1" w:type="dxa"/>
              <w:left w:w="-1" w:type="dxa"/>
              <w:bottom w:w="-1" w:type="dxa"/>
              <w:right w:w="-1" w:type="dxa"/>
            </w:tcMar>
            <w:vAlign w:val="center"/>
          </w:tcPr>
          <w:p w14:paraId="210EF2E5" w14:textId="77777777" w:rsidR="003739CD" w:rsidRPr="00E70375" w:rsidRDefault="006E0A48" w:rsidP="002747F3">
            <w:pPr>
              <w:snapToGrid w:val="0"/>
              <w:jc w:val="center"/>
              <w:rPr>
                <w:rFonts w:ascii="Times New Roman" w:hAnsi="Times New Roman" w:cs="Times New Roman"/>
                <w:b/>
                <w:bCs/>
                <w:sz w:val="24"/>
              </w:rPr>
            </w:pPr>
            <w:r w:rsidRPr="00E70375">
              <w:rPr>
                <w:rFonts w:ascii="Times New Roman" w:eastAsia="Segoe UI" w:hAnsi="Times New Roman" w:cs="Times New Roman"/>
                <w:b/>
                <w:bCs/>
                <w:color w:val="0F1115"/>
                <w:sz w:val="24"/>
                <w:shd w:val="clear" w:color="auto" w:fill="FFFFFF"/>
              </w:rPr>
              <w:t>Total incidence rate</w:t>
            </w:r>
          </w:p>
        </w:tc>
      </w:tr>
      <w:tr w:rsidR="003739CD" w14:paraId="1A84D2BE" w14:textId="77777777">
        <w:trPr>
          <w:tblHeader/>
          <w:jc w:val="center"/>
        </w:trPr>
        <w:tc>
          <w:tcPr>
            <w:tcW w:w="1259" w:type="pct"/>
            <w:tcBorders>
              <w:top w:val="single" w:sz="4" w:space="0" w:color="auto"/>
              <w:left w:val="nil"/>
              <w:bottom w:val="nil"/>
              <w:right w:val="nil"/>
            </w:tcBorders>
            <w:tcMar>
              <w:top w:w="-1" w:type="dxa"/>
              <w:left w:w="-1" w:type="dxa"/>
              <w:bottom w:w="-1" w:type="dxa"/>
              <w:right w:w="-1" w:type="dxa"/>
            </w:tcMar>
            <w:vAlign w:val="center"/>
          </w:tcPr>
          <w:p w14:paraId="016CA578" w14:textId="7381330F" w:rsidR="003739CD" w:rsidRDefault="006E0A48" w:rsidP="00E70375">
            <w:pPr>
              <w:snapToGrid w:val="0"/>
              <w:jc w:val="left"/>
              <w:rPr>
                <w:rFonts w:ascii="Times New Roman" w:hAnsi="Times New Roman" w:cs="Times New Roman"/>
                <w:sz w:val="24"/>
              </w:rPr>
            </w:pPr>
            <w:r>
              <w:rPr>
                <w:rFonts w:ascii="Times New Roman" w:eastAsia="Segoe UI" w:hAnsi="Times New Roman" w:cs="Times New Roman"/>
                <w:color w:val="0F1115"/>
                <w:sz w:val="24"/>
                <w:shd w:val="clear" w:color="auto" w:fill="FFFFFF"/>
              </w:rPr>
              <w:t>Observation group (n</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40)</w:t>
            </w:r>
          </w:p>
        </w:tc>
        <w:tc>
          <w:tcPr>
            <w:tcW w:w="627" w:type="pct"/>
            <w:tcBorders>
              <w:top w:val="single" w:sz="4" w:space="0" w:color="auto"/>
              <w:left w:val="nil"/>
              <w:bottom w:val="nil"/>
              <w:right w:val="nil"/>
            </w:tcBorders>
            <w:tcMar>
              <w:top w:w="-1" w:type="dxa"/>
              <w:left w:w="-1" w:type="dxa"/>
              <w:bottom w:w="-1" w:type="dxa"/>
              <w:right w:w="-1" w:type="dxa"/>
            </w:tcMar>
            <w:vAlign w:val="center"/>
          </w:tcPr>
          <w:p w14:paraId="4014A22B"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 (2.50)</w:t>
            </w:r>
          </w:p>
        </w:tc>
        <w:tc>
          <w:tcPr>
            <w:tcW w:w="1229" w:type="pct"/>
            <w:tcBorders>
              <w:top w:val="single" w:sz="4" w:space="0" w:color="auto"/>
              <w:left w:val="nil"/>
              <w:bottom w:val="nil"/>
              <w:right w:val="nil"/>
            </w:tcBorders>
            <w:tcMar>
              <w:top w:w="-1" w:type="dxa"/>
              <w:left w:w="-1" w:type="dxa"/>
              <w:bottom w:w="-1" w:type="dxa"/>
              <w:right w:w="-1" w:type="dxa"/>
            </w:tcMar>
            <w:vAlign w:val="center"/>
          </w:tcPr>
          <w:p w14:paraId="729E2097"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1 (2.50)</w:t>
            </w:r>
          </w:p>
        </w:tc>
        <w:tc>
          <w:tcPr>
            <w:tcW w:w="872" w:type="pct"/>
            <w:tcBorders>
              <w:top w:val="single" w:sz="4" w:space="0" w:color="auto"/>
              <w:left w:val="nil"/>
              <w:bottom w:val="nil"/>
              <w:right w:val="nil"/>
            </w:tcBorders>
            <w:tcMar>
              <w:top w:w="-1" w:type="dxa"/>
              <w:left w:w="-1" w:type="dxa"/>
              <w:bottom w:w="-1" w:type="dxa"/>
              <w:right w:w="-1" w:type="dxa"/>
            </w:tcMar>
            <w:vAlign w:val="center"/>
          </w:tcPr>
          <w:p w14:paraId="37552569"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 (0.00)</w:t>
            </w:r>
          </w:p>
        </w:tc>
        <w:tc>
          <w:tcPr>
            <w:tcW w:w="1011" w:type="pct"/>
            <w:tcBorders>
              <w:top w:val="single" w:sz="4" w:space="0" w:color="auto"/>
              <w:left w:val="nil"/>
              <w:bottom w:val="nil"/>
              <w:right w:val="nil"/>
            </w:tcBorders>
            <w:tcMar>
              <w:top w:w="-1" w:type="dxa"/>
              <w:left w:w="-1" w:type="dxa"/>
              <w:bottom w:w="-1" w:type="dxa"/>
              <w:right w:w="-1" w:type="dxa"/>
            </w:tcMar>
            <w:vAlign w:val="center"/>
          </w:tcPr>
          <w:p w14:paraId="5888FDFE"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2 (4.89)</w:t>
            </w:r>
          </w:p>
        </w:tc>
      </w:tr>
      <w:tr w:rsidR="003739CD" w14:paraId="1102350D" w14:textId="77777777">
        <w:trPr>
          <w:tblHeader/>
          <w:jc w:val="center"/>
        </w:trPr>
        <w:tc>
          <w:tcPr>
            <w:tcW w:w="1259" w:type="pct"/>
            <w:tcBorders>
              <w:top w:val="nil"/>
              <w:left w:val="nil"/>
              <w:bottom w:val="nil"/>
              <w:right w:val="nil"/>
            </w:tcBorders>
            <w:tcMar>
              <w:top w:w="-1" w:type="dxa"/>
              <w:left w:w="-1" w:type="dxa"/>
              <w:bottom w:w="-1" w:type="dxa"/>
              <w:right w:w="-1" w:type="dxa"/>
            </w:tcMar>
            <w:vAlign w:val="center"/>
          </w:tcPr>
          <w:p w14:paraId="749571DA" w14:textId="0409AAB1" w:rsidR="003739CD" w:rsidRDefault="006E0A48" w:rsidP="00E70375">
            <w:pPr>
              <w:snapToGrid w:val="0"/>
              <w:jc w:val="left"/>
              <w:rPr>
                <w:rFonts w:ascii="Times New Roman" w:hAnsi="Times New Roman" w:cs="Times New Roman"/>
                <w:sz w:val="24"/>
              </w:rPr>
            </w:pPr>
            <w:r>
              <w:rPr>
                <w:rFonts w:ascii="Times New Roman" w:eastAsia="Segoe UI" w:hAnsi="Times New Roman" w:cs="Times New Roman"/>
                <w:color w:val="0F1115"/>
                <w:sz w:val="24"/>
                <w:shd w:val="clear" w:color="auto" w:fill="FFFFFF"/>
              </w:rPr>
              <w:t>Control group (n</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w:t>
            </w:r>
            <w:r w:rsidR="002747F3">
              <w:rPr>
                <w:rFonts w:ascii="Times New Roman" w:eastAsia="Segoe UI" w:hAnsi="Times New Roman" w:cs="Times New Roman"/>
                <w:color w:val="0F1115"/>
                <w:sz w:val="24"/>
                <w:shd w:val="clear" w:color="auto" w:fill="FFFFFF"/>
              </w:rPr>
              <w:t xml:space="preserve"> </w:t>
            </w:r>
            <w:r>
              <w:rPr>
                <w:rFonts w:ascii="Times New Roman" w:eastAsia="Segoe UI" w:hAnsi="Times New Roman" w:cs="Times New Roman"/>
                <w:color w:val="0F1115"/>
                <w:sz w:val="24"/>
                <w:shd w:val="clear" w:color="auto" w:fill="FFFFFF"/>
              </w:rPr>
              <w:t>40)</w:t>
            </w:r>
          </w:p>
        </w:tc>
        <w:tc>
          <w:tcPr>
            <w:tcW w:w="627" w:type="pct"/>
            <w:tcBorders>
              <w:top w:val="nil"/>
              <w:left w:val="nil"/>
              <w:bottom w:val="nil"/>
              <w:right w:val="nil"/>
            </w:tcBorders>
            <w:tcMar>
              <w:top w:w="-1" w:type="dxa"/>
              <w:left w:w="-1" w:type="dxa"/>
              <w:bottom w:w="-1" w:type="dxa"/>
              <w:right w:w="-1" w:type="dxa"/>
            </w:tcMar>
            <w:vAlign w:val="center"/>
          </w:tcPr>
          <w:p w14:paraId="243DA631"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3 (7.50)</w:t>
            </w:r>
          </w:p>
        </w:tc>
        <w:tc>
          <w:tcPr>
            <w:tcW w:w="1229" w:type="pct"/>
            <w:tcBorders>
              <w:top w:val="nil"/>
              <w:left w:val="nil"/>
              <w:bottom w:val="nil"/>
              <w:right w:val="nil"/>
            </w:tcBorders>
            <w:tcMar>
              <w:top w:w="-1" w:type="dxa"/>
              <w:left w:w="-1" w:type="dxa"/>
              <w:bottom w:w="-1" w:type="dxa"/>
              <w:right w:w="-1" w:type="dxa"/>
            </w:tcMar>
            <w:vAlign w:val="center"/>
          </w:tcPr>
          <w:p w14:paraId="6C1D7226"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2 (5.00)</w:t>
            </w:r>
          </w:p>
        </w:tc>
        <w:tc>
          <w:tcPr>
            <w:tcW w:w="872" w:type="pct"/>
            <w:tcBorders>
              <w:top w:val="nil"/>
              <w:left w:val="nil"/>
              <w:bottom w:val="nil"/>
              <w:right w:val="nil"/>
            </w:tcBorders>
            <w:tcMar>
              <w:top w:w="-1" w:type="dxa"/>
              <w:left w:w="-1" w:type="dxa"/>
              <w:bottom w:w="-1" w:type="dxa"/>
              <w:right w:w="-1" w:type="dxa"/>
            </w:tcMar>
            <w:vAlign w:val="center"/>
          </w:tcPr>
          <w:p w14:paraId="40B11F87"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2 (5.00)</w:t>
            </w:r>
          </w:p>
        </w:tc>
        <w:tc>
          <w:tcPr>
            <w:tcW w:w="1011" w:type="pct"/>
            <w:tcBorders>
              <w:top w:val="nil"/>
              <w:left w:val="nil"/>
              <w:bottom w:val="nil"/>
              <w:right w:val="nil"/>
            </w:tcBorders>
            <w:tcMar>
              <w:top w:w="-1" w:type="dxa"/>
              <w:left w:w="-1" w:type="dxa"/>
              <w:bottom w:w="-1" w:type="dxa"/>
              <w:right w:w="-1" w:type="dxa"/>
            </w:tcMar>
            <w:vAlign w:val="center"/>
          </w:tcPr>
          <w:p w14:paraId="66136478"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7 (17.23)</w:t>
            </w:r>
          </w:p>
        </w:tc>
      </w:tr>
      <w:tr w:rsidR="003739CD" w14:paraId="16EE9C07" w14:textId="77777777">
        <w:trPr>
          <w:tblHeader/>
          <w:jc w:val="center"/>
        </w:trPr>
        <w:tc>
          <w:tcPr>
            <w:tcW w:w="1259" w:type="pct"/>
            <w:tcBorders>
              <w:top w:val="nil"/>
              <w:left w:val="nil"/>
              <w:bottom w:val="nil"/>
              <w:right w:val="nil"/>
            </w:tcBorders>
            <w:tcMar>
              <w:top w:w="-1" w:type="dxa"/>
              <w:left w:w="-1" w:type="dxa"/>
              <w:bottom w:w="-1" w:type="dxa"/>
              <w:right w:w="-1" w:type="dxa"/>
            </w:tcMar>
            <w:vAlign w:val="center"/>
          </w:tcPr>
          <w:p w14:paraId="1CB9E4F4" w14:textId="77777777" w:rsidR="003739CD" w:rsidRDefault="006E0A48" w:rsidP="00E70375">
            <w:pPr>
              <w:snapToGrid w:val="0"/>
              <w:jc w:val="left"/>
              <w:rPr>
                <w:rFonts w:ascii="Times New Roman" w:hAnsi="Times New Roman" w:cs="Times New Roman"/>
                <w:sz w:val="24"/>
              </w:rPr>
            </w:pPr>
            <w:r>
              <w:rPr>
                <w:rFonts w:ascii="Times New Roman" w:eastAsia="Segoe UI" w:hAnsi="Times New Roman" w:cs="Times New Roman"/>
                <w:color w:val="0F1115"/>
                <w:sz w:val="24"/>
                <w:shd w:val="clear" w:color="auto" w:fill="FFFFFF"/>
              </w:rPr>
              <w:t>χ²</w:t>
            </w:r>
          </w:p>
        </w:tc>
        <w:tc>
          <w:tcPr>
            <w:tcW w:w="627" w:type="pct"/>
            <w:tcBorders>
              <w:top w:val="nil"/>
              <w:left w:val="nil"/>
              <w:bottom w:val="nil"/>
              <w:right w:val="nil"/>
            </w:tcBorders>
            <w:tcMar>
              <w:top w:w="-1" w:type="dxa"/>
              <w:left w:w="-1" w:type="dxa"/>
              <w:bottom w:w="-1" w:type="dxa"/>
              <w:right w:w="-1" w:type="dxa"/>
            </w:tcMar>
            <w:vAlign w:val="center"/>
          </w:tcPr>
          <w:p w14:paraId="22912515" w14:textId="77777777" w:rsidR="003739CD" w:rsidRDefault="003739CD" w:rsidP="002747F3">
            <w:pPr>
              <w:snapToGrid w:val="0"/>
              <w:jc w:val="center"/>
              <w:rPr>
                <w:rFonts w:ascii="Times New Roman" w:hAnsi="Times New Roman" w:cs="Times New Roman"/>
                <w:sz w:val="24"/>
              </w:rPr>
            </w:pPr>
          </w:p>
        </w:tc>
        <w:tc>
          <w:tcPr>
            <w:tcW w:w="1229" w:type="pct"/>
            <w:tcBorders>
              <w:top w:val="nil"/>
              <w:left w:val="nil"/>
              <w:bottom w:val="nil"/>
              <w:right w:val="nil"/>
            </w:tcBorders>
            <w:tcMar>
              <w:top w:w="-1" w:type="dxa"/>
              <w:left w:w="-1" w:type="dxa"/>
              <w:bottom w:w="-1" w:type="dxa"/>
              <w:right w:w="-1" w:type="dxa"/>
            </w:tcMar>
            <w:vAlign w:val="center"/>
          </w:tcPr>
          <w:p w14:paraId="35485233" w14:textId="77777777" w:rsidR="003739CD" w:rsidRDefault="003739CD" w:rsidP="002747F3">
            <w:pPr>
              <w:snapToGrid w:val="0"/>
              <w:jc w:val="center"/>
              <w:rPr>
                <w:rFonts w:ascii="Times New Roman" w:hAnsi="Times New Roman" w:cs="Times New Roman"/>
                <w:sz w:val="24"/>
              </w:rPr>
            </w:pPr>
          </w:p>
        </w:tc>
        <w:tc>
          <w:tcPr>
            <w:tcW w:w="872" w:type="pct"/>
            <w:tcBorders>
              <w:top w:val="nil"/>
              <w:left w:val="nil"/>
              <w:bottom w:val="nil"/>
              <w:right w:val="nil"/>
            </w:tcBorders>
            <w:tcMar>
              <w:top w:w="-1" w:type="dxa"/>
              <w:left w:w="-1" w:type="dxa"/>
              <w:bottom w:w="-1" w:type="dxa"/>
              <w:right w:w="-1" w:type="dxa"/>
            </w:tcMar>
            <w:vAlign w:val="center"/>
          </w:tcPr>
          <w:p w14:paraId="32863184" w14:textId="77777777" w:rsidR="003739CD" w:rsidRDefault="003739CD" w:rsidP="002747F3">
            <w:pPr>
              <w:snapToGrid w:val="0"/>
              <w:jc w:val="center"/>
              <w:rPr>
                <w:rFonts w:ascii="Times New Roman" w:hAnsi="Times New Roman" w:cs="Times New Roman"/>
                <w:sz w:val="24"/>
              </w:rPr>
            </w:pPr>
          </w:p>
        </w:tc>
        <w:tc>
          <w:tcPr>
            <w:tcW w:w="1011" w:type="pct"/>
            <w:tcBorders>
              <w:top w:val="nil"/>
              <w:left w:val="nil"/>
              <w:bottom w:val="nil"/>
              <w:right w:val="nil"/>
            </w:tcBorders>
            <w:tcMar>
              <w:top w:w="-1" w:type="dxa"/>
              <w:left w:w="-1" w:type="dxa"/>
              <w:bottom w:w="-1" w:type="dxa"/>
              <w:right w:w="-1" w:type="dxa"/>
            </w:tcMar>
            <w:vAlign w:val="center"/>
          </w:tcPr>
          <w:p w14:paraId="61265743"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4.021</w:t>
            </w:r>
          </w:p>
        </w:tc>
      </w:tr>
      <w:tr w:rsidR="003739CD" w14:paraId="058DCF35" w14:textId="77777777" w:rsidTr="00E70375">
        <w:trPr>
          <w:tblHeader/>
          <w:jc w:val="center"/>
        </w:trPr>
        <w:tc>
          <w:tcPr>
            <w:tcW w:w="1259" w:type="pct"/>
            <w:tcBorders>
              <w:top w:val="nil"/>
              <w:left w:val="nil"/>
              <w:bottom w:val="single" w:sz="4" w:space="0" w:color="auto"/>
              <w:right w:val="nil"/>
            </w:tcBorders>
            <w:tcMar>
              <w:top w:w="-1" w:type="dxa"/>
              <w:left w:w="-1" w:type="dxa"/>
              <w:bottom w:w="-1" w:type="dxa"/>
              <w:right w:w="-1" w:type="dxa"/>
            </w:tcMar>
            <w:vAlign w:val="center"/>
          </w:tcPr>
          <w:p w14:paraId="5AE48797" w14:textId="5EECEB90" w:rsidR="003739CD" w:rsidRDefault="002747F3" w:rsidP="00E70375">
            <w:pPr>
              <w:snapToGrid w:val="0"/>
              <w:jc w:val="left"/>
              <w:rPr>
                <w:rFonts w:ascii="Times New Roman" w:hAnsi="Times New Roman" w:cs="Times New Roman"/>
                <w:sz w:val="24"/>
              </w:rPr>
            </w:pPr>
            <w:r>
              <w:rPr>
                <w:rFonts w:ascii="Times New Roman" w:eastAsia="Segoe UI" w:hAnsi="Times New Roman" w:cs="Times New Roman"/>
                <w:i/>
                <w:iCs/>
                <w:color w:val="0F1115"/>
                <w:sz w:val="24"/>
                <w:shd w:val="clear" w:color="auto" w:fill="FFFFFF"/>
              </w:rPr>
              <w:t>p</w:t>
            </w:r>
          </w:p>
        </w:tc>
        <w:tc>
          <w:tcPr>
            <w:tcW w:w="627" w:type="pct"/>
            <w:tcBorders>
              <w:top w:val="nil"/>
              <w:left w:val="nil"/>
              <w:bottom w:val="single" w:sz="4" w:space="0" w:color="auto"/>
              <w:right w:val="nil"/>
            </w:tcBorders>
            <w:tcMar>
              <w:top w:w="-1" w:type="dxa"/>
              <w:left w:w="-1" w:type="dxa"/>
              <w:bottom w:w="-1" w:type="dxa"/>
              <w:right w:w="-1" w:type="dxa"/>
            </w:tcMar>
            <w:vAlign w:val="center"/>
          </w:tcPr>
          <w:p w14:paraId="0C329DE6" w14:textId="77777777" w:rsidR="003739CD" w:rsidRDefault="003739CD" w:rsidP="002747F3">
            <w:pPr>
              <w:snapToGrid w:val="0"/>
              <w:jc w:val="center"/>
              <w:rPr>
                <w:rFonts w:ascii="Times New Roman" w:hAnsi="Times New Roman" w:cs="Times New Roman"/>
                <w:sz w:val="24"/>
              </w:rPr>
            </w:pPr>
          </w:p>
        </w:tc>
        <w:tc>
          <w:tcPr>
            <w:tcW w:w="1229" w:type="pct"/>
            <w:tcBorders>
              <w:top w:val="nil"/>
              <w:left w:val="nil"/>
              <w:bottom w:val="single" w:sz="4" w:space="0" w:color="auto"/>
              <w:right w:val="nil"/>
            </w:tcBorders>
            <w:tcMar>
              <w:top w:w="-1" w:type="dxa"/>
              <w:left w:w="-1" w:type="dxa"/>
              <w:bottom w:w="-1" w:type="dxa"/>
              <w:right w:w="-1" w:type="dxa"/>
            </w:tcMar>
            <w:vAlign w:val="center"/>
          </w:tcPr>
          <w:p w14:paraId="0CE04591" w14:textId="77777777" w:rsidR="003739CD" w:rsidRDefault="003739CD" w:rsidP="002747F3">
            <w:pPr>
              <w:snapToGrid w:val="0"/>
              <w:jc w:val="center"/>
              <w:rPr>
                <w:rFonts w:ascii="Times New Roman" w:hAnsi="Times New Roman" w:cs="Times New Roman"/>
                <w:sz w:val="24"/>
              </w:rPr>
            </w:pPr>
          </w:p>
        </w:tc>
        <w:tc>
          <w:tcPr>
            <w:tcW w:w="872" w:type="pct"/>
            <w:tcBorders>
              <w:top w:val="nil"/>
              <w:left w:val="nil"/>
              <w:bottom w:val="single" w:sz="4" w:space="0" w:color="auto"/>
              <w:right w:val="nil"/>
            </w:tcBorders>
            <w:tcMar>
              <w:top w:w="-1" w:type="dxa"/>
              <w:left w:w="-1" w:type="dxa"/>
              <w:bottom w:w="-1" w:type="dxa"/>
              <w:right w:w="-1" w:type="dxa"/>
            </w:tcMar>
            <w:vAlign w:val="center"/>
          </w:tcPr>
          <w:p w14:paraId="12D98A52" w14:textId="77777777" w:rsidR="003739CD" w:rsidRDefault="003739CD" w:rsidP="002747F3">
            <w:pPr>
              <w:snapToGrid w:val="0"/>
              <w:jc w:val="center"/>
              <w:rPr>
                <w:rFonts w:ascii="Times New Roman" w:hAnsi="Times New Roman" w:cs="Times New Roman"/>
                <w:sz w:val="24"/>
              </w:rPr>
            </w:pPr>
          </w:p>
        </w:tc>
        <w:tc>
          <w:tcPr>
            <w:tcW w:w="1011" w:type="pct"/>
            <w:tcBorders>
              <w:top w:val="nil"/>
              <w:left w:val="nil"/>
              <w:bottom w:val="single" w:sz="4" w:space="0" w:color="auto"/>
              <w:right w:val="nil"/>
            </w:tcBorders>
            <w:tcMar>
              <w:top w:w="-1" w:type="dxa"/>
              <w:left w:w="-1" w:type="dxa"/>
              <w:bottom w:w="-1" w:type="dxa"/>
              <w:right w:w="-1" w:type="dxa"/>
            </w:tcMar>
            <w:vAlign w:val="center"/>
          </w:tcPr>
          <w:p w14:paraId="3E9C1992" w14:textId="77777777" w:rsidR="003739CD" w:rsidRDefault="006E0A48" w:rsidP="002747F3">
            <w:pPr>
              <w:snapToGrid w:val="0"/>
              <w:jc w:val="center"/>
              <w:rPr>
                <w:rFonts w:ascii="Times New Roman" w:hAnsi="Times New Roman" w:cs="Times New Roman"/>
                <w:sz w:val="24"/>
              </w:rPr>
            </w:pPr>
            <w:r>
              <w:rPr>
                <w:rFonts w:ascii="Times New Roman" w:eastAsia="Segoe UI" w:hAnsi="Times New Roman" w:cs="Times New Roman"/>
                <w:color w:val="0F1115"/>
                <w:sz w:val="24"/>
                <w:shd w:val="clear" w:color="auto" w:fill="FFFFFF"/>
              </w:rPr>
              <w:t>0.045</w:t>
            </w:r>
          </w:p>
        </w:tc>
      </w:tr>
    </w:tbl>
    <w:p w14:paraId="2C52DD93" w14:textId="77777777" w:rsidR="003739CD" w:rsidRDefault="003739CD" w:rsidP="00E70375">
      <w:pPr>
        <w:snapToGrid w:val="0"/>
        <w:rPr>
          <w:rFonts w:ascii="Times New Roman" w:eastAsia="Segoe UI" w:hAnsi="Times New Roman" w:cs="Times New Roman"/>
          <w:color w:val="0F1115"/>
          <w:sz w:val="24"/>
          <w:shd w:val="clear" w:color="auto" w:fill="FFFFFF"/>
        </w:rPr>
      </w:pPr>
    </w:p>
    <w:p w14:paraId="020B2886" w14:textId="77777777" w:rsidR="003739CD" w:rsidRDefault="006E0A48" w:rsidP="00E70375">
      <w:pPr>
        <w:snapToGrid w:val="0"/>
        <w:rPr>
          <w:rFonts w:ascii="Times New Roman" w:eastAsia="Segoe UI" w:hAnsi="Times New Roman" w:cs="Times New Roman"/>
          <w:b/>
          <w:bCs/>
          <w:color w:val="0F1115"/>
          <w:sz w:val="24"/>
          <w:shd w:val="clear" w:color="auto" w:fill="FFFFFF"/>
        </w:rPr>
      </w:pPr>
      <w:r>
        <w:rPr>
          <w:rFonts w:ascii="Times New Roman" w:eastAsia="SimSun" w:hAnsi="Times New Roman" w:cs="Times New Roman" w:hint="eastAsia"/>
          <w:b/>
          <w:bCs/>
          <w:color w:val="0F1115"/>
          <w:sz w:val="24"/>
          <w:shd w:val="clear" w:color="auto" w:fill="FFFFFF"/>
        </w:rPr>
        <w:t>4</w:t>
      </w:r>
      <w:r>
        <w:rPr>
          <w:rFonts w:ascii="Times New Roman" w:eastAsia="SimSun" w:hAnsi="Times New Roman" w:cs="Times New Roman"/>
          <w:b/>
          <w:bCs/>
          <w:color w:val="0F1115"/>
          <w:sz w:val="24"/>
          <w:shd w:val="clear" w:color="auto" w:fill="FFFFFF"/>
        </w:rPr>
        <w:t>.</w:t>
      </w:r>
      <w:r>
        <w:rPr>
          <w:rFonts w:ascii="Times New Roman" w:eastAsia="Segoe UI" w:hAnsi="Times New Roman" w:cs="Times New Roman"/>
          <w:b/>
          <w:bCs/>
          <w:color w:val="0F1115"/>
          <w:sz w:val="24"/>
          <w:shd w:val="clear" w:color="auto" w:fill="FFFFFF"/>
        </w:rPr>
        <w:t xml:space="preserve"> Discussion</w:t>
      </w:r>
    </w:p>
    <w:p w14:paraId="011E412D" w14:textId="4215EAD3" w:rsidR="003739CD" w:rsidRDefault="006E0A48" w:rsidP="00E70375">
      <w:pPr>
        <w:snapToGrid w:val="0"/>
        <w:rPr>
          <w:rFonts w:ascii="Times New Roman" w:eastAsia="Segoe UI" w:hAnsi="Times New Roman" w:cs="Times New Roman"/>
          <w:color w:val="0F1115"/>
          <w:sz w:val="24"/>
          <w:shd w:val="clear" w:color="auto" w:fill="FFFFFF"/>
        </w:rPr>
      </w:pPr>
      <w:r>
        <w:rPr>
          <w:rFonts w:ascii="Times New Roman" w:eastAsia="Segoe UI" w:hAnsi="Times New Roman" w:cs="Times New Roman"/>
          <w:color w:val="0F1115"/>
          <w:sz w:val="24"/>
          <w:shd w:val="clear" w:color="auto" w:fill="FFFFFF"/>
        </w:rPr>
        <w:t xml:space="preserve">Vaccine-preventable infectious diseases continue to maintain a relatively high incidence among young children, and the risk of outbreaks in congregate settings such as childcare institutions and primary schools remains a high priority for prevention and control. Under the previous routine vaccination management model, the full-course vaccination rate among age-appropriate children had long struggled to exceed the 85% threshold, with missed and delayed doses among children from migrant families and those in </w:t>
      </w:r>
      <w:r>
        <w:rPr>
          <w:rFonts w:ascii="Times New Roman" w:eastAsia="Segoe UI" w:hAnsi="Times New Roman" w:cs="Times New Roman"/>
          <w:color w:val="0F1115"/>
          <w:sz w:val="24"/>
          <w:shd w:val="clear" w:color="auto" w:fill="FFFFFF"/>
        </w:rPr>
        <w:t>remote counties accounting for nearly 30%. Parental cognitive biases regarding vaccine-related knowledge further amplify children</w:t>
      </w:r>
      <w:r w:rsidR="002747F3">
        <w:rPr>
          <w:rFonts w:ascii="Times New Roman" w:eastAsia="Segoe UI" w:hAnsi="Times New Roman" w:cs="Times New Roman"/>
          <w:color w:val="0F1115"/>
          <w:sz w:val="24"/>
          <w:shd w:val="clear" w:color="auto" w:fill="FFFFFF"/>
        </w:rPr>
        <w:t>’</w:t>
      </w:r>
      <w:r>
        <w:rPr>
          <w:rFonts w:ascii="Times New Roman" w:eastAsia="Segoe UI" w:hAnsi="Times New Roman" w:cs="Times New Roman"/>
          <w:color w:val="0F1115"/>
          <w:sz w:val="24"/>
          <w:shd w:val="clear" w:color="auto" w:fill="FFFFFF"/>
        </w:rPr>
        <w:t xml:space="preserve">s risk of infection </w:t>
      </w:r>
      <w:r>
        <w:rPr>
          <w:rFonts w:ascii="Times New Roman" w:eastAsia="Segoe UI" w:hAnsi="Times New Roman" w:cs="Times New Roman"/>
          <w:color w:val="0F1115"/>
          <w:sz w:val="24"/>
          <w:shd w:val="clear" w:color="auto" w:fill="FFFFFF"/>
          <w:vertAlign w:val="superscript"/>
        </w:rPr>
        <w:t>[5]</w:t>
      </w:r>
      <w:r>
        <w:rPr>
          <w:rFonts w:ascii="Times New Roman" w:eastAsia="Segoe UI" w:hAnsi="Times New Roman" w:cs="Times New Roman"/>
          <w:color w:val="0F1115"/>
          <w:sz w:val="24"/>
          <w:shd w:val="clear" w:color="auto" w:fill="FFFFFF"/>
        </w:rPr>
        <w:t>. There is clear room for optimization of the existing management model in primary healthcare settings. This study was conducted in such settings to investigate the practical utility of systematic vaccination management in the prevention and control of infectious diseases in children.</w:t>
      </w:r>
    </w:p>
    <w:p w14:paraId="00B6FA13" w14:textId="2E11C5A9" w:rsidR="003739CD" w:rsidRDefault="006E0A48" w:rsidP="00E70375">
      <w:pPr>
        <w:snapToGrid w:val="0"/>
        <w:ind w:firstLineChars="200" w:firstLine="480"/>
        <w:rPr>
          <w:rFonts w:ascii="Times New Roman" w:eastAsia="Segoe UI" w:hAnsi="Times New Roman" w:cs="Times New Roman"/>
          <w:color w:val="0F1115"/>
          <w:sz w:val="24"/>
          <w:shd w:val="clear" w:color="auto" w:fill="FFFFFF"/>
        </w:rPr>
      </w:pPr>
      <w:r>
        <w:rPr>
          <w:rFonts w:ascii="Times New Roman" w:eastAsia="Segoe UI" w:hAnsi="Times New Roman" w:cs="Times New Roman"/>
          <w:color w:val="0F1115"/>
          <w:sz w:val="24"/>
          <w:shd w:val="clear" w:color="auto" w:fill="FFFFFF"/>
        </w:rPr>
        <w:t>This study observed that children receiving systematic vaccination management achieved higher full-course vaccination rates, experienced fewer mild adverse reactions after vaccination, demonstrated better parental mastery of vaccine-preventable disease knowledge, and exhibited lower incidence of vaccine-preventable infectious diseases during the follow-up period. Some studies have suggested that overly complex health education content may induce information anxiety among parents, thereby reducing acceptance</w:t>
      </w:r>
      <w:r>
        <w:rPr>
          <w:rFonts w:ascii="Times New Roman" w:eastAsia="Segoe UI" w:hAnsi="Times New Roman" w:cs="Times New Roman"/>
          <w:color w:val="0F1115"/>
          <w:sz w:val="24"/>
          <w:shd w:val="clear" w:color="auto" w:fill="FFFFFF"/>
        </w:rPr>
        <w:t xml:space="preserve"> of vaccination. The single-dose lightweight health education materials used in this study—each</w:t>
      </w:r>
      <w:r>
        <w:rPr>
          <w:rFonts w:ascii="Times New Roman" w:eastAsia="SimSun" w:hAnsi="Times New Roman" w:cs="Times New Roman" w:hint="eastAsia"/>
          <w:color w:val="0F1115"/>
          <w:sz w:val="24"/>
          <w:shd w:val="clear" w:color="auto" w:fill="FFFFFF"/>
        </w:rPr>
        <w:t xml:space="preserve"> </w:t>
      </w:r>
      <w:r>
        <w:rPr>
          <w:rFonts w:ascii="Times New Roman" w:eastAsia="Segoe UI" w:hAnsi="Times New Roman" w:cs="Times New Roman"/>
          <w:color w:val="0F1115"/>
          <w:sz w:val="24"/>
          <w:shd w:val="clear" w:color="auto" w:fill="FFFFFF"/>
        </w:rPr>
        <w:t>push notification not exceeding two pages and precisely aligned with the key points of the corresponding vaccination—imposed no additional information burden on parents while enabling them to adjust their children</w:t>
      </w:r>
      <w:r w:rsidR="002747F3">
        <w:rPr>
          <w:rFonts w:ascii="Times New Roman" w:eastAsia="SimSun" w:hAnsi="Times New Roman" w:cs="Times New Roman"/>
          <w:color w:val="0F1115"/>
          <w:sz w:val="24"/>
          <w:shd w:val="clear" w:color="auto" w:fill="FFFFFF"/>
        </w:rPr>
        <w:t>’</w:t>
      </w:r>
      <w:r>
        <w:rPr>
          <w:rFonts w:ascii="Times New Roman" w:eastAsia="Segoe UI" w:hAnsi="Times New Roman" w:cs="Times New Roman"/>
          <w:color w:val="0F1115"/>
          <w:sz w:val="24"/>
          <w:shd w:val="clear" w:color="auto" w:fill="FFFFFF"/>
        </w:rPr>
        <w:t>s pre-vaccination diet and activity schedules in advance, thereby reducing post-vaccination discomfort caused by parental oversight. Standardized verification procedures on the day of vaccination and dedicated staff patrols in the observation area facilitated timely detection of adverse reactions in children, allowing immediate guidance and preventing progression of minor reactions</w:t>
      </w:r>
      <w:r>
        <w:rPr>
          <w:rFonts w:ascii="Times New Roman" w:eastAsia="Segoe UI" w:hAnsi="Times New Roman" w:cs="Times New Roman"/>
          <w:color w:val="0F1115"/>
          <w:sz w:val="24"/>
          <w:shd w:val="clear" w:color="auto" w:fill="FFFFFF"/>
          <w:vertAlign w:val="superscript"/>
        </w:rPr>
        <w:t xml:space="preserve"> [6]</w:t>
      </w:r>
      <w:r>
        <w:rPr>
          <w:rFonts w:ascii="Times New Roman" w:eastAsia="Segoe UI" w:hAnsi="Times New Roman" w:cs="Times New Roman"/>
          <w:color w:val="0F1115"/>
          <w:sz w:val="24"/>
          <w:shd w:val="clear" w:color="auto" w:fill="FFFFFF"/>
        </w:rPr>
        <w:t xml:space="preserve">. Proactive follow-up within 24 hours post-vaccination provided home care instructions for children with mild discomfort, alleviating parental anxiety and reducing unnecessary clinic visits </w:t>
      </w:r>
      <w:r>
        <w:rPr>
          <w:rFonts w:ascii="Times New Roman" w:eastAsia="Segoe UI" w:hAnsi="Times New Roman" w:cs="Times New Roman"/>
          <w:color w:val="0F1115"/>
          <w:sz w:val="24"/>
          <w:shd w:val="clear" w:color="auto" w:fill="FFFFFF"/>
          <w:vertAlign w:val="superscript"/>
        </w:rPr>
        <w:t>[7]</w:t>
      </w:r>
      <w:r>
        <w:rPr>
          <w:rFonts w:ascii="Times New Roman" w:eastAsia="Segoe UI" w:hAnsi="Times New Roman" w:cs="Times New Roman"/>
          <w:color w:val="0F1115"/>
          <w:sz w:val="24"/>
          <w:shd w:val="clear" w:color="auto" w:fill="FFFFFF"/>
        </w:rPr>
        <w:t>. In addition, bi-monthly offline educational sessions addressed parents</w:t>
      </w:r>
      <w:r w:rsidR="002747F3">
        <w:rPr>
          <w:rFonts w:ascii="Times New Roman" w:eastAsia="Segoe UI" w:hAnsi="Times New Roman" w:cs="Times New Roman"/>
          <w:color w:val="0F1115"/>
          <w:sz w:val="24"/>
          <w:shd w:val="clear" w:color="auto" w:fill="FFFFFF"/>
        </w:rPr>
        <w:t>’</w:t>
      </w:r>
      <w:r>
        <w:rPr>
          <w:rFonts w:ascii="Times New Roman" w:eastAsia="Segoe UI" w:hAnsi="Times New Roman" w:cs="Times New Roman"/>
          <w:color w:val="0F1115"/>
          <w:sz w:val="24"/>
          <w:shd w:val="clear" w:color="auto" w:fill="FFFFFF"/>
        </w:rPr>
        <w:t xml:space="preserve"> specific concerns, gradually correcting misconceptions about vaccination and enhancing their cooperation with the vaccination schedule </w:t>
      </w:r>
      <w:r>
        <w:rPr>
          <w:rFonts w:ascii="Times New Roman" w:eastAsia="Segoe UI" w:hAnsi="Times New Roman" w:cs="Times New Roman"/>
          <w:color w:val="0F1115"/>
          <w:sz w:val="24"/>
          <w:shd w:val="clear" w:color="auto" w:fill="FFFFFF"/>
          <w:vertAlign w:val="superscript"/>
        </w:rPr>
        <w:t>[8]</w:t>
      </w:r>
      <w:r>
        <w:rPr>
          <w:rFonts w:ascii="Times New Roman" w:eastAsia="Segoe UI" w:hAnsi="Times New Roman" w:cs="Times New Roman"/>
          <w:color w:val="0F1115"/>
          <w:sz w:val="24"/>
          <w:shd w:val="clear" w:color="auto" w:fill="FFFFFF"/>
        </w:rPr>
        <w:t>. In this study, parents in the observation group demonstrated significantly higher levels of knowledge awareness, which corresponded to higher full-course vaccination rates. The improvement in full-course vaccination rates directly reduced children</w:t>
      </w:r>
      <w:r w:rsidR="002747F3">
        <w:rPr>
          <w:rFonts w:ascii="Times New Roman" w:eastAsia="SimSun" w:hAnsi="Times New Roman" w:cs="Times New Roman"/>
          <w:color w:val="0F1115"/>
          <w:sz w:val="24"/>
          <w:shd w:val="clear" w:color="auto" w:fill="FFFFFF"/>
        </w:rPr>
        <w:t>’</w:t>
      </w:r>
      <w:r>
        <w:rPr>
          <w:rFonts w:ascii="Times New Roman" w:eastAsia="Segoe UI" w:hAnsi="Times New Roman" w:cs="Times New Roman"/>
          <w:color w:val="0F1115"/>
          <w:sz w:val="24"/>
          <w:shd w:val="clear" w:color="auto" w:fill="FFFFFF"/>
        </w:rPr>
        <w:t xml:space="preserve">s exposure risk to vaccine-preventable infectious diseases—the primary reason for the lower incidence in the observation group during follow-up. This association, to a certain extent, validates the protective effect of full-course vaccination against infectious diseases in children </w:t>
      </w:r>
      <w:r>
        <w:rPr>
          <w:rFonts w:ascii="Times New Roman" w:eastAsia="Segoe UI" w:hAnsi="Times New Roman" w:cs="Times New Roman"/>
          <w:color w:val="0F1115"/>
          <w:sz w:val="24"/>
          <w:shd w:val="clear" w:color="auto" w:fill="FFFFFF"/>
          <w:vertAlign w:val="superscript"/>
        </w:rPr>
        <w:t>[9]</w:t>
      </w:r>
      <w:r>
        <w:rPr>
          <w:rFonts w:ascii="Times New Roman" w:eastAsia="Segoe UI" w:hAnsi="Times New Roman" w:cs="Times New Roman"/>
          <w:color w:val="0F1115"/>
          <w:sz w:val="24"/>
          <w:shd w:val="clear" w:color="auto" w:fill="FFFFFF"/>
        </w:rPr>
        <w:t xml:space="preserve">. This study implemented the systematic vaccination management framework proposed by the National Disease Control and Prevention Administration in primary healthcare settings, supplementing the empirical data on this model in routine childhood vaccination among underserved populations. Compared with previous small-scale studies, this research included often-overlooked groups such as migrant and </w:t>
      </w:r>
      <w:r>
        <w:rPr>
          <w:rFonts w:ascii="Times New Roman" w:eastAsia="Segoe UI" w:hAnsi="Times New Roman" w:cs="Times New Roman"/>
          <w:color w:val="0F1115"/>
          <w:sz w:val="24"/>
          <w:shd w:val="clear" w:color="auto" w:fill="FFFFFF"/>
        </w:rPr>
        <w:lastRenderedPageBreak/>
        <w:t xml:space="preserve">remotely residing populations, with management measures more closely aligned with actual primary care conditions </w:t>
      </w:r>
      <w:r>
        <w:rPr>
          <w:rFonts w:ascii="Times New Roman" w:eastAsia="Segoe UI" w:hAnsi="Times New Roman" w:cs="Times New Roman"/>
          <w:color w:val="0F1115"/>
          <w:sz w:val="24"/>
          <w:shd w:val="clear" w:color="auto" w:fill="FFFFFF"/>
          <w:vertAlign w:val="superscript"/>
        </w:rPr>
        <w:t>[10]</w:t>
      </w:r>
      <w:r>
        <w:rPr>
          <w:rFonts w:ascii="Times New Roman" w:eastAsia="Segoe UI" w:hAnsi="Times New Roman" w:cs="Times New Roman"/>
          <w:color w:val="0F1115"/>
          <w:sz w:val="24"/>
          <w:shd w:val="clear" w:color="auto" w:fill="FFFFFF"/>
        </w:rPr>
        <w:t>. Moreover, the effectiveness of systematic vaccination management does not rely on high-end equipment or substantial financial investment, but rather on optimizing existing service processes to expand service coverage and enhance quality.</w:t>
      </w:r>
    </w:p>
    <w:p w14:paraId="06A46126" w14:textId="77777777" w:rsidR="003739CD" w:rsidRDefault="003739CD" w:rsidP="00E70375">
      <w:pPr>
        <w:snapToGrid w:val="0"/>
        <w:rPr>
          <w:rFonts w:ascii="Times New Roman" w:eastAsia="Segoe UI" w:hAnsi="Times New Roman" w:cs="Times New Roman"/>
          <w:color w:val="0F1115"/>
          <w:sz w:val="24"/>
          <w:shd w:val="clear" w:color="auto" w:fill="FFFFFF"/>
        </w:rPr>
      </w:pPr>
    </w:p>
    <w:p w14:paraId="6B2FA2A2" w14:textId="7AD8A2A8" w:rsidR="003739CD" w:rsidRDefault="002747F3" w:rsidP="00E70375">
      <w:pPr>
        <w:snapToGrid w:val="0"/>
        <w:rPr>
          <w:rFonts w:ascii="Times New Roman" w:eastAsia="Segoe UI" w:hAnsi="Times New Roman" w:cs="Times New Roman"/>
          <w:b/>
          <w:bCs/>
          <w:color w:val="0F1115"/>
          <w:sz w:val="24"/>
          <w:shd w:val="clear" w:color="auto" w:fill="FFFFFF"/>
        </w:rPr>
      </w:pPr>
      <w:r>
        <w:rPr>
          <w:rFonts w:ascii="Times New Roman" w:eastAsia="Segoe UI" w:hAnsi="Times New Roman" w:cs="Times New Roman"/>
          <w:b/>
          <w:bCs/>
          <w:color w:val="0F1115"/>
          <w:sz w:val="24"/>
          <w:shd w:val="clear" w:color="auto" w:fill="FFFFFF"/>
        </w:rPr>
        <w:t>5</w:t>
      </w:r>
      <w:r w:rsidR="006E0A48">
        <w:rPr>
          <w:rFonts w:ascii="Times New Roman" w:eastAsia="SimSun" w:hAnsi="Times New Roman" w:cs="Times New Roman"/>
          <w:b/>
          <w:bCs/>
          <w:color w:val="0F1115"/>
          <w:sz w:val="24"/>
          <w:shd w:val="clear" w:color="auto" w:fill="FFFFFF"/>
        </w:rPr>
        <w:t>.</w:t>
      </w:r>
      <w:r w:rsidR="006E0A48">
        <w:rPr>
          <w:rFonts w:ascii="Times New Roman" w:eastAsia="Segoe UI" w:hAnsi="Times New Roman" w:cs="Times New Roman"/>
          <w:b/>
          <w:bCs/>
          <w:color w:val="0F1115"/>
          <w:sz w:val="24"/>
          <w:shd w:val="clear" w:color="auto" w:fill="FFFFFF"/>
        </w:rPr>
        <w:t xml:space="preserve"> Conclusion</w:t>
      </w:r>
    </w:p>
    <w:p w14:paraId="1D7F1D37" w14:textId="77777777" w:rsidR="003739CD" w:rsidRDefault="006E0A48" w:rsidP="00E70375">
      <w:pPr>
        <w:snapToGrid w:val="0"/>
        <w:rPr>
          <w:rFonts w:ascii="Times New Roman" w:eastAsia="Segoe UI" w:hAnsi="Times New Roman" w:cs="Times New Roman"/>
          <w:color w:val="0F1115"/>
          <w:sz w:val="24"/>
          <w:shd w:val="clear" w:color="auto" w:fill="FFFFFF"/>
        </w:rPr>
      </w:pPr>
      <w:r>
        <w:rPr>
          <w:rFonts w:ascii="Times New Roman" w:eastAsia="Segoe UI" w:hAnsi="Times New Roman" w:cs="Times New Roman"/>
          <w:color w:val="0F1115"/>
          <w:sz w:val="24"/>
          <w:shd w:val="clear" w:color="auto" w:fill="FFFFFF"/>
        </w:rPr>
        <w:t>In summary, systematic vaccination management can increase the full-course vaccination rate for age-appropriate vaccines in children, reduce the occurrence of mild post-vaccination adverse reactions, help parents acquire more knowledge related to vaccine-preventable disease control, and lower the incidence of infectious diseases in children during the follow-up period.</w:t>
      </w:r>
    </w:p>
    <w:p w14:paraId="3090967B" w14:textId="77777777" w:rsidR="003739CD" w:rsidRDefault="003739CD" w:rsidP="00E70375">
      <w:pPr>
        <w:snapToGrid w:val="0"/>
        <w:rPr>
          <w:rFonts w:ascii="Times New Roman" w:eastAsia="Segoe UI" w:hAnsi="Times New Roman" w:cs="Times New Roman"/>
          <w:color w:val="0F1115"/>
          <w:sz w:val="24"/>
          <w:shd w:val="clear" w:color="auto" w:fill="FFFFFF"/>
        </w:rPr>
      </w:pPr>
    </w:p>
    <w:p w14:paraId="35E9BBCF" w14:textId="77777777" w:rsidR="003739CD" w:rsidRDefault="006E0A48" w:rsidP="00E70375">
      <w:pPr>
        <w:snapToGrid w:val="0"/>
        <w:rPr>
          <w:rFonts w:ascii="Times New Roman" w:hAnsi="Times New Roman"/>
          <w:b/>
          <w:bCs/>
          <w:sz w:val="24"/>
        </w:rPr>
      </w:pPr>
      <w:bookmarkStart w:id="0" w:name="_Hlk181689731"/>
      <w:r>
        <w:rPr>
          <w:rFonts w:ascii="Times New Roman" w:hAnsi="Times New Roman"/>
          <w:b/>
          <w:bCs/>
          <w:sz w:val="24"/>
        </w:rPr>
        <w:t>Disclosure statement</w:t>
      </w:r>
    </w:p>
    <w:p w14:paraId="62D6C6D8" w14:textId="63E5050F" w:rsidR="003739CD" w:rsidRDefault="006E0A48" w:rsidP="00E70375">
      <w:pPr>
        <w:snapToGrid w:val="0"/>
        <w:rPr>
          <w:rFonts w:ascii="Times New Roman" w:hAnsi="Times New Roman"/>
          <w:sz w:val="24"/>
        </w:rPr>
      </w:pPr>
      <w:r>
        <w:rPr>
          <w:rFonts w:ascii="Times New Roman" w:hAnsi="Times New Roman"/>
          <w:sz w:val="24"/>
        </w:rPr>
        <w:t>The author</w:t>
      </w:r>
      <w:r>
        <w:rPr>
          <w:rFonts w:ascii="Times New Roman" w:hAnsi="Times New Roman"/>
          <w:sz w:val="24"/>
        </w:rPr>
        <w:t xml:space="preserve"> declare</w:t>
      </w:r>
      <w:r w:rsidR="002747F3">
        <w:rPr>
          <w:rFonts w:ascii="Times New Roman" w:hAnsi="Times New Roman"/>
          <w:sz w:val="24"/>
        </w:rPr>
        <w:t>s</w:t>
      </w:r>
      <w:r>
        <w:rPr>
          <w:rFonts w:ascii="Times New Roman" w:hAnsi="Times New Roman"/>
          <w:sz w:val="24"/>
        </w:rPr>
        <w:t xml:space="preserve"> no conflict of interest. </w:t>
      </w:r>
    </w:p>
    <w:bookmarkEnd w:id="0"/>
    <w:p w14:paraId="649733B8" w14:textId="77777777" w:rsidR="003739CD" w:rsidRDefault="003739CD" w:rsidP="00E70375">
      <w:pPr>
        <w:snapToGrid w:val="0"/>
        <w:rPr>
          <w:rFonts w:ascii="Times New Roman" w:eastAsia="Segoe UI" w:hAnsi="Times New Roman" w:cs="Times New Roman"/>
          <w:color w:val="0F1115"/>
          <w:sz w:val="24"/>
          <w:shd w:val="clear" w:color="auto" w:fill="FFFFFF"/>
        </w:rPr>
      </w:pPr>
    </w:p>
    <w:p w14:paraId="17A7FF39" w14:textId="77777777" w:rsidR="003739CD" w:rsidRDefault="006E0A48" w:rsidP="002747F3">
      <w:pPr>
        <w:snapToGrid w:val="0"/>
        <w:rPr>
          <w:rFonts w:ascii="Times New Roman" w:eastAsia="Segoe UI" w:hAnsi="Times New Roman" w:cs="Times New Roman"/>
          <w:b/>
          <w:bCs/>
          <w:color w:val="0F1115"/>
          <w:sz w:val="24"/>
          <w:shd w:val="clear" w:color="auto" w:fill="FFFFFF"/>
        </w:rPr>
      </w:pPr>
      <w:r>
        <w:rPr>
          <w:rFonts w:ascii="Times New Roman" w:eastAsia="Segoe UI" w:hAnsi="Times New Roman" w:cs="Times New Roman"/>
          <w:b/>
          <w:bCs/>
          <w:color w:val="0F1115"/>
          <w:sz w:val="24"/>
          <w:shd w:val="clear" w:color="auto" w:fill="FFFFFF"/>
        </w:rPr>
        <w:t>References</w:t>
      </w:r>
    </w:p>
    <w:p w14:paraId="53B74866" w14:textId="77777777" w:rsidR="002747F3" w:rsidRDefault="002747F3" w:rsidP="002747F3">
      <w:pPr>
        <w:snapToGrid w:val="0"/>
        <w:ind w:left="709" w:hanging="709"/>
        <w:rPr>
          <w:rFonts w:ascii="Times New Roman" w:eastAsia="Segoe UI" w:hAnsi="Times New Roman" w:cs="Times New Roman"/>
          <w:color w:val="0F1115"/>
          <w:sz w:val="24"/>
          <w:shd w:val="clear" w:color="auto" w:fill="FFFFFF"/>
          <w:lang w:val="en-MY"/>
        </w:rPr>
      </w:pPr>
      <w:r w:rsidRPr="00E70375">
        <w:rPr>
          <w:rFonts w:ascii="Times New Roman" w:eastAsia="Segoe UI" w:hAnsi="Times New Roman" w:cs="Times New Roman"/>
          <w:color w:val="0F1115"/>
          <w:sz w:val="24"/>
          <w:shd w:val="clear" w:color="auto" w:fill="FFFFFF"/>
          <w:lang w:val="en-MY"/>
        </w:rPr>
        <w:t xml:space="preserve">[1] </w:t>
      </w:r>
      <w:r>
        <w:rPr>
          <w:rFonts w:ascii="Times New Roman" w:eastAsia="Segoe UI" w:hAnsi="Times New Roman" w:cs="Times New Roman"/>
          <w:color w:val="0F1115"/>
          <w:sz w:val="24"/>
          <w:shd w:val="clear" w:color="auto" w:fill="FFFFFF"/>
          <w:lang w:val="en-MY"/>
        </w:rPr>
        <w:tab/>
      </w:r>
      <w:r w:rsidRPr="00E70375">
        <w:rPr>
          <w:rFonts w:ascii="Times New Roman" w:eastAsia="Segoe UI" w:hAnsi="Times New Roman" w:cs="Times New Roman"/>
          <w:color w:val="0F1115"/>
          <w:sz w:val="24"/>
          <w:shd w:val="clear" w:color="auto" w:fill="FFFFFF"/>
          <w:lang w:val="en-MY"/>
        </w:rPr>
        <w:t>Wang S, Xu X, 2025, Impact of Vaccination on Children's Physical and Mental Health. Medical Frontier, 15(17): 46–50.</w:t>
      </w:r>
    </w:p>
    <w:p w14:paraId="21D7F20A" w14:textId="77777777" w:rsidR="002747F3" w:rsidRDefault="002747F3" w:rsidP="002747F3">
      <w:pPr>
        <w:snapToGrid w:val="0"/>
        <w:ind w:left="709" w:hanging="709"/>
        <w:rPr>
          <w:rFonts w:ascii="Times New Roman" w:eastAsia="Segoe UI" w:hAnsi="Times New Roman" w:cs="Times New Roman"/>
          <w:color w:val="0F1115"/>
          <w:sz w:val="24"/>
          <w:shd w:val="clear" w:color="auto" w:fill="FFFFFF"/>
          <w:lang w:val="en-MY"/>
        </w:rPr>
      </w:pPr>
      <w:r w:rsidRPr="00E70375">
        <w:rPr>
          <w:rFonts w:ascii="Times New Roman" w:eastAsia="Segoe UI" w:hAnsi="Times New Roman" w:cs="Times New Roman"/>
          <w:color w:val="0F1115"/>
          <w:sz w:val="24"/>
          <w:shd w:val="clear" w:color="auto" w:fill="FFFFFF"/>
          <w:lang w:val="en-MY"/>
        </w:rPr>
        <w:t xml:space="preserve">[2] </w:t>
      </w:r>
      <w:r>
        <w:rPr>
          <w:rFonts w:ascii="Times New Roman" w:eastAsia="Segoe UI" w:hAnsi="Times New Roman" w:cs="Times New Roman"/>
          <w:color w:val="0F1115"/>
          <w:sz w:val="24"/>
          <w:shd w:val="clear" w:color="auto" w:fill="FFFFFF"/>
          <w:lang w:val="en-MY"/>
        </w:rPr>
        <w:tab/>
      </w:r>
      <w:r w:rsidRPr="00E70375">
        <w:rPr>
          <w:rFonts w:ascii="Times New Roman" w:eastAsia="Segoe UI" w:hAnsi="Times New Roman" w:cs="Times New Roman"/>
          <w:color w:val="0F1115"/>
          <w:sz w:val="24"/>
          <w:shd w:val="clear" w:color="auto" w:fill="FFFFFF"/>
          <w:lang w:val="en-MY"/>
        </w:rPr>
        <w:t>Yao F, Zhou J, Wang D, et al., 2025, Evaluation of Varicella Vaccination Coverage and Vaccine Effectiveness Among Children Born From 2014 to 2022 in Qianjiang District, Chongqing. Chinese Journal of Vaccines and Immunization, 31(2): 163–167.</w:t>
      </w:r>
    </w:p>
    <w:p w14:paraId="10C012DD" w14:textId="77777777" w:rsidR="002747F3" w:rsidRDefault="002747F3" w:rsidP="002747F3">
      <w:pPr>
        <w:snapToGrid w:val="0"/>
        <w:ind w:left="709" w:hanging="709"/>
        <w:rPr>
          <w:rFonts w:ascii="Times New Roman" w:eastAsia="Segoe UI" w:hAnsi="Times New Roman" w:cs="Times New Roman"/>
          <w:color w:val="0F1115"/>
          <w:sz w:val="24"/>
          <w:shd w:val="clear" w:color="auto" w:fill="FFFFFF"/>
          <w:lang w:val="en-MY"/>
        </w:rPr>
      </w:pPr>
      <w:r w:rsidRPr="00E70375">
        <w:rPr>
          <w:rFonts w:ascii="Times New Roman" w:eastAsia="Segoe UI" w:hAnsi="Times New Roman" w:cs="Times New Roman"/>
          <w:color w:val="0F1115"/>
          <w:sz w:val="24"/>
          <w:shd w:val="clear" w:color="auto" w:fill="FFFFFF"/>
          <w:lang w:val="en-MY"/>
        </w:rPr>
        <w:t xml:space="preserve">[3] </w:t>
      </w:r>
      <w:r>
        <w:rPr>
          <w:rFonts w:ascii="Times New Roman" w:eastAsia="Segoe UI" w:hAnsi="Times New Roman" w:cs="Times New Roman"/>
          <w:color w:val="0F1115"/>
          <w:sz w:val="24"/>
          <w:shd w:val="clear" w:color="auto" w:fill="FFFFFF"/>
          <w:lang w:val="en-MY"/>
        </w:rPr>
        <w:tab/>
      </w:r>
      <w:r w:rsidRPr="00E70375">
        <w:rPr>
          <w:rFonts w:ascii="Times New Roman" w:eastAsia="Segoe UI" w:hAnsi="Times New Roman" w:cs="Times New Roman"/>
          <w:color w:val="0F1115"/>
          <w:sz w:val="24"/>
          <w:shd w:val="clear" w:color="auto" w:fill="FFFFFF"/>
          <w:lang w:val="en-MY"/>
        </w:rPr>
        <w:t>Lyu M, Wang Z, Wang Y, et al., 2025, Effect of Influenza Vaccination on Prevention of Respiratory Tract Infections in Preschool Children. Public Health and Preventive Medicine, 36(4): 73–76.</w:t>
      </w:r>
    </w:p>
    <w:p w14:paraId="523FD29F" w14:textId="77777777" w:rsidR="002747F3" w:rsidRDefault="002747F3" w:rsidP="002747F3">
      <w:pPr>
        <w:snapToGrid w:val="0"/>
        <w:ind w:left="709" w:hanging="709"/>
        <w:rPr>
          <w:rFonts w:ascii="Times New Roman" w:eastAsia="Segoe UI" w:hAnsi="Times New Roman" w:cs="Times New Roman"/>
          <w:color w:val="0F1115"/>
          <w:sz w:val="24"/>
          <w:shd w:val="clear" w:color="auto" w:fill="FFFFFF"/>
          <w:lang w:val="en-MY"/>
        </w:rPr>
      </w:pPr>
      <w:r w:rsidRPr="00E70375">
        <w:rPr>
          <w:rFonts w:ascii="Times New Roman" w:eastAsia="Segoe UI" w:hAnsi="Times New Roman" w:cs="Times New Roman"/>
          <w:color w:val="0F1115"/>
          <w:sz w:val="24"/>
          <w:shd w:val="clear" w:color="auto" w:fill="FFFFFF"/>
          <w:lang w:val="en-MY"/>
        </w:rPr>
        <w:t xml:space="preserve">[4] </w:t>
      </w:r>
      <w:r>
        <w:rPr>
          <w:rFonts w:ascii="Times New Roman" w:eastAsia="Segoe UI" w:hAnsi="Times New Roman" w:cs="Times New Roman"/>
          <w:color w:val="0F1115"/>
          <w:sz w:val="24"/>
          <w:shd w:val="clear" w:color="auto" w:fill="FFFFFF"/>
          <w:lang w:val="en-MY"/>
        </w:rPr>
        <w:tab/>
      </w:r>
      <w:r w:rsidRPr="00E70375">
        <w:rPr>
          <w:rFonts w:ascii="Times New Roman" w:eastAsia="Segoe UI" w:hAnsi="Times New Roman" w:cs="Times New Roman"/>
          <w:color w:val="0F1115"/>
          <w:sz w:val="24"/>
          <w:shd w:val="clear" w:color="auto" w:fill="FFFFFF"/>
          <w:lang w:val="en-MY"/>
        </w:rPr>
        <w:t>Wang T, Li X, Dong Y, et al., 2025, Analysis of the Current Status of Vaccine Clinical Trials in the Pediatric Population in China. Chinese Journal of New Drugs, 34(10): 1096–1100.</w:t>
      </w:r>
    </w:p>
    <w:p w14:paraId="2B8B1CFA" w14:textId="77777777" w:rsidR="002747F3" w:rsidRDefault="002747F3" w:rsidP="002747F3">
      <w:pPr>
        <w:snapToGrid w:val="0"/>
        <w:ind w:left="709" w:hanging="709"/>
        <w:rPr>
          <w:rFonts w:ascii="Times New Roman" w:eastAsia="Segoe UI" w:hAnsi="Times New Roman" w:cs="Times New Roman"/>
          <w:color w:val="0F1115"/>
          <w:sz w:val="24"/>
          <w:shd w:val="clear" w:color="auto" w:fill="FFFFFF"/>
          <w:lang w:val="en-MY"/>
        </w:rPr>
      </w:pPr>
      <w:r w:rsidRPr="00E70375">
        <w:rPr>
          <w:rFonts w:ascii="Times New Roman" w:eastAsia="Segoe UI" w:hAnsi="Times New Roman" w:cs="Times New Roman"/>
          <w:color w:val="0F1115"/>
          <w:sz w:val="24"/>
          <w:shd w:val="clear" w:color="auto" w:fill="FFFFFF"/>
          <w:lang w:val="en-MY"/>
        </w:rPr>
        <w:t xml:space="preserve">[5] </w:t>
      </w:r>
      <w:r>
        <w:rPr>
          <w:rFonts w:ascii="Times New Roman" w:eastAsia="Segoe UI" w:hAnsi="Times New Roman" w:cs="Times New Roman"/>
          <w:color w:val="0F1115"/>
          <w:sz w:val="24"/>
          <w:shd w:val="clear" w:color="auto" w:fill="FFFFFF"/>
          <w:lang w:val="en-MY"/>
        </w:rPr>
        <w:tab/>
      </w:r>
      <w:r w:rsidRPr="00E70375">
        <w:rPr>
          <w:rFonts w:ascii="Times New Roman" w:eastAsia="Segoe UI" w:hAnsi="Times New Roman" w:cs="Times New Roman"/>
          <w:color w:val="0F1115"/>
          <w:sz w:val="24"/>
          <w:shd w:val="clear" w:color="auto" w:fill="FFFFFF"/>
          <w:lang w:val="en-MY"/>
        </w:rPr>
        <w:t>Sang J, Li T, Zhou R, et al., 2025, Investigation and Influencing Factors of Varicella Vaccination Behavior Among Age-Appropriate Children in Chuxiong Prefecture. Modern Preventive Medicine, 52(10): 1796–1801 + 1920.</w:t>
      </w:r>
    </w:p>
    <w:p w14:paraId="3FFB50AD" w14:textId="77777777" w:rsidR="002747F3" w:rsidRDefault="002747F3" w:rsidP="002747F3">
      <w:pPr>
        <w:snapToGrid w:val="0"/>
        <w:ind w:left="709" w:hanging="709"/>
        <w:rPr>
          <w:rFonts w:ascii="Times New Roman" w:eastAsia="Segoe UI" w:hAnsi="Times New Roman" w:cs="Times New Roman"/>
          <w:color w:val="0F1115"/>
          <w:sz w:val="24"/>
          <w:shd w:val="clear" w:color="auto" w:fill="FFFFFF"/>
          <w:lang w:val="en-MY"/>
        </w:rPr>
      </w:pPr>
      <w:r w:rsidRPr="00E70375">
        <w:rPr>
          <w:rFonts w:ascii="Times New Roman" w:eastAsia="Segoe UI" w:hAnsi="Times New Roman" w:cs="Times New Roman"/>
          <w:color w:val="0F1115"/>
          <w:sz w:val="24"/>
          <w:shd w:val="clear" w:color="auto" w:fill="FFFFFF"/>
          <w:lang w:val="en-MY"/>
        </w:rPr>
        <w:t xml:space="preserve">[6] </w:t>
      </w:r>
      <w:r>
        <w:rPr>
          <w:rFonts w:ascii="Times New Roman" w:eastAsia="Segoe UI" w:hAnsi="Times New Roman" w:cs="Times New Roman"/>
          <w:color w:val="0F1115"/>
          <w:sz w:val="24"/>
          <w:shd w:val="clear" w:color="auto" w:fill="FFFFFF"/>
          <w:lang w:val="en-MY"/>
        </w:rPr>
        <w:tab/>
      </w:r>
      <w:r w:rsidRPr="00E70375">
        <w:rPr>
          <w:rFonts w:ascii="Times New Roman" w:eastAsia="Segoe UI" w:hAnsi="Times New Roman" w:cs="Times New Roman"/>
          <w:color w:val="0F1115"/>
          <w:sz w:val="24"/>
          <w:shd w:val="clear" w:color="auto" w:fill="FFFFFF"/>
          <w:lang w:val="en-MY"/>
        </w:rPr>
        <w:t>Wu Y, 2025, Observation on the Application Effect of Infectious Disease Condition Management in Adult Hepatitis B Vaccination Prevention and Control. Chinese Journal of Metallurgical Industry Medicine, 42(3): 370–371.</w:t>
      </w:r>
    </w:p>
    <w:p w14:paraId="12FEA505" w14:textId="77777777" w:rsidR="002747F3" w:rsidRDefault="002747F3" w:rsidP="002747F3">
      <w:pPr>
        <w:snapToGrid w:val="0"/>
        <w:ind w:left="709" w:hanging="709"/>
        <w:rPr>
          <w:rFonts w:ascii="Times New Roman" w:eastAsia="Segoe UI" w:hAnsi="Times New Roman" w:cs="Times New Roman"/>
          <w:color w:val="0F1115"/>
          <w:sz w:val="24"/>
          <w:shd w:val="clear" w:color="auto" w:fill="FFFFFF"/>
          <w:lang w:val="en-MY"/>
        </w:rPr>
      </w:pPr>
      <w:r w:rsidRPr="00E70375">
        <w:rPr>
          <w:rFonts w:ascii="Times New Roman" w:eastAsia="Segoe UI" w:hAnsi="Times New Roman" w:cs="Times New Roman"/>
          <w:color w:val="0F1115"/>
          <w:sz w:val="24"/>
          <w:shd w:val="clear" w:color="auto" w:fill="FFFFFF"/>
          <w:lang w:val="en-MY"/>
        </w:rPr>
        <w:t xml:space="preserve">[7] </w:t>
      </w:r>
      <w:r>
        <w:rPr>
          <w:rFonts w:ascii="Times New Roman" w:eastAsia="Segoe UI" w:hAnsi="Times New Roman" w:cs="Times New Roman"/>
          <w:color w:val="0F1115"/>
          <w:sz w:val="24"/>
          <w:shd w:val="clear" w:color="auto" w:fill="FFFFFF"/>
          <w:lang w:val="en-MY"/>
        </w:rPr>
        <w:tab/>
      </w:r>
      <w:r w:rsidRPr="00E70375">
        <w:rPr>
          <w:rFonts w:ascii="Times New Roman" w:eastAsia="Segoe UI" w:hAnsi="Times New Roman" w:cs="Times New Roman"/>
          <w:color w:val="0F1115"/>
          <w:sz w:val="24"/>
          <w:shd w:val="clear" w:color="auto" w:fill="FFFFFF"/>
          <w:lang w:val="en-MY"/>
        </w:rPr>
        <w:t>Yuan J, Wang Y, Sun J, et al., 2025, Construction of a Prevention and Control Management Plan for Hospital Ships Responding to Emerging Respiratory Infectious Diseases. Academic Journal of Naval Medical University, 46(7): 938–943.</w:t>
      </w:r>
    </w:p>
    <w:p w14:paraId="00940579" w14:textId="77777777" w:rsidR="002747F3" w:rsidRDefault="002747F3" w:rsidP="002747F3">
      <w:pPr>
        <w:snapToGrid w:val="0"/>
        <w:ind w:left="709" w:hanging="709"/>
        <w:rPr>
          <w:rFonts w:ascii="Times New Roman" w:eastAsia="Segoe UI" w:hAnsi="Times New Roman" w:cs="Times New Roman"/>
          <w:color w:val="0F1115"/>
          <w:sz w:val="24"/>
          <w:shd w:val="clear" w:color="auto" w:fill="FFFFFF"/>
          <w:lang w:val="en-MY"/>
        </w:rPr>
      </w:pPr>
      <w:r w:rsidRPr="00E70375">
        <w:rPr>
          <w:rFonts w:ascii="Times New Roman" w:eastAsia="Segoe UI" w:hAnsi="Times New Roman" w:cs="Times New Roman"/>
          <w:color w:val="0F1115"/>
          <w:sz w:val="24"/>
          <w:shd w:val="clear" w:color="auto" w:fill="FFFFFF"/>
          <w:lang w:val="en-MY"/>
        </w:rPr>
        <w:t xml:space="preserve">[8] </w:t>
      </w:r>
      <w:r>
        <w:rPr>
          <w:rFonts w:ascii="Times New Roman" w:eastAsia="Segoe UI" w:hAnsi="Times New Roman" w:cs="Times New Roman"/>
          <w:color w:val="0F1115"/>
          <w:sz w:val="24"/>
          <w:shd w:val="clear" w:color="auto" w:fill="FFFFFF"/>
          <w:lang w:val="en-MY"/>
        </w:rPr>
        <w:tab/>
      </w:r>
      <w:r w:rsidRPr="00E70375">
        <w:rPr>
          <w:rFonts w:ascii="Times New Roman" w:eastAsia="Segoe UI" w:hAnsi="Times New Roman" w:cs="Times New Roman"/>
          <w:color w:val="0F1115"/>
          <w:sz w:val="24"/>
          <w:shd w:val="clear" w:color="auto" w:fill="FFFFFF"/>
          <w:lang w:val="en-MY"/>
        </w:rPr>
        <w:t>Gao F, Li X, Li S, 2025, Investigation of the Prevention and Control of Infectious Diseases by Vaccines in the National Immunization Program in Heping District, Tianjin, 2014–2023. Journal of Community Medicine, 23(1): 16–21.</w:t>
      </w:r>
    </w:p>
    <w:p w14:paraId="442D14FE" w14:textId="77777777" w:rsidR="002747F3" w:rsidRDefault="002747F3" w:rsidP="002747F3">
      <w:pPr>
        <w:snapToGrid w:val="0"/>
        <w:ind w:left="709" w:hanging="709"/>
        <w:rPr>
          <w:rFonts w:ascii="Times New Roman" w:eastAsia="Segoe UI" w:hAnsi="Times New Roman" w:cs="Times New Roman"/>
          <w:color w:val="0F1115"/>
          <w:sz w:val="24"/>
          <w:shd w:val="clear" w:color="auto" w:fill="FFFFFF"/>
          <w:lang w:val="en-MY"/>
        </w:rPr>
      </w:pPr>
      <w:r w:rsidRPr="00E70375">
        <w:rPr>
          <w:rFonts w:ascii="Times New Roman" w:eastAsia="Segoe UI" w:hAnsi="Times New Roman" w:cs="Times New Roman"/>
          <w:color w:val="0F1115"/>
          <w:sz w:val="24"/>
          <w:shd w:val="clear" w:color="auto" w:fill="FFFFFF"/>
          <w:lang w:val="en-MY"/>
        </w:rPr>
        <w:t xml:space="preserve">[9] </w:t>
      </w:r>
      <w:r>
        <w:rPr>
          <w:rFonts w:ascii="Times New Roman" w:eastAsia="Segoe UI" w:hAnsi="Times New Roman" w:cs="Times New Roman"/>
          <w:color w:val="0F1115"/>
          <w:sz w:val="24"/>
          <w:shd w:val="clear" w:color="auto" w:fill="FFFFFF"/>
          <w:lang w:val="en-MY"/>
        </w:rPr>
        <w:tab/>
      </w:r>
      <w:r w:rsidRPr="00E70375">
        <w:rPr>
          <w:rFonts w:ascii="Times New Roman" w:eastAsia="Segoe UI" w:hAnsi="Times New Roman" w:cs="Times New Roman"/>
          <w:color w:val="0F1115"/>
          <w:sz w:val="24"/>
          <w:shd w:val="clear" w:color="auto" w:fill="FFFFFF"/>
          <w:lang w:val="en-MY"/>
        </w:rPr>
        <w:t xml:space="preserve">Li X, 2025, Application Value of Childhood Vaccination in Infectious Disease Prevention and Control Management in Schools. Women, </w:t>
      </w:r>
      <w:r>
        <w:rPr>
          <w:rFonts w:ascii="Times New Roman" w:eastAsia="Segoe UI" w:hAnsi="Times New Roman" w:cs="Times New Roman"/>
          <w:color w:val="0F1115"/>
          <w:sz w:val="24"/>
          <w:shd w:val="clear" w:color="auto" w:fill="FFFFFF"/>
          <w:lang w:val="en-MY"/>
        </w:rPr>
        <w:t>2025</w:t>
      </w:r>
      <w:r w:rsidRPr="00E70375">
        <w:rPr>
          <w:rFonts w:ascii="Times New Roman" w:eastAsia="Segoe UI" w:hAnsi="Times New Roman" w:cs="Times New Roman"/>
          <w:color w:val="0F1115"/>
          <w:sz w:val="24"/>
          <w:shd w:val="clear" w:color="auto" w:fill="FFFFFF"/>
          <w:lang w:val="en-MY"/>
        </w:rPr>
        <w:t>(7): 65–67.</w:t>
      </w:r>
    </w:p>
    <w:p w14:paraId="35B45E44" w14:textId="3E3353EB" w:rsidR="002747F3" w:rsidRPr="00E70375" w:rsidRDefault="002747F3" w:rsidP="00E70375">
      <w:pPr>
        <w:snapToGrid w:val="0"/>
        <w:ind w:left="709" w:hanging="709"/>
        <w:rPr>
          <w:rFonts w:ascii="Times New Roman" w:eastAsia="Segoe UI" w:hAnsi="Times New Roman" w:cs="Times New Roman"/>
          <w:color w:val="0F1115"/>
          <w:sz w:val="24"/>
          <w:shd w:val="clear" w:color="auto" w:fill="FFFFFF"/>
          <w:lang w:val="en-MY"/>
        </w:rPr>
      </w:pPr>
      <w:r w:rsidRPr="00E70375">
        <w:rPr>
          <w:rFonts w:ascii="Times New Roman" w:eastAsia="Segoe UI" w:hAnsi="Times New Roman" w:cs="Times New Roman"/>
          <w:color w:val="0F1115"/>
          <w:sz w:val="24"/>
          <w:shd w:val="clear" w:color="auto" w:fill="FFFFFF"/>
          <w:lang w:val="en-MY"/>
        </w:rPr>
        <w:t xml:space="preserve">[10] </w:t>
      </w:r>
      <w:r>
        <w:rPr>
          <w:rFonts w:ascii="Times New Roman" w:eastAsia="Segoe UI" w:hAnsi="Times New Roman" w:cs="Times New Roman"/>
          <w:color w:val="0F1115"/>
          <w:sz w:val="24"/>
          <w:shd w:val="clear" w:color="auto" w:fill="FFFFFF"/>
          <w:lang w:val="en-MY"/>
        </w:rPr>
        <w:tab/>
      </w:r>
      <w:r w:rsidRPr="00E70375">
        <w:rPr>
          <w:rFonts w:ascii="Times New Roman" w:eastAsia="Segoe UI" w:hAnsi="Times New Roman" w:cs="Times New Roman"/>
          <w:color w:val="0F1115"/>
          <w:sz w:val="24"/>
          <w:shd w:val="clear" w:color="auto" w:fill="FFFFFF"/>
          <w:lang w:val="en-MY"/>
        </w:rPr>
        <w:t>Zhang Y, 2025, Application Value of Immunization Program Management in the Prevention and Control of Infectious Diseases in Children. Chinese Community Physicians, 41(6): 153–155.</w:t>
      </w:r>
    </w:p>
    <w:p w14:paraId="3C4E11CE" w14:textId="77777777" w:rsidR="002747F3" w:rsidRDefault="002747F3" w:rsidP="002747F3">
      <w:pPr>
        <w:snapToGrid w:val="0"/>
        <w:rPr>
          <w:rFonts w:ascii="Times New Roman" w:eastAsia="Segoe UI" w:hAnsi="Times New Roman" w:cs="Times New Roman"/>
          <w:b/>
          <w:bCs/>
          <w:color w:val="0F1115"/>
          <w:sz w:val="24"/>
          <w:shd w:val="clear" w:color="auto" w:fill="FFFFFF"/>
        </w:rPr>
      </w:pPr>
    </w:p>
    <w:p w14:paraId="704AE59A" w14:textId="77777777" w:rsidR="002747F3" w:rsidRPr="002001C1" w:rsidRDefault="002747F3" w:rsidP="002747F3">
      <w:pPr>
        <w:snapToGrid w:val="0"/>
        <w:rPr>
          <w:rFonts w:ascii="Times New Roman" w:hAnsi="Times New Roman" w:cs="Times New Roman"/>
          <w:b/>
          <w:bCs/>
          <w:sz w:val="20"/>
          <w:szCs w:val="20"/>
        </w:rPr>
      </w:pPr>
      <w:r w:rsidRPr="002001C1">
        <w:rPr>
          <w:rFonts w:ascii="Times New Roman" w:hAnsi="Times New Roman" w:cs="Times New Roman"/>
          <w:b/>
          <w:bCs/>
          <w:sz w:val="20"/>
          <w:szCs w:val="20"/>
        </w:rPr>
        <w:t>Publisher’s note</w:t>
      </w:r>
    </w:p>
    <w:p w14:paraId="045737BD" w14:textId="77777777" w:rsidR="002747F3" w:rsidRPr="002001C1" w:rsidRDefault="002747F3" w:rsidP="002747F3">
      <w:pPr>
        <w:snapToGrid w:val="0"/>
        <w:rPr>
          <w:rFonts w:ascii="Times New Roman" w:hAnsi="Times New Roman" w:cs="Times New Roman"/>
          <w:sz w:val="20"/>
          <w:szCs w:val="20"/>
        </w:rPr>
      </w:pPr>
      <w:r w:rsidRPr="002001C1">
        <w:rPr>
          <w:rFonts w:ascii="Times New Roman" w:hAnsi="Times New Roman" w:cs="Times New Roman"/>
          <w:sz w:val="20"/>
          <w:szCs w:val="20"/>
        </w:rPr>
        <w:t xml:space="preserve">Bio-Byword Scientific Publishing remains neutral with regard to jurisdictional claims in published maps and institutional affiliations. </w:t>
      </w:r>
    </w:p>
    <w:p w14:paraId="24C87EB1" w14:textId="77777777" w:rsidR="002747F3" w:rsidRDefault="002747F3" w:rsidP="00E70375">
      <w:pPr>
        <w:snapToGrid w:val="0"/>
        <w:rPr>
          <w:rFonts w:ascii="Times New Roman" w:eastAsia="Segoe UI" w:hAnsi="Times New Roman" w:cs="Times New Roman"/>
          <w:b/>
          <w:bCs/>
          <w:color w:val="0F1115"/>
          <w:sz w:val="24"/>
          <w:shd w:val="clear" w:color="auto" w:fill="FFFFFF"/>
        </w:rPr>
      </w:pPr>
    </w:p>
    <w:sectPr w:rsidR="002747F3" w:rsidSect="002747F3">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9A067BB-A38F-43B5-81FA-3BBE4958D9E4}"/>
    <w:embedBold r:id="rId2" w:fontKey="{9E47D640-C15D-437A-9CEC-2CB45AD81489}"/>
    <w:embedItalic r:id="rId3" w:fontKey="{22A05487-DDB2-4F4D-B5AB-4CD3E8D206A6}"/>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F85CEF09-ECD2-4F68-8A99-D104BD0F815E}"/>
  </w:font>
  <w:font w:name="Segoe UI">
    <w:panose1 w:val="020B0502040204020203"/>
    <w:charset w:val="00"/>
    <w:family w:val="swiss"/>
    <w:pitch w:val="variable"/>
    <w:sig w:usb0="E4002EFF" w:usb1="C000E47F" w:usb2="00000009" w:usb3="00000000" w:csb0="000001FF" w:csb1="00000000"/>
    <w:embedRegular r:id="rId5" w:fontKey="{47D53B3F-F20F-419E-8C74-63B92E843BE8}"/>
    <w:embedBold r:id="rId6" w:fontKey="{821A2F20-71FD-42F7-AE4B-A6AE60CBDC3D}"/>
    <w:embedItalic r:id="rId7" w:fontKey="{76BADF85-E691-447C-A9E1-EEAFD3941BDD}"/>
  </w:font>
  <w:font w:name="Calibri Light">
    <w:panose1 w:val="020F0302020204030204"/>
    <w:charset w:val="00"/>
    <w:family w:val="swiss"/>
    <w:pitch w:val="variable"/>
    <w:sig w:usb0="E4002EFF" w:usb1="C200247B" w:usb2="00000009" w:usb3="00000000" w:csb0="000001FF" w:csb1="00000000"/>
    <w:embedRegular r:id="rId8" w:fontKey="{A83852B8-72C3-4303-895A-0F27479DE65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B0C0DFF"/>
    <w:rsid w:val="002747F3"/>
    <w:rsid w:val="003739CD"/>
    <w:rsid w:val="003B6A3F"/>
    <w:rsid w:val="006E0A48"/>
    <w:rsid w:val="00E70375"/>
    <w:rsid w:val="2CA54C6A"/>
    <w:rsid w:val="2FEB0AEF"/>
    <w:rsid w:val="4B0C0DFF"/>
    <w:rsid w:val="4C0249A2"/>
    <w:rsid w:val="616A3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F8F65"/>
  <w15:docId w15:val="{852F396B-8003-4AA9-BA16-A2F88642D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Pr>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2747F3"/>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3061</Words>
  <Characters>17453</Characters>
  <Application>Microsoft Office Word</Application>
  <DocSecurity>0</DocSecurity>
  <Lines>145</Lines>
  <Paragraphs>40</Paragraphs>
  <ScaleCrop>false</ScaleCrop>
  <Company/>
  <LinksUpToDate>false</LinksUpToDate>
  <CharactersWithSpaces>20474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Acer NB1</cp:lastModifiedBy>
  <cp:revision>2</cp:revision>
  <dcterms:created xsi:type="dcterms:W3CDTF">2026-09-11T04:51:00Z</dcterms:created>
  <dcterms:modified xsi:type="dcterms:W3CDTF">2026-09-11T04:51:00Z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2B39BD3BF2AD4EF386CC51BFA553D53E_11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6601c84f-0eec-4605-bb7e-433d67834910</vt:lpwstr>
  </property>
</Properties>
</file>