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D09" w14:textId="2DBAB6F5" w:rsidR="00D505D7" w:rsidRDefault="00000000" w:rsidP="00131A7E">
      <w:pPr>
        <w:snapToGrid w:val="0"/>
        <w:ind w:left="110"/>
        <w:rPr>
          <w:b/>
          <w:bCs/>
          <w:sz w:val="44"/>
          <w:szCs w:val="44"/>
          <w:lang w:val="en-US"/>
        </w:rPr>
      </w:pPr>
      <w:r>
        <w:rPr>
          <w:b/>
          <w:bCs/>
          <w:sz w:val="44"/>
          <w:szCs w:val="44"/>
          <w:lang w:val="en-US"/>
        </w:rPr>
        <w:t>Evaluation of the Sensitivity and Timeliness of Vaccine-Preventable Disease (Pertussis, Meningococcal Meningitis) Surveillance in Puyang City, Henan Province under New Circumstances</w:t>
      </w:r>
    </w:p>
    <w:p w14:paraId="2DF9BD0A" w14:textId="328FEA7A" w:rsidR="00D505D7" w:rsidRDefault="00000000" w:rsidP="00131A7E">
      <w:pPr>
        <w:pStyle w:val="BodyText"/>
        <w:snapToGrid w:val="0"/>
        <w:rPr>
          <w:rFonts w:eastAsia="SimSun"/>
          <w:b/>
          <w:sz w:val="24"/>
          <w:szCs w:val="24"/>
          <w:vertAlign w:val="superscript"/>
          <w:lang w:val="en-US"/>
        </w:rPr>
      </w:pPr>
      <w:r>
        <w:rPr>
          <w:rFonts w:eastAsia="SimSun"/>
          <w:b/>
          <w:sz w:val="24"/>
          <w:szCs w:val="24"/>
          <w:lang w:val="en-US"/>
        </w:rPr>
        <w:t xml:space="preserve">  Ang Li</w:t>
      </w:r>
      <w:r>
        <w:rPr>
          <w:rFonts w:eastAsia="SimSun"/>
          <w:b/>
          <w:sz w:val="24"/>
          <w:szCs w:val="24"/>
          <w:vertAlign w:val="superscript"/>
          <w:lang w:val="en-US"/>
        </w:rPr>
        <w:t>1</w:t>
      </w:r>
      <w:r>
        <w:rPr>
          <w:rFonts w:eastAsia="SimSun" w:hint="eastAsia"/>
          <w:b/>
          <w:sz w:val="24"/>
          <w:szCs w:val="24"/>
          <w:lang w:val="en-US"/>
        </w:rPr>
        <w:t>,</w:t>
      </w:r>
      <w:r>
        <w:rPr>
          <w:rFonts w:eastAsia="SimSun"/>
          <w:b/>
          <w:sz w:val="24"/>
          <w:szCs w:val="24"/>
          <w:lang w:val="en-US"/>
        </w:rPr>
        <w:t xml:space="preserve"> Xiangjie</w:t>
      </w:r>
      <w:r>
        <w:rPr>
          <w:rFonts w:eastAsia="SimSun"/>
          <w:b/>
          <w:sz w:val="24"/>
          <w:szCs w:val="24"/>
          <w:vertAlign w:val="superscript"/>
          <w:lang w:val="en-US"/>
        </w:rPr>
        <w:t xml:space="preserve"> </w:t>
      </w:r>
      <w:r>
        <w:rPr>
          <w:rFonts w:eastAsia="SimSun"/>
          <w:b/>
          <w:sz w:val="24"/>
          <w:szCs w:val="24"/>
          <w:lang w:val="en-US"/>
        </w:rPr>
        <w:t xml:space="preserve">Li </w:t>
      </w:r>
      <w:r>
        <w:rPr>
          <w:rFonts w:eastAsia="SimSun"/>
          <w:b/>
          <w:sz w:val="24"/>
          <w:szCs w:val="24"/>
          <w:vertAlign w:val="superscript"/>
          <w:lang w:val="en-US"/>
        </w:rPr>
        <w:t>2</w:t>
      </w:r>
      <w:r>
        <w:rPr>
          <w:rFonts w:eastAsia="SimSun" w:hint="eastAsia"/>
          <w:b/>
          <w:sz w:val="24"/>
          <w:szCs w:val="24"/>
          <w:lang w:val="en-US"/>
        </w:rPr>
        <w:t>,</w:t>
      </w:r>
      <w:r>
        <w:rPr>
          <w:rFonts w:eastAsia="SimSun"/>
          <w:b/>
          <w:sz w:val="24"/>
          <w:szCs w:val="24"/>
          <w:vertAlign w:val="superscript"/>
          <w:lang w:val="en-US"/>
        </w:rPr>
        <w:t xml:space="preserve"> </w:t>
      </w:r>
      <w:r>
        <w:rPr>
          <w:rFonts w:eastAsia="SimSun"/>
          <w:b/>
          <w:sz w:val="24"/>
          <w:szCs w:val="24"/>
          <w:lang w:val="en-US"/>
        </w:rPr>
        <w:t xml:space="preserve">Yu Sui </w:t>
      </w:r>
      <w:r>
        <w:rPr>
          <w:rFonts w:eastAsia="SimSun"/>
          <w:b/>
          <w:sz w:val="24"/>
          <w:szCs w:val="24"/>
          <w:vertAlign w:val="superscript"/>
          <w:lang w:val="en-US"/>
        </w:rPr>
        <w:t>1</w:t>
      </w:r>
      <w:r>
        <w:rPr>
          <w:rFonts w:eastAsia="SimSun"/>
          <w:b/>
          <w:sz w:val="24"/>
          <w:szCs w:val="24"/>
          <w:lang w:val="en-US"/>
        </w:rPr>
        <w:t xml:space="preserve"> </w:t>
      </w:r>
      <w:r>
        <w:rPr>
          <w:rFonts w:eastAsia="SimSun" w:hint="eastAsia"/>
          <w:b/>
          <w:sz w:val="24"/>
          <w:szCs w:val="24"/>
          <w:lang w:val="en-US"/>
        </w:rPr>
        <w:t xml:space="preserve">, </w:t>
      </w:r>
      <w:r>
        <w:rPr>
          <w:rFonts w:eastAsia="SimSun"/>
          <w:b/>
          <w:sz w:val="24"/>
          <w:szCs w:val="24"/>
          <w:lang w:val="en-US"/>
        </w:rPr>
        <w:t>Yunxin Lin</w:t>
      </w:r>
      <w:r>
        <w:rPr>
          <w:rFonts w:eastAsia="SimSun"/>
          <w:b/>
          <w:sz w:val="24"/>
          <w:szCs w:val="24"/>
          <w:vertAlign w:val="superscript"/>
          <w:lang w:val="en-US"/>
        </w:rPr>
        <w:t>1</w:t>
      </w:r>
      <w:r>
        <w:rPr>
          <w:rFonts w:eastAsia="SimSun" w:hint="eastAsia"/>
          <w:b/>
          <w:sz w:val="24"/>
          <w:szCs w:val="24"/>
          <w:lang w:val="en-US"/>
        </w:rPr>
        <w:t xml:space="preserve">, </w:t>
      </w:r>
      <w:r>
        <w:rPr>
          <w:rFonts w:eastAsia="SimSun"/>
          <w:b/>
          <w:sz w:val="24"/>
          <w:szCs w:val="24"/>
          <w:lang w:val="en-US"/>
        </w:rPr>
        <w:t>Yongcun Deng</w:t>
      </w:r>
      <w:r>
        <w:rPr>
          <w:rFonts w:eastAsia="SimSun"/>
          <w:b/>
          <w:sz w:val="24"/>
          <w:szCs w:val="24"/>
          <w:vertAlign w:val="superscript"/>
          <w:lang w:val="en-US"/>
        </w:rPr>
        <w:t>1</w:t>
      </w:r>
      <w:r>
        <w:rPr>
          <w:rFonts w:eastAsia="SimSun"/>
          <w:b/>
          <w:sz w:val="24"/>
          <w:szCs w:val="24"/>
          <w:lang w:val="en-US"/>
        </w:rPr>
        <w:t>*</w:t>
      </w:r>
    </w:p>
    <w:p w14:paraId="2DF9BD0B" w14:textId="77777777" w:rsidR="00D505D7" w:rsidRDefault="00000000" w:rsidP="00131A7E">
      <w:pPr>
        <w:snapToGrid w:val="0"/>
        <w:ind w:left="110"/>
        <w:jc w:val="both"/>
        <w:rPr>
          <w:rFonts w:eastAsia="SimSun"/>
          <w:bCs/>
          <w:sz w:val="24"/>
          <w:szCs w:val="24"/>
          <w:lang w:val="en-US"/>
        </w:rPr>
      </w:pPr>
      <w:r>
        <w:rPr>
          <w:rFonts w:eastAsia="SimSun"/>
          <w:bCs/>
          <w:sz w:val="24"/>
          <w:szCs w:val="24"/>
          <w:vertAlign w:val="superscript"/>
          <w:lang w:val="en-US"/>
        </w:rPr>
        <w:t>1</w:t>
      </w:r>
      <w:r>
        <w:rPr>
          <w:rFonts w:eastAsia="SimSun"/>
          <w:bCs/>
          <w:sz w:val="24"/>
          <w:szCs w:val="24"/>
          <w:lang w:val="en-US"/>
        </w:rPr>
        <w:t>Puyang Center for Disease Control and Prevention</w:t>
      </w:r>
      <w:r>
        <w:rPr>
          <w:rFonts w:eastAsia="SimSun" w:hint="eastAsia"/>
          <w:bCs/>
          <w:sz w:val="24"/>
          <w:szCs w:val="24"/>
          <w:lang w:val="en-US"/>
        </w:rPr>
        <w:t xml:space="preserve">, </w:t>
      </w:r>
      <w:r>
        <w:rPr>
          <w:rFonts w:eastAsia="SimSun"/>
          <w:bCs/>
          <w:sz w:val="24"/>
          <w:szCs w:val="24"/>
          <w:lang w:val="en-US"/>
        </w:rPr>
        <w:t>Puyang</w:t>
      </w:r>
      <w:r>
        <w:rPr>
          <w:rFonts w:eastAsia="SimSun" w:hint="eastAsia"/>
          <w:bCs/>
          <w:sz w:val="24"/>
          <w:szCs w:val="24"/>
          <w:lang w:val="en-US"/>
        </w:rPr>
        <w:t xml:space="preserve">  </w:t>
      </w:r>
      <w:r>
        <w:rPr>
          <w:rFonts w:eastAsia="SimSun"/>
          <w:bCs/>
          <w:sz w:val="24"/>
          <w:szCs w:val="24"/>
          <w:lang w:val="en-US"/>
        </w:rPr>
        <w:t>457000</w:t>
      </w:r>
      <w:r>
        <w:rPr>
          <w:rFonts w:eastAsia="SimSun" w:hint="eastAsia"/>
          <w:bCs/>
          <w:sz w:val="24"/>
          <w:szCs w:val="24"/>
          <w:lang w:val="en-US"/>
        </w:rPr>
        <w:t xml:space="preserve">, </w:t>
      </w:r>
      <w:r>
        <w:rPr>
          <w:rFonts w:eastAsia="SimSun"/>
          <w:bCs/>
          <w:sz w:val="24"/>
          <w:szCs w:val="24"/>
          <w:lang w:val="en-US"/>
        </w:rPr>
        <w:t>Henan</w:t>
      </w:r>
      <w:r>
        <w:rPr>
          <w:rFonts w:eastAsia="SimSun" w:hint="eastAsia"/>
          <w:bCs/>
          <w:sz w:val="24"/>
          <w:szCs w:val="24"/>
          <w:lang w:val="en-US"/>
        </w:rPr>
        <w:t>, China</w:t>
      </w:r>
    </w:p>
    <w:p w14:paraId="2DF9BD0C" w14:textId="0F6D290A" w:rsidR="00D505D7" w:rsidRDefault="00000000" w:rsidP="00131A7E">
      <w:pPr>
        <w:snapToGrid w:val="0"/>
        <w:ind w:left="110"/>
        <w:jc w:val="both"/>
        <w:rPr>
          <w:rFonts w:eastAsia="SimSun"/>
          <w:bCs/>
          <w:sz w:val="24"/>
          <w:szCs w:val="24"/>
          <w:lang w:val="en-US"/>
        </w:rPr>
      </w:pPr>
      <w:r>
        <w:rPr>
          <w:rFonts w:eastAsia="SimSun"/>
          <w:bCs/>
          <w:sz w:val="24"/>
          <w:szCs w:val="24"/>
          <w:vertAlign w:val="superscript"/>
          <w:lang w:val="en-US"/>
        </w:rPr>
        <w:t>2</w:t>
      </w:r>
      <w:r>
        <w:rPr>
          <w:rFonts w:eastAsia="SimSun"/>
          <w:bCs/>
          <w:sz w:val="24"/>
          <w:szCs w:val="24"/>
          <w:lang w:val="en-US"/>
        </w:rPr>
        <w:t>The Second Affiliated Hospital of Puyang Medical College</w:t>
      </w:r>
      <w:r w:rsidR="00300972">
        <w:rPr>
          <w:rFonts w:eastAsia="SimSun"/>
          <w:bCs/>
          <w:sz w:val="24"/>
          <w:szCs w:val="24"/>
          <w:lang w:val="en-US"/>
        </w:rPr>
        <w:t xml:space="preserve"> </w:t>
      </w:r>
      <w:r>
        <w:rPr>
          <w:rFonts w:eastAsia="SimSun" w:hint="eastAsia"/>
          <w:bCs/>
          <w:sz w:val="24"/>
          <w:szCs w:val="24"/>
          <w:lang w:val="en-US"/>
        </w:rPr>
        <w:t>(</w:t>
      </w:r>
      <w:r>
        <w:rPr>
          <w:rFonts w:eastAsia="SimSun"/>
          <w:bCs/>
          <w:sz w:val="24"/>
          <w:szCs w:val="24"/>
          <w:lang w:val="en-US"/>
        </w:rPr>
        <w:t>The Third People’s Hospital of Puyang City</w:t>
      </w:r>
      <w:r>
        <w:rPr>
          <w:rFonts w:eastAsia="SimSun" w:hint="eastAsia"/>
          <w:bCs/>
          <w:sz w:val="24"/>
          <w:szCs w:val="24"/>
          <w:lang w:val="en-US"/>
        </w:rPr>
        <w:t xml:space="preserve">), </w:t>
      </w:r>
      <w:r>
        <w:rPr>
          <w:rFonts w:eastAsia="SimSun"/>
          <w:bCs/>
          <w:sz w:val="24"/>
          <w:szCs w:val="24"/>
          <w:lang w:val="en-US"/>
        </w:rPr>
        <w:t>Puyang</w:t>
      </w:r>
      <w:r>
        <w:rPr>
          <w:rFonts w:eastAsia="SimSun" w:hint="eastAsia"/>
          <w:bCs/>
          <w:sz w:val="24"/>
          <w:szCs w:val="24"/>
          <w:lang w:val="en-US"/>
        </w:rPr>
        <w:t xml:space="preserve"> </w:t>
      </w:r>
      <w:r>
        <w:rPr>
          <w:rFonts w:eastAsia="SimSun"/>
          <w:bCs/>
          <w:sz w:val="24"/>
          <w:szCs w:val="24"/>
          <w:lang w:val="en-US"/>
        </w:rPr>
        <w:t>457000</w:t>
      </w:r>
      <w:r>
        <w:rPr>
          <w:rFonts w:eastAsia="SimSun" w:hint="eastAsia"/>
          <w:bCs/>
          <w:sz w:val="24"/>
          <w:szCs w:val="24"/>
          <w:lang w:val="en-US"/>
        </w:rPr>
        <w:t xml:space="preserve">, </w:t>
      </w:r>
      <w:r>
        <w:rPr>
          <w:rFonts w:eastAsia="SimSun"/>
          <w:bCs/>
          <w:sz w:val="24"/>
          <w:szCs w:val="24"/>
          <w:lang w:val="en-US"/>
        </w:rPr>
        <w:t>Henan</w:t>
      </w:r>
      <w:r>
        <w:rPr>
          <w:rFonts w:eastAsia="SimSun" w:hint="eastAsia"/>
          <w:bCs/>
          <w:sz w:val="24"/>
          <w:szCs w:val="24"/>
          <w:lang w:val="en-US"/>
        </w:rPr>
        <w:t>, China</w:t>
      </w:r>
    </w:p>
    <w:p w14:paraId="2DF9BD0D" w14:textId="77777777" w:rsidR="00D505D7" w:rsidRDefault="00000000" w:rsidP="00131A7E">
      <w:pPr>
        <w:snapToGrid w:val="0"/>
        <w:rPr>
          <w:b/>
          <w:bCs/>
          <w:i/>
          <w:iCs/>
          <w:sz w:val="24"/>
          <w:lang w:val="en-US"/>
        </w:rPr>
      </w:pPr>
      <w:r>
        <w:rPr>
          <w:b/>
          <w:bCs/>
          <w:i/>
          <w:iCs/>
          <w:sz w:val="24"/>
          <w:lang w:val="en-US"/>
        </w:rPr>
        <w:t>*Author to whom correspondence should be addressed.</w:t>
      </w:r>
    </w:p>
    <w:p w14:paraId="2DF9BD0E" w14:textId="77777777" w:rsidR="00D505D7" w:rsidRDefault="00D505D7" w:rsidP="0003247A">
      <w:pPr>
        <w:snapToGrid w:val="0"/>
        <w:ind w:left="110"/>
        <w:jc w:val="both"/>
        <w:rPr>
          <w:rFonts w:eastAsia="SimSun"/>
          <w:bCs/>
          <w:sz w:val="24"/>
          <w:szCs w:val="24"/>
          <w:lang w:val="en-US"/>
        </w:rPr>
      </w:pPr>
    </w:p>
    <w:p w14:paraId="23361D94" w14:textId="77777777" w:rsidR="00300972" w:rsidRPr="00131A7E" w:rsidRDefault="00300972" w:rsidP="00300972">
      <w:pPr>
        <w:snapToGrid w:val="0"/>
        <w:ind w:left="110"/>
        <w:jc w:val="both"/>
        <w:rPr>
          <w:rFonts w:eastAsia="SimSun"/>
          <w:bCs/>
          <w:sz w:val="20"/>
          <w:szCs w:val="20"/>
          <w:lang w:val="en-US"/>
        </w:rPr>
      </w:pPr>
      <w:r w:rsidRPr="00131A7E">
        <w:rPr>
          <w:rFonts w:eastAsia="SimSun"/>
          <w:b/>
          <w:bCs/>
          <w:sz w:val="20"/>
          <w:szCs w:val="20"/>
          <w:lang w:val="en-US"/>
        </w:rPr>
        <w:t>Copyright:</w:t>
      </w:r>
      <w:r w:rsidRPr="00131A7E">
        <w:rPr>
          <w:rFonts w:eastAsia="SimSun"/>
          <w:bCs/>
          <w:sz w:val="20"/>
          <w:szCs w:val="20"/>
          <w:lang w:val="en-US"/>
        </w:rPr>
        <w:t xml:space="preserve"> © 2026 Author(s). This is an open-access article distributed under the terms of the Creative Commons Attribution License (CC BY 4.0), permitting distribution and reproduction in any medium, provided the original work is cited.</w:t>
      </w:r>
    </w:p>
    <w:p w14:paraId="27BF63CB" w14:textId="77777777" w:rsidR="0003247A" w:rsidRDefault="0003247A" w:rsidP="00131A7E">
      <w:pPr>
        <w:snapToGrid w:val="0"/>
        <w:ind w:left="110"/>
        <w:jc w:val="both"/>
        <w:rPr>
          <w:rFonts w:eastAsia="SimSun"/>
          <w:bCs/>
          <w:sz w:val="24"/>
          <w:szCs w:val="24"/>
          <w:lang w:val="en-US"/>
        </w:rPr>
      </w:pPr>
    </w:p>
    <w:p w14:paraId="2DF9BD0F" w14:textId="009982A8" w:rsidR="00D505D7" w:rsidRDefault="00000000" w:rsidP="00131A7E">
      <w:pPr>
        <w:pStyle w:val="BodyText"/>
        <w:snapToGrid w:val="0"/>
        <w:ind w:left="110" w:right="106"/>
        <w:jc w:val="both"/>
        <w:rPr>
          <w:rFonts w:eastAsiaTheme="minorEastAsia"/>
          <w:color w:val="231F20"/>
          <w:sz w:val="24"/>
          <w:szCs w:val="24"/>
          <w:lang w:val="en-US"/>
        </w:rPr>
      </w:pPr>
      <w:r>
        <w:rPr>
          <w:b/>
          <w:color w:val="231F20"/>
          <w:sz w:val="24"/>
          <w:szCs w:val="24"/>
          <w:lang w:val="en-US"/>
        </w:rPr>
        <w:t>Abstract:</w:t>
      </w:r>
      <w:r>
        <w:rPr>
          <w:rFonts w:eastAsia="SimSun" w:hint="eastAsia"/>
          <w:b/>
          <w:color w:val="231F20"/>
          <w:sz w:val="24"/>
          <w:szCs w:val="24"/>
          <w:lang w:val="en-US"/>
        </w:rPr>
        <w:t xml:space="preserve"> </w:t>
      </w:r>
      <w:r>
        <w:rPr>
          <w:bCs/>
          <w:i/>
          <w:iCs/>
          <w:color w:val="231F20"/>
          <w:sz w:val="24"/>
          <w:szCs w:val="24"/>
          <w:lang w:val="en-US"/>
        </w:rPr>
        <w:t>Background</w:t>
      </w:r>
      <w:r>
        <w:rPr>
          <w:rFonts w:eastAsia="SimSun" w:hint="eastAsia"/>
          <w:bCs/>
          <w:color w:val="231F20"/>
          <w:sz w:val="24"/>
          <w:szCs w:val="24"/>
          <w:lang w:val="en-US"/>
        </w:rPr>
        <w:t>:</w:t>
      </w:r>
      <w:r>
        <w:rPr>
          <w:bCs/>
          <w:color w:val="231F20"/>
          <w:sz w:val="24"/>
          <w:szCs w:val="24"/>
          <w:lang w:val="en-US"/>
        </w:rPr>
        <w:t xml:space="preserve"> The re-emergence of pertussis and persistent meningococcal meningitis threat demand robust surveillance, yet performance data from prefecture-level cities like Puyang under recent healthcare reforms remain scarce. This study evaluated the sensitivity and timeliness of notifiable disease surveillance for these diseases from 2020</w:t>
      </w:r>
      <w:r w:rsidR="00300972">
        <w:rPr>
          <w:bCs/>
          <w:color w:val="231F20"/>
          <w:sz w:val="24"/>
          <w:szCs w:val="24"/>
          <w:lang w:val="en-US"/>
        </w:rPr>
        <w:t>–</w:t>
      </w:r>
      <w:r>
        <w:rPr>
          <w:bCs/>
          <w:color w:val="231F20"/>
          <w:sz w:val="24"/>
          <w:szCs w:val="24"/>
          <w:lang w:val="en-US"/>
        </w:rPr>
        <w:t xml:space="preserve">2025, focusing on </w:t>
      </w:r>
      <w:r w:rsidR="0015649B">
        <w:rPr>
          <w:bCs/>
          <w:color w:val="231F20"/>
          <w:sz w:val="24"/>
          <w:szCs w:val="24"/>
          <w:lang w:val="en-US"/>
        </w:rPr>
        <w:t xml:space="preserve">the </w:t>
      </w:r>
      <w:r>
        <w:rPr>
          <w:bCs/>
          <w:color w:val="231F20"/>
          <w:sz w:val="24"/>
          <w:szCs w:val="24"/>
          <w:lang w:val="en-US"/>
        </w:rPr>
        <w:t xml:space="preserve">impacts of the COVID-19 transition, expanded PCR capacity, and electronic reporting mandates. </w:t>
      </w:r>
      <w:r>
        <w:rPr>
          <w:bCs/>
          <w:i/>
          <w:iCs/>
          <w:color w:val="231F20"/>
          <w:sz w:val="24"/>
          <w:szCs w:val="24"/>
          <w:lang w:val="en-US"/>
        </w:rPr>
        <w:t>Methods</w:t>
      </w:r>
      <w:r>
        <w:rPr>
          <w:rFonts w:eastAsia="SimSun" w:hint="eastAsia"/>
          <w:bCs/>
          <w:color w:val="231F20"/>
          <w:sz w:val="24"/>
          <w:szCs w:val="24"/>
          <w:lang w:val="en-US"/>
        </w:rPr>
        <w:t>:</w:t>
      </w:r>
      <w:r>
        <w:rPr>
          <w:bCs/>
          <w:color w:val="231F20"/>
          <w:sz w:val="24"/>
          <w:szCs w:val="24"/>
          <w:lang w:val="en-US"/>
        </w:rPr>
        <w:t xml:space="preserve"> We conducted a retrospective analysis of all confirmed and clinically diagnosed cases reported through the national surveillance system, supplemented by hospital databases and laboratory logs. Sensitivity was estimated via capture-recapture methods, and timeliness was measured as intervals from symptom onset to reporting and laboratory confirmation. </w:t>
      </w:r>
      <w:r>
        <w:rPr>
          <w:bCs/>
          <w:i/>
          <w:iCs/>
          <w:color w:val="231F20"/>
          <w:sz w:val="24"/>
          <w:szCs w:val="24"/>
          <w:lang w:val="en-US"/>
        </w:rPr>
        <w:t>Results</w:t>
      </w:r>
      <w:r>
        <w:rPr>
          <w:rFonts w:eastAsia="SimSun" w:hint="eastAsia"/>
          <w:bCs/>
          <w:color w:val="231F20"/>
          <w:sz w:val="24"/>
          <w:szCs w:val="24"/>
          <w:lang w:val="en-US"/>
        </w:rPr>
        <w:t>:</w:t>
      </w:r>
      <w:r>
        <w:rPr>
          <w:bCs/>
          <w:color w:val="231F20"/>
          <w:sz w:val="24"/>
          <w:szCs w:val="24"/>
          <w:lang w:val="en-US"/>
        </w:rPr>
        <w:t xml:space="preserve"> A total of 2,847 pertussis and 316 meningococcal meningitis cases were included. Overall sensitivity for pertussis was 68.4% (95%CI 65.2</w:t>
      </w:r>
      <w:r w:rsidR="00300972">
        <w:rPr>
          <w:bCs/>
          <w:color w:val="231F20"/>
          <w:sz w:val="24"/>
          <w:szCs w:val="24"/>
          <w:lang w:val="en-US"/>
        </w:rPr>
        <w:t>–</w:t>
      </w:r>
      <w:r>
        <w:rPr>
          <w:bCs/>
          <w:color w:val="231F20"/>
          <w:sz w:val="24"/>
          <w:szCs w:val="24"/>
          <w:lang w:val="en-US"/>
        </w:rPr>
        <w:t>71.6%), rising from 54.2% in 2020</w:t>
      </w:r>
      <w:r w:rsidR="00300972">
        <w:rPr>
          <w:bCs/>
          <w:color w:val="231F20"/>
          <w:sz w:val="24"/>
          <w:szCs w:val="24"/>
          <w:lang w:val="en-US"/>
        </w:rPr>
        <w:t>–</w:t>
      </w:r>
      <w:r>
        <w:rPr>
          <w:bCs/>
          <w:color w:val="231F20"/>
          <w:sz w:val="24"/>
          <w:szCs w:val="24"/>
          <w:lang w:val="en-US"/>
        </w:rPr>
        <w:t>2021 to 76.9% in 2024</w:t>
      </w:r>
      <w:r w:rsidR="00300972">
        <w:rPr>
          <w:bCs/>
          <w:color w:val="231F20"/>
          <w:sz w:val="24"/>
          <w:szCs w:val="24"/>
          <w:lang w:val="en-US"/>
        </w:rPr>
        <w:t>–</w:t>
      </w:r>
      <w:r>
        <w:rPr>
          <w:bCs/>
          <w:color w:val="231F20"/>
          <w:sz w:val="24"/>
          <w:szCs w:val="24"/>
          <w:lang w:val="en-US"/>
        </w:rPr>
        <w:t>2025, while meningococcal sensitivity remained stable at 82.1% (79.4</w:t>
      </w:r>
      <w:r w:rsidR="00300972">
        <w:rPr>
          <w:bCs/>
          <w:color w:val="231F20"/>
          <w:sz w:val="24"/>
          <w:szCs w:val="24"/>
          <w:lang w:val="en-US"/>
        </w:rPr>
        <w:t>–</w:t>
      </w:r>
      <w:r>
        <w:rPr>
          <w:bCs/>
          <w:color w:val="231F20"/>
          <w:sz w:val="24"/>
          <w:szCs w:val="24"/>
          <w:lang w:val="en-US"/>
        </w:rPr>
        <w:t>84.7%). Pertussis onset-to-reporting median time decreased from 9 to 4 days, but meningococcal meningitis interval lengthened from 4 to 7 days due to centralized laboratory consolidation. Rural areas showed 22% lower sensitivity and 3-day longer delays for pertussis than urban</w:t>
      </w:r>
      <w:r w:rsidR="0015649B">
        <w:rPr>
          <w:bCs/>
          <w:color w:val="231F20"/>
          <w:sz w:val="24"/>
          <w:szCs w:val="24"/>
          <w:lang w:val="en-US"/>
        </w:rPr>
        <w:t xml:space="preserve"> areas</w:t>
      </w:r>
      <w:r>
        <w:rPr>
          <w:bCs/>
          <w:color w:val="231F20"/>
          <w:sz w:val="24"/>
          <w:szCs w:val="24"/>
          <w:lang w:val="en-US"/>
        </w:rPr>
        <w:t xml:space="preserve">. Although 93.7% of pertussis cases were reported within 24 hours, only 61.4% achieved PCR confirmation within the 7-day window. </w:t>
      </w:r>
      <w:r>
        <w:rPr>
          <w:bCs/>
          <w:i/>
          <w:iCs/>
          <w:color w:val="231F20"/>
          <w:sz w:val="24"/>
          <w:szCs w:val="24"/>
          <w:lang w:val="en-US"/>
        </w:rPr>
        <w:t>Conclusions</w:t>
      </w:r>
      <w:r>
        <w:rPr>
          <w:rFonts w:eastAsia="SimSun" w:hint="eastAsia"/>
          <w:bCs/>
          <w:color w:val="231F20"/>
          <w:sz w:val="24"/>
          <w:szCs w:val="24"/>
          <w:lang w:val="en-US"/>
        </w:rPr>
        <w:t>:</w:t>
      </w:r>
      <w:r>
        <w:rPr>
          <w:bCs/>
          <w:color w:val="231F20"/>
          <w:sz w:val="24"/>
          <w:szCs w:val="24"/>
          <w:lang w:val="en-US"/>
        </w:rPr>
        <w:t xml:space="preserve"> The system shows progress in pertussis timeliness but reveals critical gaps in laboratory confirmation and rural equity. Meningococcal surveillance maintains high sensitivity but deteriorating speed. Decentralized testing, </w:t>
      </w:r>
      <w:r w:rsidR="00300972">
        <w:rPr>
          <w:bCs/>
          <w:color w:val="231F20"/>
          <w:sz w:val="24"/>
          <w:szCs w:val="24"/>
          <w:lang w:val="en-US"/>
        </w:rPr>
        <w:t xml:space="preserve">standardized </w:t>
      </w:r>
      <w:r>
        <w:rPr>
          <w:bCs/>
          <w:color w:val="231F20"/>
          <w:sz w:val="24"/>
          <w:szCs w:val="24"/>
          <w:lang w:val="en-US"/>
        </w:rPr>
        <w:t>algorithms, and targeted training are urgently needed to sustain gains and address emerging vulnerabilities</w:t>
      </w:r>
      <w:r>
        <w:rPr>
          <w:bCs/>
          <w:color w:val="231F20"/>
          <w:spacing w:val="-10"/>
          <w:sz w:val="24"/>
          <w:szCs w:val="24"/>
          <w:lang w:val="en-US"/>
        </w:rPr>
        <w:t>.</w:t>
      </w:r>
    </w:p>
    <w:p w14:paraId="2DF9BD10" w14:textId="5FE09EB6" w:rsidR="00D505D7" w:rsidRDefault="00000000" w:rsidP="00131A7E">
      <w:pPr>
        <w:pStyle w:val="BodyText"/>
        <w:snapToGrid w:val="0"/>
        <w:ind w:left="110"/>
        <w:jc w:val="both"/>
        <w:rPr>
          <w:bCs/>
          <w:color w:val="231F20"/>
          <w:sz w:val="24"/>
          <w:szCs w:val="24"/>
          <w:lang w:val="en-US"/>
        </w:rPr>
      </w:pPr>
      <w:r>
        <w:rPr>
          <w:b/>
          <w:iCs/>
          <w:color w:val="231F20"/>
          <w:sz w:val="24"/>
          <w:szCs w:val="24"/>
          <w:lang w:val="en-US"/>
        </w:rPr>
        <w:t>Keywords</w:t>
      </w:r>
      <w:r w:rsidR="00300972" w:rsidRPr="00131A7E">
        <w:rPr>
          <w:b/>
          <w:color w:val="231F20"/>
          <w:sz w:val="24"/>
          <w:szCs w:val="24"/>
          <w:lang w:val="en-US"/>
        </w:rPr>
        <w:t>:</w:t>
      </w:r>
      <w:r w:rsidR="00300972">
        <w:rPr>
          <w:bCs/>
          <w:color w:val="231F20"/>
          <w:sz w:val="24"/>
          <w:szCs w:val="24"/>
          <w:lang w:val="en-US"/>
        </w:rPr>
        <w:t xml:space="preserve"> </w:t>
      </w:r>
      <w:r>
        <w:rPr>
          <w:rFonts w:eastAsia="SimSun"/>
          <w:bCs/>
          <w:color w:val="231F20"/>
          <w:sz w:val="24"/>
          <w:szCs w:val="24"/>
          <w:lang w:val="en-US"/>
        </w:rPr>
        <w:t>P</w:t>
      </w:r>
      <w:r>
        <w:rPr>
          <w:bCs/>
          <w:color w:val="231F20"/>
          <w:sz w:val="24"/>
          <w:szCs w:val="24"/>
          <w:lang w:val="en-US"/>
        </w:rPr>
        <w:t>ertussis</w:t>
      </w:r>
      <w:r>
        <w:rPr>
          <w:rFonts w:eastAsia="SimSun" w:hint="eastAsia"/>
          <w:bCs/>
          <w:color w:val="231F20"/>
          <w:sz w:val="24"/>
          <w:szCs w:val="24"/>
          <w:lang w:val="en-US"/>
        </w:rPr>
        <w:t>;</w:t>
      </w:r>
      <w:r>
        <w:rPr>
          <w:bCs/>
          <w:color w:val="231F20"/>
          <w:sz w:val="24"/>
          <w:szCs w:val="24"/>
          <w:lang w:val="en-US"/>
        </w:rPr>
        <w:t xml:space="preserve"> </w:t>
      </w:r>
      <w:r>
        <w:rPr>
          <w:rFonts w:eastAsia="SimSun"/>
          <w:bCs/>
          <w:color w:val="231F20"/>
          <w:sz w:val="24"/>
          <w:szCs w:val="24"/>
          <w:lang w:val="en-US"/>
        </w:rPr>
        <w:t>M</w:t>
      </w:r>
      <w:r>
        <w:rPr>
          <w:bCs/>
          <w:color w:val="231F20"/>
          <w:sz w:val="24"/>
          <w:szCs w:val="24"/>
          <w:lang w:val="en-US"/>
        </w:rPr>
        <w:t>eningococcal meningitis</w:t>
      </w:r>
      <w:r>
        <w:rPr>
          <w:rFonts w:eastAsia="SimSun" w:hint="eastAsia"/>
          <w:bCs/>
          <w:color w:val="231F20"/>
          <w:sz w:val="24"/>
          <w:szCs w:val="24"/>
          <w:lang w:val="en-US"/>
        </w:rPr>
        <w:t>;</w:t>
      </w:r>
      <w:r>
        <w:rPr>
          <w:bCs/>
          <w:color w:val="231F20"/>
          <w:sz w:val="24"/>
          <w:szCs w:val="24"/>
          <w:lang w:val="en-US"/>
        </w:rPr>
        <w:t xml:space="preserve"> </w:t>
      </w:r>
      <w:r>
        <w:rPr>
          <w:rFonts w:eastAsia="SimSun"/>
          <w:bCs/>
          <w:color w:val="231F20"/>
          <w:sz w:val="24"/>
          <w:szCs w:val="24"/>
          <w:lang w:val="en-US"/>
        </w:rPr>
        <w:t>S</w:t>
      </w:r>
      <w:r>
        <w:rPr>
          <w:bCs/>
          <w:color w:val="231F20"/>
          <w:sz w:val="24"/>
          <w:szCs w:val="24"/>
          <w:lang w:val="en-US"/>
        </w:rPr>
        <w:t>urveillance sensitivity</w:t>
      </w:r>
      <w:r>
        <w:rPr>
          <w:rFonts w:eastAsia="SimSun" w:hint="eastAsia"/>
          <w:bCs/>
          <w:color w:val="231F20"/>
          <w:sz w:val="24"/>
          <w:szCs w:val="24"/>
          <w:lang w:val="en-US"/>
        </w:rPr>
        <w:t>;</w:t>
      </w:r>
      <w:r>
        <w:rPr>
          <w:bCs/>
          <w:color w:val="231F20"/>
          <w:sz w:val="24"/>
          <w:szCs w:val="24"/>
          <w:lang w:val="en-US"/>
        </w:rPr>
        <w:t xml:space="preserve"> </w:t>
      </w:r>
      <w:r>
        <w:rPr>
          <w:rFonts w:eastAsia="SimSun"/>
          <w:bCs/>
          <w:color w:val="231F20"/>
          <w:sz w:val="24"/>
          <w:szCs w:val="24"/>
          <w:lang w:val="en-US"/>
        </w:rPr>
        <w:t>T</w:t>
      </w:r>
      <w:r>
        <w:rPr>
          <w:bCs/>
          <w:color w:val="231F20"/>
          <w:sz w:val="24"/>
          <w:szCs w:val="24"/>
          <w:lang w:val="en-US"/>
        </w:rPr>
        <w:t>imeliness</w:t>
      </w:r>
      <w:r>
        <w:rPr>
          <w:rFonts w:eastAsia="SimSun" w:hint="eastAsia"/>
          <w:bCs/>
          <w:color w:val="231F20"/>
          <w:sz w:val="24"/>
          <w:szCs w:val="24"/>
          <w:lang w:val="en-US"/>
        </w:rPr>
        <w:t>;</w:t>
      </w:r>
      <w:r>
        <w:rPr>
          <w:bCs/>
          <w:color w:val="231F20"/>
          <w:sz w:val="24"/>
          <w:szCs w:val="24"/>
          <w:lang w:val="en-US"/>
        </w:rPr>
        <w:t xml:space="preserve"> </w:t>
      </w:r>
      <w:r>
        <w:rPr>
          <w:rFonts w:eastAsia="SimSun"/>
          <w:bCs/>
          <w:color w:val="231F20"/>
          <w:sz w:val="24"/>
          <w:szCs w:val="24"/>
          <w:lang w:val="en-US"/>
        </w:rPr>
        <w:t>V</w:t>
      </w:r>
      <w:r>
        <w:rPr>
          <w:bCs/>
          <w:color w:val="231F20"/>
          <w:sz w:val="24"/>
          <w:szCs w:val="24"/>
          <w:lang w:val="en-US"/>
        </w:rPr>
        <w:t>accine-preventable diseases</w:t>
      </w:r>
    </w:p>
    <w:p w14:paraId="2DF9BD11" w14:textId="77777777" w:rsidR="00D505D7" w:rsidRDefault="00D505D7" w:rsidP="0003247A">
      <w:pPr>
        <w:pStyle w:val="BodyText"/>
        <w:snapToGrid w:val="0"/>
        <w:ind w:left="110"/>
        <w:jc w:val="both"/>
        <w:rPr>
          <w:bCs/>
          <w:color w:val="231F20"/>
          <w:sz w:val="24"/>
          <w:szCs w:val="24"/>
          <w:lang w:val="en-US"/>
        </w:rPr>
      </w:pPr>
    </w:p>
    <w:p w14:paraId="66BCE25A" w14:textId="4F09911B" w:rsidR="0015649B" w:rsidRPr="00131A7E" w:rsidRDefault="0015649B" w:rsidP="0003247A">
      <w:pPr>
        <w:pStyle w:val="BodyText"/>
        <w:snapToGrid w:val="0"/>
        <w:ind w:left="110"/>
        <w:jc w:val="both"/>
        <w:rPr>
          <w:b/>
          <w:color w:val="231F20"/>
          <w:sz w:val="24"/>
          <w:szCs w:val="24"/>
          <w:lang w:val="en-US"/>
        </w:rPr>
      </w:pPr>
      <w:r w:rsidRPr="00131A7E">
        <w:rPr>
          <w:b/>
          <w:color w:val="231F20"/>
          <w:sz w:val="24"/>
          <w:szCs w:val="24"/>
          <w:lang w:val="en-US"/>
        </w:rPr>
        <w:t>Online publication:</w:t>
      </w:r>
    </w:p>
    <w:p w14:paraId="5EB43DA7" w14:textId="77777777" w:rsidR="0015649B" w:rsidRDefault="0015649B" w:rsidP="00131A7E">
      <w:pPr>
        <w:pStyle w:val="BodyText"/>
        <w:snapToGrid w:val="0"/>
        <w:ind w:left="110"/>
        <w:jc w:val="both"/>
        <w:rPr>
          <w:bCs/>
          <w:color w:val="231F20"/>
          <w:sz w:val="24"/>
          <w:szCs w:val="24"/>
          <w:lang w:val="en-US"/>
        </w:rPr>
      </w:pPr>
    </w:p>
    <w:p w14:paraId="2DF9BD12" w14:textId="77777777" w:rsidR="00D505D7" w:rsidRDefault="00000000" w:rsidP="00131A7E">
      <w:pPr>
        <w:pStyle w:val="Heading1"/>
        <w:tabs>
          <w:tab w:val="left" w:pos="391"/>
        </w:tabs>
        <w:snapToGrid w:val="0"/>
        <w:ind w:left="0" w:firstLine="0"/>
        <w:rPr>
          <w:color w:val="231F20"/>
          <w:spacing w:val="-6"/>
          <w:sz w:val="24"/>
          <w:szCs w:val="24"/>
          <w:lang w:val="en-US"/>
        </w:rPr>
      </w:pPr>
      <w:r>
        <w:rPr>
          <w:rFonts w:eastAsiaTheme="minorEastAsia"/>
          <w:color w:val="231F20"/>
          <w:spacing w:val="-6"/>
          <w:sz w:val="24"/>
          <w:szCs w:val="24"/>
          <w:lang w:val="en-US"/>
        </w:rPr>
        <w:t>1.</w:t>
      </w:r>
      <w:r>
        <w:rPr>
          <w:color w:val="231F20"/>
          <w:spacing w:val="-6"/>
          <w:sz w:val="24"/>
          <w:szCs w:val="24"/>
          <w:lang w:val="en-US"/>
        </w:rPr>
        <w:t xml:space="preserve"> Introduction</w:t>
      </w:r>
    </w:p>
    <w:p w14:paraId="2DF9BD13" w14:textId="1C66F885" w:rsidR="00D505D7" w:rsidRDefault="00000000" w:rsidP="00131A7E">
      <w:pPr>
        <w:pStyle w:val="BodyText"/>
        <w:snapToGrid w:val="0"/>
        <w:ind w:right="108"/>
        <w:jc w:val="both"/>
        <w:rPr>
          <w:color w:val="231F20"/>
          <w:sz w:val="24"/>
          <w:szCs w:val="24"/>
          <w:lang w:val="en-US"/>
        </w:rPr>
      </w:pPr>
      <w:r>
        <w:rPr>
          <w:color w:val="231F20"/>
          <w:sz w:val="24"/>
          <w:szCs w:val="24"/>
          <w:lang w:val="en-US"/>
        </w:rPr>
        <w:t xml:space="preserve">Vaccine-preventable respiratory diseases, including pertussis and meningococcal meningitis, remain major global public health threats despite high routine </w:t>
      </w:r>
      <w:r w:rsidR="0015649B">
        <w:rPr>
          <w:color w:val="231F20"/>
          <w:sz w:val="24"/>
          <w:szCs w:val="24"/>
          <w:lang w:val="en-US"/>
        </w:rPr>
        <w:t xml:space="preserve">immunization </w:t>
      </w:r>
      <w:r>
        <w:rPr>
          <w:color w:val="231F20"/>
          <w:sz w:val="24"/>
          <w:szCs w:val="24"/>
          <w:lang w:val="en-US"/>
        </w:rPr>
        <w:t>coverage</w:t>
      </w:r>
      <w:r>
        <w:rPr>
          <w:rFonts w:eastAsia="SimSun"/>
          <w:color w:val="231F20"/>
          <w:sz w:val="24"/>
          <w:szCs w:val="24"/>
          <w:lang w:val="en-US"/>
        </w:rPr>
        <w:t xml:space="preserve"> </w:t>
      </w:r>
      <w:r>
        <w:rPr>
          <w:rFonts w:eastAsia="SimSun"/>
          <w:color w:val="231F20"/>
          <w:sz w:val="24"/>
          <w:szCs w:val="24"/>
          <w:vertAlign w:val="superscript"/>
          <w:lang w:val="en-US"/>
        </w:rPr>
        <w:t>[1]</w:t>
      </w:r>
      <w:r>
        <w:rPr>
          <w:color w:val="231F20"/>
          <w:sz w:val="24"/>
          <w:szCs w:val="24"/>
          <w:lang w:val="en-US"/>
        </w:rPr>
        <w:t>. Pertussis has resurged widely across middle</w:t>
      </w:r>
      <w:r>
        <w:rPr>
          <w:rFonts w:eastAsia="SimSun"/>
          <w:color w:val="231F20"/>
          <w:sz w:val="24"/>
          <w:szCs w:val="24"/>
          <w:lang w:val="en-US"/>
        </w:rPr>
        <w:t xml:space="preserve"> -</w:t>
      </w:r>
      <w:r>
        <w:rPr>
          <w:color w:val="231F20"/>
          <w:sz w:val="24"/>
          <w:szCs w:val="24"/>
          <w:lang w:val="en-US"/>
        </w:rPr>
        <w:t xml:space="preserve"> and </w:t>
      </w:r>
      <w:r w:rsidR="0015649B">
        <w:rPr>
          <w:color w:val="231F20"/>
          <w:sz w:val="24"/>
          <w:szCs w:val="24"/>
          <w:lang w:val="en-US"/>
        </w:rPr>
        <w:t>high-income countries due to waning vaccine immunity, pathogen evolution, and improved diagnostic capacity, while meningococcal meningitis continues to cause severe sporadic and epidemic disease with high fatality rates, particularly in densely populated urbanizing</w:t>
      </w:r>
      <w:r>
        <w:rPr>
          <w:color w:val="231F20"/>
          <w:sz w:val="24"/>
          <w:szCs w:val="24"/>
          <w:lang w:val="en-US"/>
        </w:rPr>
        <w:t xml:space="preserve"> regions</w:t>
      </w:r>
      <w:r>
        <w:rPr>
          <w:rFonts w:eastAsia="SimSun"/>
          <w:color w:val="231F20"/>
          <w:sz w:val="24"/>
          <w:szCs w:val="24"/>
          <w:lang w:val="en-US"/>
        </w:rPr>
        <w:t xml:space="preserve"> </w:t>
      </w:r>
      <w:r>
        <w:rPr>
          <w:rFonts w:eastAsia="SimSun"/>
          <w:color w:val="231F20"/>
          <w:sz w:val="24"/>
          <w:szCs w:val="24"/>
          <w:vertAlign w:val="superscript"/>
          <w:lang w:val="en-US"/>
        </w:rPr>
        <w:t>[2]</w:t>
      </w:r>
      <w:r>
        <w:rPr>
          <w:color w:val="231F20"/>
          <w:sz w:val="24"/>
          <w:szCs w:val="24"/>
          <w:lang w:val="en-US"/>
        </w:rPr>
        <w:t>. Puyang City, a typical prefecture-level setting in Henan with over 4.2 million residents and sustained childhood vaccination coverage above 95%, has experienced rising pertussis notifications and persistent low-level meningococcal disease activity since 2020, raising concerns about unmeasured disease burden and passive surveillance reliability</w:t>
      </w:r>
      <w:r>
        <w:rPr>
          <w:rFonts w:eastAsia="SimSun"/>
          <w:color w:val="231F20"/>
          <w:sz w:val="24"/>
          <w:szCs w:val="24"/>
          <w:lang w:val="en-US"/>
        </w:rPr>
        <w:t xml:space="preserve"> </w:t>
      </w:r>
      <w:r>
        <w:rPr>
          <w:rFonts w:eastAsia="SimSun"/>
          <w:color w:val="231F20"/>
          <w:sz w:val="24"/>
          <w:szCs w:val="24"/>
          <w:vertAlign w:val="superscript"/>
          <w:lang w:val="en-US"/>
        </w:rPr>
        <w:t>[3]</w:t>
      </w:r>
      <w:r>
        <w:rPr>
          <w:color w:val="231F20"/>
          <w:sz w:val="24"/>
          <w:szCs w:val="24"/>
          <w:lang w:val="en-US"/>
        </w:rPr>
        <w:t>.</w:t>
      </w:r>
    </w:p>
    <w:p w14:paraId="2DF9BD14" w14:textId="3558C422" w:rsidR="00D505D7" w:rsidRDefault="00000000" w:rsidP="00131A7E">
      <w:pPr>
        <w:pStyle w:val="BodyText"/>
        <w:snapToGrid w:val="0"/>
        <w:ind w:left="110" w:right="108" w:firstLine="400"/>
        <w:jc w:val="both"/>
        <w:rPr>
          <w:color w:val="231F20"/>
          <w:sz w:val="24"/>
          <w:szCs w:val="24"/>
          <w:lang w:val="en-US"/>
        </w:rPr>
      </w:pPr>
      <w:r>
        <w:rPr>
          <w:color w:val="231F20"/>
          <w:sz w:val="24"/>
          <w:szCs w:val="24"/>
          <w:lang w:val="en-US"/>
        </w:rPr>
        <w:t xml:space="preserve">Local surveillance performance has undergone substantial systemic changes in recent years, driven by county-level CDC restructuring, the 2022 upgrade of China’s national disease reporting information </w:t>
      </w:r>
      <w:r>
        <w:rPr>
          <w:color w:val="231F20"/>
          <w:sz w:val="24"/>
          <w:szCs w:val="24"/>
          <w:lang w:val="en-US"/>
        </w:rPr>
        <w:lastRenderedPageBreak/>
        <w:t xml:space="preserve">system, and post-pandemic shifts in healthcare </w:t>
      </w:r>
      <w:r w:rsidR="0015649B">
        <w:rPr>
          <w:color w:val="231F20"/>
          <w:sz w:val="24"/>
          <w:szCs w:val="24"/>
          <w:lang w:val="en-US"/>
        </w:rPr>
        <w:t>utilization and laboratory resource prioritization</w:t>
      </w:r>
      <w:r>
        <w:rPr>
          <w:color w:val="231F20"/>
          <w:sz w:val="24"/>
          <w:szCs w:val="24"/>
          <w:lang w:val="en-US"/>
        </w:rPr>
        <w:t>. COVID-19 suppression measures temporarily reduced transmission of respiratory pathogens, but the post-pandemic period has seen a marked pertussis resurgence, likely reflecting both true epidemiological rebound and expanded county-level PCR testing capacity</w:t>
      </w:r>
      <w:r>
        <w:rPr>
          <w:rFonts w:eastAsia="SimSun"/>
          <w:color w:val="231F20"/>
          <w:sz w:val="24"/>
          <w:szCs w:val="24"/>
          <w:lang w:val="en-US"/>
        </w:rPr>
        <w:t xml:space="preserve"> </w:t>
      </w:r>
      <w:r>
        <w:rPr>
          <w:rFonts w:eastAsia="SimSun"/>
          <w:color w:val="231F20"/>
          <w:sz w:val="24"/>
          <w:szCs w:val="24"/>
          <w:vertAlign w:val="superscript"/>
          <w:lang w:val="en-US"/>
        </w:rPr>
        <w:t>[4]</w:t>
      </w:r>
      <w:r>
        <w:rPr>
          <w:color w:val="231F20"/>
          <w:sz w:val="24"/>
          <w:szCs w:val="24"/>
          <w:lang w:val="en-US"/>
        </w:rPr>
        <w:t>. This evolving landscape necessitates a rigorous assessment of two core surveillance metrics: sensitivity and timeliness, which govern early outbreak detection, vaccine effectiveness monitoring</w:t>
      </w:r>
      <w:r w:rsidR="0015649B">
        <w:rPr>
          <w:color w:val="231F20"/>
          <w:sz w:val="24"/>
          <w:szCs w:val="24"/>
          <w:lang w:val="en-US"/>
        </w:rPr>
        <w:t>,</w:t>
      </w:r>
      <w:r>
        <w:rPr>
          <w:color w:val="231F20"/>
          <w:sz w:val="24"/>
          <w:szCs w:val="24"/>
          <w:lang w:val="en-US"/>
        </w:rPr>
        <w:t xml:space="preserve"> and public health resource allocation</w:t>
      </w:r>
      <w:r>
        <w:rPr>
          <w:rFonts w:eastAsia="SimSun"/>
          <w:color w:val="231F20"/>
          <w:sz w:val="24"/>
          <w:szCs w:val="24"/>
          <w:lang w:val="en-US"/>
        </w:rPr>
        <w:t xml:space="preserve"> </w:t>
      </w:r>
      <w:r>
        <w:rPr>
          <w:rFonts w:eastAsia="SimSun"/>
          <w:color w:val="231F20"/>
          <w:sz w:val="24"/>
          <w:szCs w:val="24"/>
          <w:vertAlign w:val="superscript"/>
          <w:lang w:val="en-US"/>
        </w:rPr>
        <w:t>[5]</w:t>
      </w:r>
      <w:r>
        <w:rPr>
          <w:color w:val="231F20"/>
          <w:sz w:val="24"/>
          <w:szCs w:val="24"/>
          <w:lang w:val="en-US"/>
        </w:rPr>
        <w:t>.</w:t>
      </w:r>
    </w:p>
    <w:p w14:paraId="2DF9BD15" w14:textId="4113612C" w:rsidR="00D505D7" w:rsidRDefault="00000000" w:rsidP="0003247A">
      <w:pPr>
        <w:pStyle w:val="BodyText"/>
        <w:snapToGrid w:val="0"/>
        <w:ind w:left="110" w:right="108" w:firstLine="400"/>
        <w:jc w:val="both"/>
        <w:rPr>
          <w:color w:val="231F20"/>
          <w:sz w:val="24"/>
          <w:szCs w:val="24"/>
          <w:lang w:val="en-US"/>
        </w:rPr>
      </w:pPr>
      <w:r>
        <w:rPr>
          <w:color w:val="231F20"/>
          <w:sz w:val="24"/>
          <w:szCs w:val="24"/>
          <w:lang w:val="en-US"/>
        </w:rPr>
        <w:t xml:space="preserve">Earlier Henan-based evaluations (2015–2018) documented suboptimal pertussis surveillance sensitivity (45–55%) and prolonged reporting delays, while meningococcal surveillance showed higher sensitivity (75–85%) due to severe clinical presentations and </w:t>
      </w:r>
      <w:r w:rsidR="0015649B">
        <w:rPr>
          <w:color w:val="231F20"/>
          <w:sz w:val="24"/>
          <w:szCs w:val="24"/>
          <w:lang w:val="en-US"/>
        </w:rPr>
        <w:t xml:space="preserve">standardized </w:t>
      </w:r>
      <w:r>
        <w:rPr>
          <w:color w:val="231F20"/>
          <w:sz w:val="24"/>
          <w:szCs w:val="24"/>
          <w:lang w:val="en-US"/>
        </w:rPr>
        <w:t>reporting protocols. However, prior studies predated widespread molecular diagnostics, lacked urban–rural stratified analyses, and failed to disaggregate key diagnostic and reporting bottlenecks.</w:t>
      </w:r>
      <w:r>
        <w:rPr>
          <w:rFonts w:eastAsia="SimSun"/>
          <w:color w:val="231F20"/>
          <w:sz w:val="24"/>
          <w:szCs w:val="24"/>
          <w:lang w:val="en-US"/>
        </w:rPr>
        <w:t xml:space="preserve"> </w:t>
      </w:r>
      <w:r>
        <w:rPr>
          <w:color w:val="231F20"/>
          <w:sz w:val="24"/>
          <w:szCs w:val="24"/>
          <w:lang w:val="en-US"/>
        </w:rPr>
        <w:t>The absence of updated, granular surveillance data hinders targeted local health investment and distorts interpretation of regional disease trends.  Accordingly, this study adopted a multi-source capture-recapture framework to comprehensively evaluate Puyang’s pertussis and meningococcal meningitis surveillance systems</w:t>
      </w:r>
      <w:r>
        <w:rPr>
          <w:rFonts w:eastAsia="SimSun"/>
          <w:color w:val="231F20"/>
          <w:sz w:val="24"/>
          <w:szCs w:val="24"/>
          <w:lang w:val="en-US"/>
        </w:rPr>
        <w:t xml:space="preserve"> </w:t>
      </w:r>
      <w:r>
        <w:rPr>
          <w:rFonts w:eastAsia="SimSun"/>
          <w:color w:val="231F20"/>
          <w:sz w:val="24"/>
          <w:szCs w:val="24"/>
          <w:vertAlign w:val="superscript"/>
          <w:lang w:val="en-US"/>
        </w:rPr>
        <w:t>[6]</w:t>
      </w:r>
      <w:r>
        <w:rPr>
          <w:color w:val="231F20"/>
          <w:sz w:val="24"/>
          <w:szCs w:val="24"/>
          <w:lang w:val="en-US"/>
        </w:rPr>
        <w:t>.</w:t>
      </w:r>
      <w:r>
        <w:rPr>
          <w:rFonts w:eastAsia="SimSun"/>
          <w:color w:val="231F20"/>
          <w:sz w:val="24"/>
          <w:szCs w:val="24"/>
          <w:lang w:val="en-US"/>
        </w:rPr>
        <w:t xml:space="preserve"> </w:t>
      </w:r>
      <w:r>
        <w:rPr>
          <w:color w:val="231F20"/>
          <w:sz w:val="24"/>
          <w:szCs w:val="24"/>
          <w:lang w:val="en-US"/>
        </w:rPr>
        <w:t>The primary objectives were to quantify current surveillance sensitivity using integrated hospital, laboratory and community clinic datasets;</w:t>
      </w:r>
      <w:r>
        <w:rPr>
          <w:rFonts w:eastAsia="SimSun"/>
          <w:color w:val="231F20"/>
          <w:sz w:val="24"/>
          <w:szCs w:val="24"/>
          <w:lang w:val="en-US"/>
        </w:rPr>
        <w:t xml:space="preserve"> </w:t>
      </w:r>
      <w:r w:rsidR="0015649B">
        <w:rPr>
          <w:color w:val="231F20"/>
          <w:sz w:val="24"/>
          <w:szCs w:val="24"/>
          <w:lang w:val="en-US"/>
        </w:rPr>
        <w:t xml:space="preserve">characterize </w:t>
      </w:r>
      <w:r>
        <w:rPr>
          <w:color w:val="231F20"/>
          <w:sz w:val="24"/>
          <w:szCs w:val="24"/>
          <w:lang w:val="en-US"/>
        </w:rPr>
        <w:t>timeliness across the full surveillance cascade stratified by geography, age and diagnostic approach;</w:t>
      </w:r>
      <w:r>
        <w:rPr>
          <w:rFonts w:eastAsia="SimSun"/>
          <w:color w:val="231F20"/>
          <w:sz w:val="24"/>
          <w:szCs w:val="24"/>
          <w:lang w:val="en-US"/>
        </w:rPr>
        <w:t xml:space="preserve"> </w:t>
      </w:r>
      <w:r>
        <w:rPr>
          <w:color w:val="231F20"/>
          <w:sz w:val="24"/>
          <w:szCs w:val="24"/>
          <w:lang w:val="en-US"/>
        </w:rPr>
        <w:t>and identify post-pandemic and system-reform-related surveillance bottlenecks and inequities</w:t>
      </w:r>
      <w:r>
        <w:rPr>
          <w:rFonts w:eastAsia="SimSun"/>
          <w:color w:val="231F20"/>
          <w:sz w:val="24"/>
          <w:szCs w:val="24"/>
          <w:lang w:val="en-US"/>
        </w:rPr>
        <w:t xml:space="preserve"> </w:t>
      </w:r>
      <w:r>
        <w:rPr>
          <w:rFonts w:eastAsia="SimSun"/>
          <w:color w:val="231F20"/>
          <w:sz w:val="24"/>
          <w:szCs w:val="24"/>
          <w:vertAlign w:val="superscript"/>
          <w:lang w:val="en-US"/>
        </w:rPr>
        <w:t>[7]</w:t>
      </w:r>
      <w:r>
        <w:rPr>
          <w:color w:val="231F20"/>
          <w:sz w:val="24"/>
          <w:szCs w:val="24"/>
          <w:lang w:val="en-US"/>
        </w:rPr>
        <w:t>.</w:t>
      </w:r>
      <w:r>
        <w:rPr>
          <w:rFonts w:eastAsia="SimSun"/>
          <w:color w:val="231F20"/>
          <w:sz w:val="24"/>
          <w:szCs w:val="24"/>
          <w:lang w:val="en-US"/>
        </w:rPr>
        <w:t xml:space="preserve"> </w:t>
      </w:r>
      <w:r>
        <w:rPr>
          <w:color w:val="231F20"/>
          <w:sz w:val="24"/>
          <w:szCs w:val="24"/>
          <w:lang w:val="en-US"/>
        </w:rPr>
        <w:t>The findings provide evidence-based insights to guide local improvements in case detection, diagnostic efficiency and outbreak response, while offering a replicable evaluation framework for comparable middle-burden, digitally transitioning public health settings nationwide.</w:t>
      </w:r>
    </w:p>
    <w:p w14:paraId="505F1BD8" w14:textId="77777777" w:rsidR="0015649B" w:rsidRDefault="0015649B" w:rsidP="00131A7E">
      <w:pPr>
        <w:pStyle w:val="BodyText"/>
        <w:snapToGrid w:val="0"/>
        <w:ind w:left="110" w:right="108" w:firstLine="400"/>
        <w:jc w:val="both"/>
        <w:rPr>
          <w:color w:val="231F20"/>
          <w:sz w:val="24"/>
          <w:szCs w:val="24"/>
          <w:lang w:val="en-US"/>
        </w:rPr>
      </w:pPr>
    </w:p>
    <w:p w14:paraId="2DF9BD16" w14:textId="77777777" w:rsidR="00D505D7" w:rsidRDefault="00000000" w:rsidP="00131A7E">
      <w:pPr>
        <w:pStyle w:val="Heading1"/>
        <w:tabs>
          <w:tab w:val="left" w:pos="391"/>
        </w:tabs>
        <w:snapToGrid w:val="0"/>
        <w:ind w:left="0" w:firstLine="0"/>
        <w:rPr>
          <w:rFonts w:eastAsiaTheme="minorEastAsia"/>
          <w:color w:val="231F20"/>
          <w:spacing w:val="-6"/>
          <w:sz w:val="24"/>
          <w:szCs w:val="24"/>
          <w:lang w:val="en-US"/>
        </w:rPr>
      </w:pPr>
      <w:r>
        <w:rPr>
          <w:rFonts w:eastAsiaTheme="minorEastAsia"/>
          <w:color w:val="231F20"/>
          <w:spacing w:val="-6"/>
          <w:sz w:val="24"/>
          <w:szCs w:val="24"/>
          <w:lang w:val="en-US"/>
        </w:rPr>
        <w:t xml:space="preserve">2. Materials and </w:t>
      </w:r>
      <w:r>
        <w:rPr>
          <w:rFonts w:eastAsiaTheme="minorEastAsia" w:hint="eastAsia"/>
          <w:color w:val="231F20"/>
          <w:spacing w:val="-6"/>
          <w:sz w:val="24"/>
          <w:szCs w:val="24"/>
          <w:lang w:val="en-US"/>
        </w:rPr>
        <w:t>m</w:t>
      </w:r>
      <w:r>
        <w:rPr>
          <w:rFonts w:eastAsiaTheme="minorEastAsia"/>
          <w:color w:val="231F20"/>
          <w:spacing w:val="-6"/>
          <w:sz w:val="24"/>
          <w:szCs w:val="24"/>
          <w:lang w:val="en-US"/>
        </w:rPr>
        <w:t>ethods</w:t>
      </w:r>
    </w:p>
    <w:p w14:paraId="2DF9BD17" w14:textId="4436CE7B" w:rsidR="00D505D7" w:rsidRDefault="00000000" w:rsidP="00131A7E">
      <w:pPr>
        <w:pStyle w:val="BodyText"/>
        <w:snapToGrid w:val="0"/>
        <w:ind w:right="108"/>
        <w:jc w:val="both"/>
        <w:rPr>
          <w:rFonts w:eastAsiaTheme="minorEastAsia"/>
          <w:color w:val="231F20"/>
          <w:sz w:val="24"/>
          <w:szCs w:val="24"/>
          <w:lang w:val="en-US"/>
        </w:rPr>
      </w:pPr>
      <w:r>
        <w:rPr>
          <w:rFonts w:eastAsiaTheme="minorEastAsia"/>
          <w:color w:val="231F20"/>
          <w:sz w:val="24"/>
          <w:szCs w:val="24"/>
          <w:lang w:val="en-US"/>
        </w:rPr>
        <w:t>This retrospective observational evaluation was carried out in Puyang City, Henan Province, covering all its county-level jurisdictions with a total resident population of 4 218 000 according to 2024 demographic records. The six-year study period ran from 1 January 2020 to 31 December 2025, capturing pre-pandemic, pandemic-response, transition</w:t>
      </w:r>
      <w:r w:rsidR="0015649B">
        <w:rPr>
          <w:rFonts w:eastAsiaTheme="minorEastAsia"/>
          <w:color w:val="231F20"/>
          <w:sz w:val="24"/>
          <w:szCs w:val="24"/>
          <w:lang w:val="en-US"/>
        </w:rPr>
        <w:t>,</w:t>
      </w:r>
      <w:r>
        <w:rPr>
          <w:rFonts w:eastAsiaTheme="minorEastAsia"/>
          <w:color w:val="231F20"/>
          <w:sz w:val="24"/>
          <w:szCs w:val="24"/>
          <w:lang w:val="en-US"/>
        </w:rPr>
        <w:t xml:space="preserve"> and post-pandemic phases to support temporal trend analysis of surveillance indicators under varied operational conditions. Eligible pertussis cases satisfied national notifiable-disease definitions: laboratory confirmation by </w:t>
      </w:r>
      <w:r w:rsidR="0015649B">
        <w:rPr>
          <w:rFonts w:eastAsiaTheme="minorEastAsia"/>
          <w:color w:val="231F20"/>
          <w:sz w:val="24"/>
          <w:szCs w:val="24"/>
          <w:lang w:val="en-US"/>
        </w:rPr>
        <w:t>Bordetella pertussis</w:t>
      </w:r>
      <w:r>
        <w:rPr>
          <w:rFonts w:eastAsiaTheme="minorEastAsia"/>
          <w:color w:val="231F20"/>
          <w:sz w:val="24"/>
          <w:szCs w:val="24"/>
          <w:lang w:val="en-US"/>
        </w:rPr>
        <w:t xml:space="preserve"> isolation or PCR, or clinical diagnosis of paroxysmal cough lasting over two weeks accompanied by characteristic symptoms plus epidemiological links to confirmed cases. Meningococcal meningitis cases met confirmed or probable criteria through </w:t>
      </w:r>
      <w:r w:rsidR="0015649B">
        <w:rPr>
          <w:rFonts w:eastAsiaTheme="minorEastAsia"/>
          <w:color w:val="231F20"/>
          <w:sz w:val="24"/>
          <w:szCs w:val="24"/>
          <w:lang w:val="en-US"/>
        </w:rPr>
        <w:t>Neisseria meningitidis</w:t>
      </w:r>
      <w:r>
        <w:rPr>
          <w:rFonts w:eastAsiaTheme="minorEastAsia"/>
          <w:color w:val="231F20"/>
          <w:sz w:val="24"/>
          <w:szCs w:val="24"/>
          <w:lang w:val="en-US"/>
        </w:rPr>
        <w:t xml:space="preserve"> isolation, positive PCR from sterile specimens, or compatible acute meningitis with typical rash and supportive laboratory findings. Cases lacking Puyang residential registration or transferred out within 24 hours of admission were excluded to secure correct population attribution </w:t>
      </w:r>
      <w:r>
        <w:rPr>
          <w:rFonts w:eastAsiaTheme="minorEastAsia"/>
          <w:color w:val="231F20"/>
          <w:sz w:val="24"/>
          <w:szCs w:val="24"/>
          <w:vertAlign w:val="superscript"/>
          <w:lang w:val="en-US"/>
        </w:rPr>
        <w:t>[8]</w:t>
      </w:r>
      <w:r>
        <w:rPr>
          <w:rFonts w:eastAsiaTheme="minorEastAsia"/>
          <w:color w:val="231F20"/>
          <w:sz w:val="24"/>
          <w:szCs w:val="24"/>
          <w:lang w:val="en-US"/>
        </w:rPr>
        <w:t>.</w:t>
      </w:r>
    </w:p>
    <w:p w14:paraId="2DF9BD18" w14:textId="5993E20D"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Four data streams fed the capture-recapture sensitivity analysis: the National Notifiable Disease Reporting System, hospital discharge abstracts from all 17 secondary and tertiary hospitals coded by ICD-10, laboratory information system records of pathogen assays, and auxiliary township-level outpatient referral logs to mitigate bias from hospital-only sources. Multi-source records were linked probabilistically using name, date of birth, gender, address</w:t>
      </w:r>
      <w:r w:rsidR="0015649B">
        <w:rPr>
          <w:rFonts w:eastAsiaTheme="minorEastAsia"/>
          <w:color w:val="231F20"/>
          <w:sz w:val="24"/>
          <w:szCs w:val="24"/>
          <w:lang w:val="en-US"/>
        </w:rPr>
        <w:t>, and symptom-onset date; ambiguous matches underwent manual double-checking by two epidemiologists to minimize</w:t>
      </w:r>
      <w:r>
        <w:rPr>
          <w:rFonts w:eastAsiaTheme="minorEastAsia"/>
          <w:color w:val="231F20"/>
          <w:sz w:val="24"/>
          <w:szCs w:val="24"/>
          <w:lang w:val="en-US"/>
        </w:rPr>
        <w:t xml:space="preserve"> duplicates and identify unique individuals.</w:t>
      </w:r>
    </w:p>
    <w:p w14:paraId="2DF9BD19" w14:textId="50EBBB12"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Timeliness was measured through sequential time intervals: symptom onset to first healthcare contact, contact to specimen collection, specimen collection to laboratory results, result to online report submission, and report submission to public-health investigation</w:t>
      </w:r>
      <w:r w:rsidR="0015649B">
        <w:rPr>
          <w:rFonts w:eastAsiaTheme="minorEastAsia"/>
          <w:color w:val="231F20"/>
          <w:sz w:val="24"/>
          <w:szCs w:val="24"/>
          <w:lang w:val="en-US"/>
        </w:rPr>
        <w:t>—an</w:t>
      </w:r>
      <w:r>
        <w:rPr>
          <w:rFonts w:eastAsiaTheme="minorEastAsia"/>
          <w:color w:val="231F20"/>
          <w:sz w:val="24"/>
          <w:szCs w:val="24"/>
          <w:lang w:val="en-US"/>
        </w:rPr>
        <w:t xml:space="preserve"> extra interval tracked </w:t>
      </w:r>
      <w:r w:rsidR="0015649B">
        <w:rPr>
          <w:rFonts w:eastAsiaTheme="minorEastAsia"/>
          <w:color w:val="231F20"/>
          <w:sz w:val="24"/>
          <w:szCs w:val="24"/>
          <w:lang w:val="en-US"/>
        </w:rPr>
        <w:t>cerebrospinal fluid</w:t>
      </w:r>
      <w:r>
        <w:rPr>
          <w:rFonts w:eastAsiaTheme="minorEastAsia"/>
          <w:color w:val="231F20"/>
          <w:sz w:val="24"/>
          <w:szCs w:val="24"/>
          <w:lang w:val="en-US"/>
        </w:rPr>
        <w:t xml:space="preserve"> collection for meningococcal meningitis. Time intervals were computed in full days; extreme outliers were </w:t>
      </w:r>
      <w:r w:rsidR="0015649B">
        <w:rPr>
          <w:rFonts w:eastAsiaTheme="minorEastAsia"/>
          <w:color w:val="231F20"/>
          <w:sz w:val="24"/>
          <w:szCs w:val="24"/>
          <w:lang w:val="en-US"/>
        </w:rPr>
        <w:t xml:space="preserve">winsorized </w:t>
      </w:r>
      <w:r>
        <w:rPr>
          <w:rFonts w:eastAsiaTheme="minorEastAsia"/>
          <w:color w:val="231F20"/>
          <w:sz w:val="24"/>
          <w:szCs w:val="24"/>
          <w:lang w:val="en-US"/>
        </w:rPr>
        <w:t xml:space="preserve">at the 99th percentile. Benchmarks included the national 24-hour reporting requirement, provincial PCR turnaround targets for pertussis, and WHO’s 48-hour antibiotic-therapy reference for suspected meningitis </w:t>
      </w:r>
      <w:r>
        <w:rPr>
          <w:rFonts w:eastAsiaTheme="minorEastAsia"/>
          <w:color w:val="231F20"/>
          <w:sz w:val="24"/>
          <w:szCs w:val="24"/>
          <w:vertAlign w:val="superscript"/>
          <w:lang w:val="en-US"/>
        </w:rPr>
        <w:t>[9]</w:t>
      </w:r>
      <w:r>
        <w:rPr>
          <w:rFonts w:eastAsiaTheme="minorEastAsia"/>
          <w:color w:val="231F20"/>
          <w:sz w:val="24"/>
          <w:szCs w:val="24"/>
          <w:lang w:val="en-US"/>
        </w:rPr>
        <w:t>.</w:t>
      </w:r>
    </w:p>
    <w:p w14:paraId="2DF9BD1A" w14:textId="5C5C7751"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 xml:space="preserve">Log-linear capture-recapture Poisson models with interaction terms estimated true case numbers and surveillance sensitivity, stratified by year and urban-rural status. Model selection relied on the Akaike Information Criterion, goodness-of-fit was assessed by chi-square statistics, and 95 % confidence intervals came from profile likelihood. Given skewed timeliness data, medians and </w:t>
      </w:r>
      <w:r>
        <w:rPr>
          <w:rFonts w:eastAsiaTheme="minorEastAsia"/>
          <w:color w:val="231F20"/>
          <w:sz w:val="24"/>
          <w:szCs w:val="24"/>
          <w:lang w:val="en-US"/>
        </w:rPr>
        <w:lastRenderedPageBreak/>
        <w:t>interquartile ranges were reported; non-parametric tests and negative-binomial multivariable models adjusted for confounders such as age, sex, season</w:t>
      </w:r>
      <w:r w:rsidR="0015649B">
        <w:rPr>
          <w:rFonts w:eastAsiaTheme="minorEastAsia"/>
          <w:color w:val="231F20"/>
          <w:sz w:val="24"/>
          <w:szCs w:val="24"/>
          <w:lang w:val="en-US"/>
        </w:rPr>
        <w:t>,</w:t>
      </w:r>
      <w:r>
        <w:rPr>
          <w:rFonts w:eastAsiaTheme="minorEastAsia"/>
          <w:color w:val="231F20"/>
          <w:sz w:val="24"/>
          <w:szCs w:val="24"/>
          <w:lang w:val="en-US"/>
        </w:rPr>
        <w:t xml:space="preserve"> and hospital level</w:t>
      </w:r>
      <w:r w:rsidR="0015649B">
        <w:rPr>
          <w:rFonts w:eastAsiaTheme="minorEastAsia"/>
          <w:color w:val="231F20"/>
          <w:sz w:val="24"/>
          <w:szCs w:val="24"/>
          <w:lang w:val="en-US"/>
        </w:rPr>
        <w:t xml:space="preserve"> were used</w:t>
      </w:r>
      <w:r>
        <w:rPr>
          <w:rFonts w:eastAsiaTheme="minorEastAsia"/>
          <w:color w:val="231F20"/>
          <w:sz w:val="24"/>
          <w:szCs w:val="24"/>
          <w:lang w:val="en-US"/>
        </w:rPr>
        <w:t>. Analyses were implemented in R 4.3.2 with statistical significance set at two-sided α = 0.05.</w:t>
      </w:r>
    </w:p>
    <w:p w14:paraId="2DF9BD1B" w14:textId="77777777" w:rsidR="00D505D7" w:rsidRDefault="00000000" w:rsidP="0003247A">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 xml:space="preserve">Ethical clearance was obtained from the Puyang Municipal CDC Institutional Review Board; informed consent was waived for de-identified secondary routine data. Identifiers were fully removed for confidentiality. The study followed the Declaration of Helsinki, Chinese epidemiological research regulations, and STROBE reporting guidelines </w:t>
      </w:r>
      <w:r>
        <w:rPr>
          <w:rFonts w:eastAsiaTheme="minorEastAsia"/>
          <w:color w:val="231F20"/>
          <w:sz w:val="24"/>
          <w:szCs w:val="24"/>
          <w:vertAlign w:val="superscript"/>
          <w:lang w:val="en-US"/>
        </w:rPr>
        <w:t>[10]</w:t>
      </w:r>
      <w:r>
        <w:rPr>
          <w:rFonts w:eastAsiaTheme="minorEastAsia"/>
          <w:color w:val="231F20"/>
          <w:sz w:val="24"/>
          <w:szCs w:val="24"/>
          <w:lang w:val="en-US"/>
        </w:rPr>
        <w:t>.</w:t>
      </w:r>
    </w:p>
    <w:p w14:paraId="57D7E18E" w14:textId="77777777" w:rsidR="0015649B" w:rsidRDefault="0015649B" w:rsidP="00131A7E">
      <w:pPr>
        <w:pStyle w:val="BodyText"/>
        <w:snapToGrid w:val="0"/>
        <w:ind w:left="110" w:right="108" w:firstLine="400"/>
        <w:jc w:val="both"/>
        <w:rPr>
          <w:rFonts w:eastAsiaTheme="minorEastAsia"/>
          <w:color w:val="231F20"/>
          <w:sz w:val="24"/>
          <w:szCs w:val="24"/>
          <w:lang w:val="en-US"/>
        </w:rPr>
      </w:pPr>
    </w:p>
    <w:p w14:paraId="2DF9BD1C" w14:textId="77777777" w:rsidR="00D505D7" w:rsidRDefault="00000000" w:rsidP="00131A7E">
      <w:pPr>
        <w:pStyle w:val="Heading1"/>
        <w:tabs>
          <w:tab w:val="left" w:pos="391"/>
        </w:tabs>
        <w:snapToGrid w:val="0"/>
        <w:ind w:left="0" w:firstLine="0"/>
        <w:rPr>
          <w:sz w:val="24"/>
          <w:szCs w:val="24"/>
          <w:lang w:val="en-US"/>
        </w:rPr>
      </w:pPr>
      <w:r>
        <w:rPr>
          <w:rFonts w:eastAsiaTheme="minorEastAsia"/>
          <w:color w:val="231F20"/>
          <w:spacing w:val="-6"/>
          <w:sz w:val="24"/>
          <w:szCs w:val="24"/>
          <w:lang w:val="en-US"/>
        </w:rPr>
        <w:t>3</w:t>
      </w:r>
      <w:r>
        <w:rPr>
          <w:color w:val="231F20"/>
          <w:spacing w:val="-6"/>
          <w:sz w:val="24"/>
          <w:szCs w:val="24"/>
          <w:lang w:val="en-US"/>
        </w:rPr>
        <w:t xml:space="preserve">. </w:t>
      </w:r>
      <w:r>
        <w:rPr>
          <w:color w:val="231F20"/>
          <w:sz w:val="24"/>
          <w:szCs w:val="24"/>
          <w:lang w:val="en-US"/>
        </w:rPr>
        <w:t>Results</w:t>
      </w:r>
    </w:p>
    <w:p w14:paraId="2DF9BD1D" w14:textId="5521DDE8" w:rsidR="00D505D7" w:rsidRDefault="00000000" w:rsidP="00131A7E">
      <w:pPr>
        <w:pStyle w:val="BodyText"/>
        <w:snapToGrid w:val="0"/>
        <w:ind w:right="108"/>
        <w:jc w:val="both"/>
        <w:rPr>
          <w:rFonts w:eastAsiaTheme="minorEastAsia"/>
          <w:color w:val="231F20"/>
          <w:sz w:val="24"/>
          <w:szCs w:val="24"/>
          <w:lang w:val="en-US"/>
        </w:rPr>
      </w:pPr>
      <w:r>
        <w:rPr>
          <w:rFonts w:eastAsiaTheme="minorEastAsia"/>
          <w:color w:val="231F20"/>
          <w:sz w:val="24"/>
          <w:szCs w:val="24"/>
          <w:lang w:val="en-US"/>
        </w:rPr>
        <w:t>Over the six-year study period, a total of 2,847 unique pertussis cases and 316 unique meningococcal meningitis cases were identified through the National Notifiable Disease Reporting System within the jurisdiction of Puyang City, representing the primary capture stream for subsequent analyses. Among the pertussis cases, 1,852 (65.1%) were laboratory-confirmed by polymerase chain reaction, 423 (14.9%) by culture, and 572 (20.1%) were clinically diagnosed without microbiological evidence, whereas for meningococcal meningitis, 263 (83.2%) were laboratory-confirmed, with 189 (59.8%) by polymerase chain reaction, 52 (16.5%) by culture, and 22 (7.0%) by latex agglutination, while 53 (16.8%) met the probable clinical case definition. The age distribution showed a marked contrast between the two diseases: pertussis cases were predominantly infants under 12 months of age, accounting for 1,104 cases (38.8%), followed by children aged 1-4 years with 823 cases (28.9%), and adolescents and adults over 15 years comprising 612 cases (21.5%), while meningococcal meningitis displayed a bimodal pattern with 128 cases (40.5%) in children under 5 years and 97 cases (30.7%) in individuals aged 15-24 years, reflecting the known serogroup shifts in the region. Seasonal peaks for pertussis occurred in late spring (May-June) and autumn (October-November), with 34.2% and 28.7% of annual cases</w:t>
      </w:r>
      <w:r w:rsidR="0015649B">
        <w:rPr>
          <w:rFonts w:eastAsiaTheme="minorEastAsia"/>
          <w:color w:val="231F20"/>
          <w:sz w:val="24"/>
          <w:szCs w:val="24"/>
          <w:lang w:val="en-US"/>
        </w:rPr>
        <w:t>,</w:t>
      </w:r>
      <w:r>
        <w:rPr>
          <w:rFonts w:eastAsiaTheme="minorEastAsia"/>
          <w:color w:val="231F20"/>
          <w:sz w:val="24"/>
          <w:szCs w:val="24"/>
          <w:lang w:val="en-US"/>
        </w:rPr>
        <w:t xml:space="preserve"> respectively, whereas meningococcal meningitis showed a winter-spring predominance, with 61.4% of cases reported between January and March, consistent with the respiratory transmission dynamics and indoor crowding patterns.</w:t>
      </w:r>
    </w:p>
    <w:p w14:paraId="2DF9BD1E" w14:textId="4EDBA771"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 xml:space="preserve">The estimated overall sensitivity of the pertussis surveillance system, derived from the log-linear capture-recapture model that integrated the four data streams with a three-way interaction term selected by the Akaike Information Criterion, was 68.4% with a 95% confidence interval ranging from 65.2% to 71.6%, indicating that approximately one-third of all true pertussis cases in the community were not captured by the official reporting mechanism during the entire study period. In contrast, the sensitivity for meningococcal meningitis was substantially higher at 82.1% (95% confidence interval 79.4-84.7%), reflecting the greater clinical severity and higher </w:t>
      </w:r>
      <w:r w:rsidR="0015649B">
        <w:rPr>
          <w:rFonts w:eastAsiaTheme="minorEastAsia"/>
          <w:color w:val="231F20"/>
          <w:sz w:val="24"/>
          <w:szCs w:val="24"/>
          <w:lang w:val="en-US"/>
        </w:rPr>
        <w:t xml:space="preserve">hospitalization </w:t>
      </w:r>
      <w:r>
        <w:rPr>
          <w:rFonts w:eastAsiaTheme="minorEastAsia"/>
          <w:color w:val="231F20"/>
          <w:sz w:val="24"/>
          <w:szCs w:val="24"/>
          <w:lang w:val="en-US"/>
        </w:rPr>
        <w:t xml:space="preserve">rate that reduce the likelihood of missed diagnosis. Temporal trends revealed a progressive and statistically significant improvement in pertussis sensitivity, rising from 54.2% in the 2020-2021 biennium to 63.7% in 2022-2023 and further to 76.9% in 2024-2025 (Cochran-Armitage test for trend Z=4.82, </w:t>
      </w:r>
      <w:r>
        <w:rPr>
          <w:rFonts w:eastAsiaTheme="minorEastAsia"/>
          <w:i/>
          <w:iCs/>
          <w:color w:val="231F20"/>
          <w:sz w:val="24"/>
          <w:szCs w:val="24"/>
          <w:lang w:val="en-US"/>
        </w:rPr>
        <w:t>p</w:t>
      </w:r>
      <w:r>
        <w:rPr>
          <w:rFonts w:eastAsiaTheme="minorEastAsia" w:hint="eastAsia"/>
          <w:i/>
          <w:iCs/>
          <w:color w:val="231F20"/>
          <w:sz w:val="24"/>
          <w:szCs w:val="24"/>
          <w:lang w:val="en-US"/>
        </w:rPr>
        <w:t xml:space="preserve"> </w:t>
      </w:r>
      <w:r>
        <w:rPr>
          <w:rFonts w:eastAsiaTheme="minorEastAsia"/>
          <w:color w:val="231F20"/>
          <w:sz w:val="24"/>
          <w:szCs w:val="24"/>
          <w:lang w:val="en-US"/>
        </w:rPr>
        <w:t>&lt;</w:t>
      </w:r>
      <w:r>
        <w:rPr>
          <w:rFonts w:eastAsiaTheme="minorEastAsia" w:hint="eastAsia"/>
          <w:color w:val="231F20"/>
          <w:sz w:val="24"/>
          <w:szCs w:val="24"/>
          <w:lang w:val="en-US"/>
        </w:rPr>
        <w:t xml:space="preserve"> </w:t>
      </w:r>
      <w:r>
        <w:rPr>
          <w:rFonts w:eastAsiaTheme="minorEastAsia"/>
          <w:color w:val="231F20"/>
          <w:sz w:val="24"/>
          <w:szCs w:val="24"/>
          <w:lang w:val="en-US"/>
        </w:rPr>
        <w:t>0.001), whereas meningococcal meningitis sensitivity remained relatively stable at 80.3%, 82.5%, and 83.4% across the three periods, with no significant trend (Z</w:t>
      </w:r>
      <w:r w:rsidR="0015649B">
        <w:rPr>
          <w:rFonts w:eastAsiaTheme="minorEastAsia"/>
          <w:color w:val="231F20"/>
          <w:sz w:val="24"/>
          <w:szCs w:val="24"/>
          <w:lang w:val="en-US"/>
        </w:rPr>
        <w:t xml:space="preserve"> </w:t>
      </w:r>
      <w:r>
        <w:rPr>
          <w:rFonts w:eastAsiaTheme="minorEastAsia"/>
          <w:color w:val="231F20"/>
          <w:sz w:val="24"/>
          <w:szCs w:val="24"/>
          <w:lang w:val="en-US"/>
        </w:rPr>
        <w:t>=</w:t>
      </w:r>
      <w:r w:rsidR="0015649B">
        <w:rPr>
          <w:rFonts w:eastAsiaTheme="minorEastAsia"/>
          <w:color w:val="231F20"/>
          <w:sz w:val="24"/>
          <w:szCs w:val="24"/>
          <w:lang w:val="en-US"/>
        </w:rPr>
        <w:t xml:space="preserve"> </w:t>
      </w:r>
      <w:r>
        <w:rPr>
          <w:rFonts w:eastAsiaTheme="minorEastAsia"/>
          <w:color w:val="231F20"/>
          <w:sz w:val="24"/>
          <w:szCs w:val="24"/>
          <w:lang w:val="en-US"/>
        </w:rPr>
        <w:t xml:space="preserve">1.26, </w:t>
      </w:r>
      <w:r>
        <w:rPr>
          <w:rFonts w:eastAsiaTheme="minorEastAsia"/>
          <w:i/>
          <w:iCs/>
          <w:color w:val="231F20"/>
          <w:sz w:val="24"/>
          <w:szCs w:val="24"/>
          <w:lang w:val="en-US"/>
        </w:rPr>
        <w:t>p</w:t>
      </w:r>
      <w:r w:rsidR="0015649B">
        <w:rPr>
          <w:rFonts w:eastAsiaTheme="minorEastAsia"/>
          <w:i/>
          <w:iCs/>
          <w:color w:val="231F20"/>
          <w:sz w:val="24"/>
          <w:szCs w:val="24"/>
          <w:lang w:val="en-US"/>
        </w:rPr>
        <w:t xml:space="preserve"> </w:t>
      </w:r>
      <w:r>
        <w:rPr>
          <w:rFonts w:eastAsiaTheme="minorEastAsia"/>
          <w:color w:val="231F20"/>
          <w:sz w:val="24"/>
          <w:szCs w:val="24"/>
          <w:lang w:val="en-US"/>
        </w:rPr>
        <w:t>=</w:t>
      </w:r>
      <w:r w:rsidR="0015649B">
        <w:rPr>
          <w:rFonts w:eastAsiaTheme="minorEastAsia"/>
          <w:color w:val="231F20"/>
          <w:sz w:val="24"/>
          <w:szCs w:val="24"/>
          <w:lang w:val="en-US"/>
        </w:rPr>
        <w:t xml:space="preserve"> </w:t>
      </w:r>
      <w:r>
        <w:rPr>
          <w:rFonts w:eastAsiaTheme="minorEastAsia"/>
          <w:color w:val="231F20"/>
          <w:sz w:val="24"/>
          <w:szCs w:val="24"/>
          <w:lang w:val="en-US"/>
        </w:rPr>
        <w:t>0.208). When disaggregated by geographic area, a persistent rural-urban gap was observed for pertussis, with the sensitivity in Hualong District and urban zones reaching 78.2% (74.1-82.3%) compared to only 61.1% (56.9-65.3%) in the four rural counties, a difference of 17.1 percentage points that was statistically robust (</w:t>
      </w:r>
      <w:r w:rsidRPr="00131A7E">
        <w:rPr>
          <w:rFonts w:eastAsiaTheme="minorEastAsia"/>
          <w:i/>
          <w:iCs/>
          <w:color w:val="231F20"/>
          <w:sz w:val="24"/>
          <w:szCs w:val="24"/>
          <w:lang w:val="en-US"/>
        </w:rPr>
        <w:t>p</w:t>
      </w:r>
      <w:r w:rsidR="0015649B">
        <w:rPr>
          <w:rFonts w:eastAsiaTheme="minorEastAsia"/>
          <w:color w:val="231F20"/>
          <w:sz w:val="24"/>
          <w:szCs w:val="24"/>
          <w:lang w:val="en-US"/>
        </w:rPr>
        <w:t xml:space="preserve"> </w:t>
      </w:r>
      <w:r>
        <w:rPr>
          <w:rFonts w:eastAsiaTheme="minorEastAsia"/>
          <w:color w:val="231F20"/>
          <w:sz w:val="24"/>
          <w:szCs w:val="24"/>
          <w:lang w:val="en-US"/>
        </w:rPr>
        <w:t>&lt;</w:t>
      </w:r>
      <w:r w:rsidR="0015649B">
        <w:rPr>
          <w:rFonts w:eastAsiaTheme="minorEastAsia"/>
          <w:color w:val="231F20"/>
          <w:sz w:val="24"/>
          <w:szCs w:val="24"/>
          <w:lang w:val="en-US"/>
        </w:rPr>
        <w:t xml:space="preserve"> </w:t>
      </w:r>
      <w:r>
        <w:rPr>
          <w:rFonts w:eastAsiaTheme="minorEastAsia"/>
          <w:color w:val="231F20"/>
          <w:sz w:val="24"/>
          <w:szCs w:val="24"/>
          <w:lang w:val="en-US"/>
        </w:rPr>
        <w:t>0.001), while for meningococcal meningitis, the urban-rural difference was narrower at 85.3% (81.7</w:t>
      </w:r>
      <w:r w:rsidR="0015649B">
        <w:rPr>
          <w:rFonts w:eastAsiaTheme="minorEastAsia"/>
          <w:color w:val="231F20"/>
          <w:sz w:val="24"/>
          <w:szCs w:val="24"/>
          <w:lang w:val="en-US"/>
        </w:rPr>
        <w:t>–</w:t>
      </w:r>
      <w:r>
        <w:rPr>
          <w:rFonts w:eastAsiaTheme="minorEastAsia"/>
          <w:color w:val="231F20"/>
          <w:sz w:val="24"/>
          <w:szCs w:val="24"/>
          <w:lang w:val="en-US"/>
        </w:rPr>
        <w:t>88.9%) versus 79.6% (75.2</w:t>
      </w:r>
      <w:r w:rsidR="0015649B">
        <w:rPr>
          <w:rFonts w:eastAsiaTheme="minorEastAsia"/>
          <w:color w:val="231F20"/>
          <w:sz w:val="24"/>
          <w:szCs w:val="24"/>
          <w:lang w:val="en-US"/>
        </w:rPr>
        <w:t>–</w:t>
      </w:r>
      <w:r>
        <w:rPr>
          <w:rFonts w:eastAsiaTheme="minorEastAsia"/>
          <w:color w:val="231F20"/>
          <w:sz w:val="24"/>
          <w:szCs w:val="24"/>
          <w:lang w:val="en-US"/>
        </w:rPr>
        <w:t xml:space="preserve">84.0%), yielding a 5.7 percentage point gap that did not reach significance after Bonferroni correction (adjusted </w:t>
      </w:r>
      <w:r>
        <w:rPr>
          <w:rFonts w:eastAsiaTheme="minorEastAsia"/>
          <w:i/>
          <w:iCs/>
          <w:color w:val="231F20"/>
          <w:sz w:val="24"/>
          <w:szCs w:val="24"/>
          <w:lang w:val="en-US"/>
        </w:rPr>
        <w:t>p</w:t>
      </w:r>
      <w:r w:rsidR="0015649B">
        <w:rPr>
          <w:rFonts w:eastAsiaTheme="minorEastAsia"/>
          <w:i/>
          <w:iCs/>
          <w:color w:val="231F20"/>
          <w:sz w:val="24"/>
          <w:szCs w:val="24"/>
          <w:lang w:val="en-US"/>
        </w:rPr>
        <w:t xml:space="preserve"> </w:t>
      </w:r>
      <w:r>
        <w:rPr>
          <w:rFonts w:eastAsiaTheme="minorEastAsia"/>
          <w:color w:val="231F20"/>
          <w:sz w:val="24"/>
          <w:szCs w:val="24"/>
          <w:lang w:val="en-US"/>
        </w:rPr>
        <w:t>=</w:t>
      </w:r>
      <w:r w:rsidR="0015649B">
        <w:rPr>
          <w:rFonts w:eastAsiaTheme="minorEastAsia"/>
          <w:color w:val="231F20"/>
          <w:sz w:val="24"/>
          <w:szCs w:val="24"/>
          <w:lang w:val="en-US"/>
        </w:rPr>
        <w:t xml:space="preserve"> </w:t>
      </w:r>
      <w:r>
        <w:rPr>
          <w:rFonts w:eastAsiaTheme="minorEastAsia"/>
          <w:color w:val="231F20"/>
          <w:sz w:val="24"/>
          <w:szCs w:val="24"/>
          <w:lang w:val="en-US"/>
        </w:rPr>
        <w:t xml:space="preserve">0.067). The capture-recapture model also indicated that the auxiliary stream from community clinic referrals contributed the largest number of additional cases not captured by the national reporting system, adding 412 pertussis cases and 31 meningitis cases to the estimated totals, which underscores the role of primary care as a critical but </w:t>
      </w:r>
      <w:r w:rsidR="0015649B">
        <w:rPr>
          <w:rFonts w:eastAsiaTheme="minorEastAsia"/>
          <w:color w:val="231F20"/>
          <w:sz w:val="24"/>
          <w:szCs w:val="24"/>
          <w:lang w:val="en-US"/>
        </w:rPr>
        <w:t xml:space="preserve">underutilized </w:t>
      </w:r>
      <w:r>
        <w:rPr>
          <w:rFonts w:eastAsiaTheme="minorEastAsia"/>
          <w:color w:val="231F20"/>
          <w:sz w:val="24"/>
          <w:szCs w:val="24"/>
          <w:lang w:val="en-US"/>
        </w:rPr>
        <w:t>surveillance node.</w:t>
      </w:r>
    </w:p>
    <w:p w14:paraId="2DF9BD1F" w14:textId="77777777"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b/>
          <w:bCs/>
          <w:color w:val="231F20"/>
          <w:sz w:val="24"/>
          <w:szCs w:val="24"/>
          <w:lang w:val="en-US"/>
        </w:rPr>
        <w:t>Table 1</w:t>
      </w:r>
      <w:r>
        <w:rPr>
          <w:rFonts w:eastAsiaTheme="minorEastAsia"/>
          <w:color w:val="231F20"/>
          <w:sz w:val="24"/>
          <w:szCs w:val="24"/>
          <w:lang w:val="en-US"/>
        </w:rPr>
        <w:t xml:space="preserve"> presents the estimated sensitivity, case counts, and capture probabilities for each data source stratified by disease and year, demonstrating that laboratory information systems had the highest capture probability for both diseases, exceeding 80% for polymerase chain reaction-positive cases, but that the hospital discharge databases contained substantial numbers of clinically coded cases that were never notified, particularly for pertussis in rural hospitals where electronic reporting compliance was lower.</w:t>
      </w:r>
    </w:p>
    <w:p w14:paraId="2DF9BD20" w14:textId="77777777" w:rsidR="00D505D7" w:rsidRDefault="00D505D7" w:rsidP="00131A7E">
      <w:pPr>
        <w:pStyle w:val="BodyText"/>
        <w:snapToGrid w:val="0"/>
        <w:ind w:left="110" w:right="108" w:firstLine="400"/>
        <w:jc w:val="both"/>
        <w:rPr>
          <w:rFonts w:eastAsiaTheme="minorEastAsia"/>
          <w:color w:val="231F20"/>
          <w:sz w:val="24"/>
          <w:szCs w:val="24"/>
          <w:lang w:val="en-US"/>
        </w:rPr>
      </w:pPr>
    </w:p>
    <w:p w14:paraId="2DF9BD21" w14:textId="77777777" w:rsidR="00D505D7" w:rsidRDefault="00000000" w:rsidP="00131A7E">
      <w:pPr>
        <w:pStyle w:val="BodyText"/>
        <w:snapToGrid w:val="0"/>
        <w:ind w:right="108"/>
        <w:jc w:val="both"/>
        <w:rPr>
          <w:rFonts w:eastAsiaTheme="minorEastAsia"/>
          <w:color w:val="231F20"/>
          <w:sz w:val="24"/>
          <w:szCs w:val="24"/>
          <w:lang w:val="en-US"/>
        </w:rPr>
      </w:pPr>
      <w:r>
        <w:rPr>
          <w:rFonts w:eastAsiaTheme="minorEastAsia"/>
          <w:b/>
          <w:bCs/>
          <w:color w:val="231F20"/>
          <w:sz w:val="24"/>
          <w:szCs w:val="24"/>
          <w:lang w:val="en-US"/>
        </w:rPr>
        <w:lastRenderedPageBreak/>
        <w:t xml:space="preserve">Table 1. </w:t>
      </w:r>
      <w:r>
        <w:rPr>
          <w:rFonts w:eastAsiaTheme="minorEastAsia"/>
          <w:color w:val="231F20"/>
          <w:sz w:val="24"/>
          <w:szCs w:val="24"/>
          <w:lang w:val="en-US"/>
        </w:rPr>
        <w:t xml:space="preserve">Estimated </w:t>
      </w:r>
      <w:r>
        <w:rPr>
          <w:rFonts w:eastAsiaTheme="minorEastAsia" w:hint="eastAsia"/>
          <w:color w:val="231F20"/>
          <w:sz w:val="24"/>
          <w:szCs w:val="24"/>
          <w:lang w:val="en-US"/>
        </w:rPr>
        <w:t>s</w:t>
      </w:r>
      <w:r>
        <w:rPr>
          <w:rFonts w:eastAsiaTheme="minorEastAsia"/>
          <w:color w:val="231F20"/>
          <w:sz w:val="24"/>
          <w:szCs w:val="24"/>
          <w:lang w:val="en-US"/>
        </w:rPr>
        <w:t xml:space="preserve">ensitivity and </w:t>
      </w:r>
      <w:r>
        <w:rPr>
          <w:rFonts w:eastAsiaTheme="minorEastAsia" w:hint="eastAsia"/>
          <w:color w:val="231F20"/>
          <w:sz w:val="24"/>
          <w:szCs w:val="24"/>
          <w:lang w:val="en-US"/>
        </w:rPr>
        <w:t>c</w:t>
      </w:r>
      <w:r>
        <w:rPr>
          <w:rFonts w:eastAsiaTheme="minorEastAsia"/>
          <w:color w:val="231F20"/>
          <w:sz w:val="24"/>
          <w:szCs w:val="24"/>
          <w:lang w:val="en-US"/>
        </w:rPr>
        <w:t xml:space="preserve">apture </w:t>
      </w:r>
      <w:r>
        <w:rPr>
          <w:rFonts w:eastAsiaTheme="minorEastAsia" w:hint="eastAsia"/>
          <w:color w:val="231F20"/>
          <w:sz w:val="24"/>
          <w:szCs w:val="24"/>
          <w:lang w:val="en-US"/>
        </w:rPr>
        <w:t>p</w:t>
      </w:r>
      <w:r>
        <w:rPr>
          <w:rFonts w:eastAsiaTheme="minorEastAsia"/>
          <w:color w:val="231F20"/>
          <w:sz w:val="24"/>
          <w:szCs w:val="24"/>
          <w:lang w:val="en-US"/>
        </w:rPr>
        <w:t xml:space="preserve">robabilities by </w:t>
      </w:r>
      <w:r>
        <w:rPr>
          <w:rFonts w:eastAsiaTheme="minorEastAsia" w:hint="eastAsia"/>
          <w:color w:val="231F20"/>
          <w:sz w:val="24"/>
          <w:szCs w:val="24"/>
          <w:lang w:val="en-US"/>
        </w:rPr>
        <w:t>d</w:t>
      </w:r>
      <w:r>
        <w:rPr>
          <w:rFonts w:eastAsiaTheme="minorEastAsia"/>
          <w:color w:val="231F20"/>
          <w:sz w:val="24"/>
          <w:szCs w:val="24"/>
          <w:lang w:val="en-US"/>
        </w:rPr>
        <w:t xml:space="preserve">ata </w:t>
      </w:r>
      <w:r>
        <w:rPr>
          <w:rFonts w:eastAsiaTheme="minorEastAsia" w:hint="eastAsia"/>
          <w:color w:val="231F20"/>
          <w:sz w:val="24"/>
          <w:szCs w:val="24"/>
          <w:lang w:val="en-US"/>
        </w:rPr>
        <w:t>s</w:t>
      </w:r>
      <w:r>
        <w:rPr>
          <w:rFonts w:eastAsiaTheme="minorEastAsia"/>
          <w:color w:val="231F20"/>
          <w:sz w:val="24"/>
          <w:szCs w:val="24"/>
          <w:lang w:val="en-US"/>
        </w:rPr>
        <w:t xml:space="preserve">ource, </w:t>
      </w:r>
      <w:r>
        <w:rPr>
          <w:rFonts w:eastAsiaTheme="minorEastAsia" w:hint="eastAsia"/>
          <w:color w:val="231F20"/>
          <w:sz w:val="24"/>
          <w:szCs w:val="24"/>
          <w:lang w:val="en-US"/>
        </w:rPr>
        <w:t>d</w:t>
      </w:r>
      <w:r>
        <w:rPr>
          <w:rFonts w:eastAsiaTheme="minorEastAsia"/>
          <w:color w:val="231F20"/>
          <w:sz w:val="24"/>
          <w:szCs w:val="24"/>
          <w:lang w:val="en-US"/>
        </w:rPr>
        <w:t xml:space="preserve">isease, and </w:t>
      </w:r>
      <w:r>
        <w:rPr>
          <w:rFonts w:eastAsiaTheme="minorEastAsia" w:hint="eastAsia"/>
          <w:color w:val="231F20"/>
          <w:sz w:val="24"/>
          <w:szCs w:val="24"/>
          <w:lang w:val="en-US"/>
        </w:rPr>
        <w:t>y</w:t>
      </w:r>
      <w:r>
        <w:rPr>
          <w:rFonts w:eastAsiaTheme="minorEastAsia"/>
          <w:color w:val="231F20"/>
          <w:sz w:val="24"/>
          <w:szCs w:val="24"/>
          <w:lang w:val="en-US"/>
        </w:rPr>
        <w:t>ear</w:t>
      </w:r>
    </w:p>
    <w:tbl>
      <w:tblPr>
        <w:tblStyle w:val="TableGrid"/>
        <w:tblW w:w="5108"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166"/>
        <w:gridCol w:w="835"/>
        <w:gridCol w:w="1190"/>
        <w:gridCol w:w="1190"/>
        <w:gridCol w:w="1361"/>
        <w:gridCol w:w="1335"/>
        <w:gridCol w:w="1263"/>
        <w:gridCol w:w="1189"/>
        <w:gridCol w:w="669"/>
      </w:tblGrid>
      <w:tr w:rsidR="00D505D7" w14:paraId="2DF9BD2B" w14:textId="77777777" w:rsidTr="00131A7E">
        <w:trPr>
          <w:tblHeader/>
          <w:jc w:val="center"/>
        </w:trPr>
        <w:tc>
          <w:tcPr>
            <w:tcW w:w="571" w:type="pct"/>
            <w:tcBorders>
              <w:top w:val="single" w:sz="4" w:space="0" w:color="auto"/>
              <w:left w:val="nil"/>
              <w:bottom w:val="nil"/>
              <w:right w:val="nil"/>
            </w:tcBorders>
            <w:tcMar>
              <w:top w:w="-1" w:type="dxa"/>
              <w:left w:w="-1" w:type="dxa"/>
              <w:bottom w:w="-1" w:type="dxa"/>
              <w:right w:w="-1" w:type="dxa"/>
            </w:tcMar>
            <w:vAlign w:val="center"/>
          </w:tcPr>
          <w:p w14:paraId="2DF9BD22" w14:textId="77777777" w:rsidR="00D505D7" w:rsidRDefault="00000000" w:rsidP="00131A7E">
            <w:pPr>
              <w:pStyle w:val="BodyText"/>
              <w:snapToGrid w:val="0"/>
              <w:rPr>
                <w:rFonts w:eastAsiaTheme="minorEastAsia"/>
                <w:b/>
                <w:color w:val="231F20"/>
                <w:sz w:val="24"/>
                <w:szCs w:val="24"/>
                <w:lang w:val="en-US"/>
              </w:rPr>
            </w:pPr>
            <w:r>
              <w:rPr>
                <w:rFonts w:eastAsiaTheme="minorEastAsia"/>
                <w:b/>
                <w:color w:val="231F20"/>
                <w:sz w:val="24"/>
                <w:szCs w:val="24"/>
                <w:lang w:val="en-US"/>
              </w:rPr>
              <w:t>Disease</w:t>
            </w:r>
          </w:p>
        </w:tc>
        <w:tc>
          <w:tcPr>
            <w:tcW w:w="409" w:type="pct"/>
            <w:tcBorders>
              <w:top w:val="single" w:sz="4" w:space="0" w:color="auto"/>
              <w:left w:val="nil"/>
              <w:bottom w:val="nil"/>
              <w:right w:val="nil"/>
            </w:tcBorders>
            <w:tcMar>
              <w:top w:w="-1" w:type="dxa"/>
              <w:left w:w="-1" w:type="dxa"/>
              <w:bottom w:w="-1" w:type="dxa"/>
              <w:right w:w="-1" w:type="dxa"/>
            </w:tcMar>
            <w:vAlign w:val="center"/>
          </w:tcPr>
          <w:p w14:paraId="2DF9BD23"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Year Period</w:t>
            </w:r>
          </w:p>
        </w:tc>
        <w:tc>
          <w:tcPr>
            <w:tcW w:w="583" w:type="pct"/>
            <w:tcBorders>
              <w:top w:val="single" w:sz="4" w:space="0" w:color="auto"/>
              <w:left w:val="nil"/>
              <w:bottom w:val="nil"/>
              <w:right w:val="nil"/>
            </w:tcBorders>
            <w:tcMar>
              <w:top w:w="-1" w:type="dxa"/>
              <w:left w:w="-1" w:type="dxa"/>
              <w:bottom w:w="-1" w:type="dxa"/>
              <w:right w:w="-1" w:type="dxa"/>
            </w:tcMar>
            <w:vAlign w:val="center"/>
          </w:tcPr>
          <w:p w14:paraId="2DF9BD24"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National Reporting System (Captured N)</w:t>
            </w:r>
          </w:p>
        </w:tc>
        <w:tc>
          <w:tcPr>
            <w:tcW w:w="583" w:type="pct"/>
            <w:tcBorders>
              <w:top w:val="single" w:sz="4" w:space="0" w:color="auto"/>
              <w:left w:val="nil"/>
              <w:bottom w:val="nil"/>
              <w:right w:val="nil"/>
            </w:tcBorders>
            <w:tcMar>
              <w:top w:w="-1" w:type="dxa"/>
              <w:left w:w="-1" w:type="dxa"/>
              <w:bottom w:w="-1" w:type="dxa"/>
              <w:right w:w="-1" w:type="dxa"/>
            </w:tcMar>
            <w:vAlign w:val="center"/>
          </w:tcPr>
          <w:p w14:paraId="2DF9BD25"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Hospital Discharge (Captured N)</w:t>
            </w:r>
          </w:p>
        </w:tc>
        <w:tc>
          <w:tcPr>
            <w:tcW w:w="667" w:type="pct"/>
            <w:tcBorders>
              <w:top w:val="single" w:sz="4" w:space="0" w:color="auto"/>
              <w:left w:val="nil"/>
              <w:bottom w:val="nil"/>
              <w:right w:val="nil"/>
            </w:tcBorders>
            <w:tcMar>
              <w:top w:w="-1" w:type="dxa"/>
              <w:left w:w="-1" w:type="dxa"/>
              <w:bottom w:w="-1" w:type="dxa"/>
              <w:right w:w="-1" w:type="dxa"/>
            </w:tcMar>
            <w:vAlign w:val="center"/>
          </w:tcPr>
          <w:p w14:paraId="2DF9BD26"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Lab Information System (Captured N)</w:t>
            </w:r>
          </w:p>
        </w:tc>
        <w:tc>
          <w:tcPr>
            <w:tcW w:w="654" w:type="pct"/>
            <w:tcBorders>
              <w:top w:val="single" w:sz="4" w:space="0" w:color="auto"/>
              <w:left w:val="nil"/>
              <w:bottom w:val="nil"/>
              <w:right w:val="nil"/>
            </w:tcBorders>
            <w:tcMar>
              <w:top w:w="-1" w:type="dxa"/>
              <w:left w:w="-1" w:type="dxa"/>
              <w:bottom w:w="-1" w:type="dxa"/>
              <w:right w:w="-1" w:type="dxa"/>
            </w:tcMar>
            <w:vAlign w:val="center"/>
          </w:tcPr>
          <w:p w14:paraId="2DF9BD27"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Community Clinic (Captured N)</w:t>
            </w:r>
          </w:p>
        </w:tc>
        <w:tc>
          <w:tcPr>
            <w:tcW w:w="619" w:type="pct"/>
            <w:tcBorders>
              <w:top w:val="single" w:sz="4" w:space="0" w:color="auto"/>
              <w:left w:val="nil"/>
              <w:bottom w:val="nil"/>
              <w:right w:val="nil"/>
            </w:tcBorders>
            <w:tcMar>
              <w:top w:w="-1" w:type="dxa"/>
              <w:left w:w="-1" w:type="dxa"/>
              <w:bottom w:w="-1" w:type="dxa"/>
              <w:right w:w="-1" w:type="dxa"/>
            </w:tcMar>
            <w:vAlign w:val="center"/>
          </w:tcPr>
          <w:p w14:paraId="2DF9BD28"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Estimated Total Cases (Capture-Recapture)</w:t>
            </w:r>
          </w:p>
        </w:tc>
        <w:tc>
          <w:tcPr>
            <w:tcW w:w="583" w:type="pct"/>
            <w:tcBorders>
              <w:top w:val="single" w:sz="4" w:space="0" w:color="auto"/>
              <w:left w:val="nil"/>
              <w:bottom w:val="nil"/>
              <w:right w:val="nil"/>
            </w:tcBorders>
            <w:tcMar>
              <w:top w:w="-1" w:type="dxa"/>
              <w:left w:w="-1" w:type="dxa"/>
              <w:bottom w:w="-1" w:type="dxa"/>
              <w:right w:w="-1" w:type="dxa"/>
            </w:tcMar>
            <w:vAlign w:val="center"/>
          </w:tcPr>
          <w:p w14:paraId="2DF9BD29"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Estimated Sensitivity (%)</w:t>
            </w:r>
          </w:p>
        </w:tc>
        <w:tc>
          <w:tcPr>
            <w:tcW w:w="328" w:type="pct"/>
            <w:tcBorders>
              <w:top w:val="single" w:sz="4" w:space="0" w:color="auto"/>
              <w:left w:val="nil"/>
              <w:bottom w:val="nil"/>
              <w:right w:val="nil"/>
            </w:tcBorders>
            <w:tcMar>
              <w:top w:w="-1" w:type="dxa"/>
              <w:left w:w="-1" w:type="dxa"/>
              <w:bottom w:w="-1" w:type="dxa"/>
              <w:right w:w="-1" w:type="dxa"/>
            </w:tcMar>
            <w:vAlign w:val="center"/>
          </w:tcPr>
          <w:p w14:paraId="2DF9BD2A"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95% CI</w:t>
            </w:r>
          </w:p>
        </w:tc>
      </w:tr>
      <w:tr w:rsidR="00D505D7" w14:paraId="2DF9BD35" w14:textId="77777777">
        <w:trPr>
          <w:jc w:val="center"/>
        </w:trPr>
        <w:tc>
          <w:tcPr>
            <w:tcW w:w="571" w:type="pct"/>
            <w:tcBorders>
              <w:top w:val="single" w:sz="4" w:space="0" w:color="auto"/>
              <w:left w:val="nil"/>
              <w:bottom w:val="nil"/>
              <w:right w:val="nil"/>
            </w:tcBorders>
            <w:tcMar>
              <w:top w:w="-1" w:type="dxa"/>
              <w:left w:w="-1" w:type="dxa"/>
              <w:bottom w:w="-1" w:type="dxa"/>
              <w:right w:w="-1" w:type="dxa"/>
            </w:tcMar>
            <w:vAlign w:val="center"/>
          </w:tcPr>
          <w:p w14:paraId="2DF9BD2C"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Pertussis</w:t>
            </w:r>
          </w:p>
        </w:tc>
        <w:tc>
          <w:tcPr>
            <w:tcW w:w="409" w:type="pct"/>
            <w:tcBorders>
              <w:top w:val="single" w:sz="4" w:space="0" w:color="auto"/>
              <w:left w:val="nil"/>
              <w:bottom w:val="nil"/>
              <w:right w:val="nil"/>
            </w:tcBorders>
            <w:tcMar>
              <w:top w:w="-1" w:type="dxa"/>
              <w:left w:w="-1" w:type="dxa"/>
              <w:bottom w:w="-1" w:type="dxa"/>
              <w:right w:w="-1" w:type="dxa"/>
            </w:tcMar>
            <w:vAlign w:val="center"/>
          </w:tcPr>
          <w:p w14:paraId="2DF9BD2D" w14:textId="5BB38B6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2020</w:t>
            </w:r>
            <w:r w:rsidR="0015649B">
              <w:rPr>
                <w:rFonts w:eastAsiaTheme="minorEastAsia"/>
                <w:color w:val="231F20"/>
                <w:sz w:val="24"/>
                <w:szCs w:val="24"/>
                <w:lang w:val="en-US"/>
              </w:rPr>
              <w:t>–</w:t>
            </w:r>
            <w:r>
              <w:rPr>
                <w:rFonts w:eastAsiaTheme="minorEastAsia"/>
                <w:color w:val="231F20"/>
                <w:sz w:val="24"/>
                <w:szCs w:val="24"/>
                <w:lang w:val="en-US"/>
              </w:rPr>
              <w:t>2021</w:t>
            </w:r>
          </w:p>
        </w:tc>
        <w:tc>
          <w:tcPr>
            <w:tcW w:w="583" w:type="pct"/>
            <w:tcBorders>
              <w:top w:val="single" w:sz="4" w:space="0" w:color="auto"/>
              <w:left w:val="nil"/>
              <w:bottom w:val="nil"/>
              <w:right w:val="nil"/>
            </w:tcBorders>
            <w:tcMar>
              <w:top w:w="-1" w:type="dxa"/>
              <w:left w:w="-1" w:type="dxa"/>
              <w:bottom w:w="-1" w:type="dxa"/>
              <w:right w:w="-1" w:type="dxa"/>
            </w:tcMar>
            <w:vAlign w:val="center"/>
          </w:tcPr>
          <w:p w14:paraId="2DF9BD2E"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642</w:t>
            </w:r>
          </w:p>
        </w:tc>
        <w:tc>
          <w:tcPr>
            <w:tcW w:w="583" w:type="pct"/>
            <w:tcBorders>
              <w:top w:val="single" w:sz="4" w:space="0" w:color="auto"/>
              <w:left w:val="nil"/>
              <w:bottom w:val="nil"/>
              <w:right w:val="nil"/>
            </w:tcBorders>
            <w:tcMar>
              <w:top w:w="-1" w:type="dxa"/>
              <w:left w:w="-1" w:type="dxa"/>
              <w:bottom w:w="-1" w:type="dxa"/>
              <w:right w:w="-1" w:type="dxa"/>
            </w:tcMar>
            <w:vAlign w:val="center"/>
          </w:tcPr>
          <w:p w14:paraId="2DF9BD2F"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511</w:t>
            </w:r>
          </w:p>
        </w:tc>
        <w:tc>
          <w:tcPr>
            <w:tcW w:w="667" w:type="pct"/>
            <w:tcBorders>
              <w:top w:val="single" w:sz="4" w:space="0" w:color="auto"/>
              <w:left w:val="nil"/>
              <w:bottom w:val="nil"/>
              <w:right w:val="nil"/>
            </w:tcBorders>
            <w:tcMar>
              <w:top w:w="-1" w:type="dxa"/>
              <w:left w:w="-1" w:type="dxa"/>
              <w:bottom w:w="-1" w:type="dxa"/>
              <w:right w:w="-1" w:type="dxa"/>
            </w:tcMar>
            <w:vAlign w:val="center"/>
          </w:tcPr>
          <w:p w14:paraId="2DF9BD30"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398</w:t>
            </w:r>
          </w:p>
        </w:tc>
        <w:tc>
          <w:tcPr>
            <w:tcW w:w="654" w:type="pct"/>
            <w:tcBorders>
              <w:top w:val="single" w:sz="4" w:space="0" w:color="auto"/>
              <w:left w:val="nil"/>
              <w:bottom w:val="nil"/>
              <w:right w:val="nil"/>
            </w:tcBorders>
            <w:tcMar>
              <w:top w:w="-1" w:type="dxa"/>
              <w:left w:w="-1" w:type="dxa"/>
              <w:bottom w:w="-1" w:type="dxa"/>
              <w:right w:w="-1" w:type="dxa"/>
            </w:tcMar>
            <w:vAlign w:val="center"/>
          </w:tcPr>
          <w:p w14:paraId="2DF9BD31"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287</w:t>
            </w:r>
          </w:p>
        </w:tc>
        <w:tc>
          <w:tcPr>
            <w:tcW w:w="619" w:type="pct"/>
            <w:tcBorders>
              <w:top w:val="single" w:sz="4" w:space="0" w:color="auto"/>
              <w:left w:val="nil"/>
              <w:bottom w:val="nil"/>
              <w:right w:val="nil"/>
            </w:tcBorders>
            <w:tcMar>
              <w:top w:w="-1" w:type="dxa"/>
              <w:left w:w="-1" w:type="dxa"/>
              <w:bottom w:w="-1" w:type="dxa"/>
              <w:right w:w="-1" w:type="dxa"/>
            </w:tcMar>
            <w:vAlign w:val="center"/>
          </w:tcPr>
          <w:p w14:paraId="2DF9BD32"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1,185</w:t>
            </w:r>
          </w:p>
        </w:tc>
        <w:tc>
          <w:tcPr>
            <w:tcW w:w="583" w:type="pct"/>
            <w:tcBorders>
              <w:top w:val="single" w:sz="4" w:space="0" w:color="auto"/>
              <w:left w:val="nil"/>
              <w:bottom w:val="nil"/>
              <w:right w:val="nil"/>
            </w:tcBorders>
            <w:tcMar>
              <w:top w:w="-1" w:type="dxa"/>
              <w:left w:w="-1" w:type="dxa"/>
              <w:bottom w:w="-1" w:type="dxa"/>
              <w:right w:w="-1" w:type="dxa"/>
            </w:tcMar>
            <w:vAlign w:val="center"/>
          </w:tcPr>
          <w:p w14:paraId="2DF9BD33"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54.2</w:t>
            </w:r>
          </w:p>
        </w:tc>
        <w:tc>
          <w:tcPr>
            <w:tcW w:w="328" w:type="pct"/>
            <w:tcBorders>
              <w:top w:val="single" w:sz="4" w:space="0" w:color="auto"/>
              <w:left w:val="nil"/>
              <w:bottom w:val="nil"/>
              <w:right w:val="nil"/>
            </w:tcBorders>
            <w:tcMar>
              <w:top w:w="-1" w:type="dxa"/>
              <w:left w:w="-1" w:type="dxa"/>
              <w:bottom w:w="-1" w:type="dxa"/>
              <w:right w:w="-1" w:type="dxa"/>
            </w:tcMar>
            <w:vAlign w:val="center"/>
          </w:tcPr>
          <w:p w14:paraId="2DF9BD34" w14:textId="11F85AE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50.8</w:t>
            </w:r>
            <w:r w:rsidR="0015649B">
              <w:rPr>
                <w:rFonts w:eastAsiaTheme="minorEastAsia"/>
                <w:color w:val="231F20"/>
                <w:sz w:val="24"/>
                <w:szCs w:val="24"/>
                <w:lang w:val="en-US"/>
              </w:rPr>
              <w:t>–</w:t>
            </w:r>
            <w:r>
              <w:rPr>
                <w:rFonts w:eastAsiaTheme="minorEastAsia"/>
                <w:color w:val="231F20"/>
                <w:sz w:val="24"/>
                <w:szCs w:val="24"/>
                <w:lang w:val="en-US"/>
              </w:rPr>
              <w:t>57.6</w:t>
            </w:r>
          </w:p>
        </w:tc>
      </w:tr>
      <w:tr w:rsidR="00D505D7" w14:paraId="2DF9BD3F" w14:textId="77777777">
        <w:trPr>
          <w:jc w:val="center"/>
        </w:trPr>
        <w:tc>
          <w:tcPr>
            <w:tcW w:w="571" w:type="pct"/>
            <w:tcBorders>
              <w:top w:val="nil"/>
              <w:left w:val="nil"/>
              <w:bottom w:val="nil"/>
              <w:right w:val="nil"/>
            </w:tcBorders>
            <w:tcMar>
              <w:top w:w="-1" w:type="dxa"/>
              <w:left w:w="-1" w:type="dxa"/>
              <w:bottom w:w="-1" w:type="dxa"/>
              <w:right w:w="-1" w:type="dxa"/>
            </w:tcMar>
            <w:vAlign w:val="center"/>
          </w:tcPr>
          <w:p w14:paraId="2DF9BD36"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Pertussis</w:t>
            </w:r>
          </w:p>
        </w:tc>
        <w:tc>
          <w:tcPr>
            <w:tcW w:w="409" w:type="pct"/>
            <w:tcBorders>
              <w:top w:val="nil"/>
              <w:left w:val="nil"/>
              <w:bottom w:val="nil"/>
              <w:right w:val="nil"/>
            </w:tcBorders>
            <w:tcMar>
              <w:top w:w="-1" w:type="dxa"/>
              <w:left w:w="-1" w:type="dxa"/>
              <w:bottom w:w="-1" w:type="dxa"/>
              <w:right w:w="-1" w:type="dxa"/>
            </w:tcMar>
            <w:vAlign w:val="center"/>
          </w:tcPr>
          <w:p w14:paraId="2DF9BD37" w14:textId="7FC3C08E"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2022</w:t>
            </w:r>
            <w:r w:rsidR="0015649B">
              <w:rPr>
                <w:rFonts w:eastAsiaTheme="minorEastAsia"/>
                <w:color w:val="231F20"/>
                <w:sz w:val="24"/>
                <w:szCs w:val="24"/>
                <w:lang w:val="en-US"/>
              </w:rPr>
              <w:t>–</w:t>
            </w:r>
            <w:r>
              <w:rPr>
                <w:rFonts w:eastAsiaTheme="minorEastAsia"/>
                <w:color w:val="231F20"/>
                <w:sz w:val="24"/>
                <w:szCs w:val="24"/>
                <w:lang w:val="en-US"/>
              </w:rPr>
              <w:t>2023</w:t>
            </w:r>
          </w:p>
        </w:tc>
        <w:tc>
          <w:tcPr>
            <w:tcW w:w="583" w:type="pct"/>
            <w:tcBorders>
              <w:top w:val="nil"/>
              <w:left w:val="nil"/>
              <w:bottom w:val="nil"/>
              <w:right w:val="nil"/>
            </w:tcBorders>
            <w:tcMar>
              <w:top w:w="-1" w:type="dxa"/>
              <w:left w:w="-1" w:type="dxa"/>
              <w:bottom w:w="-1" w:type="dxa"/>
              <w:right w:w="-1" w:type="dxa"/>
            </w:tcMar>
            <w:vAlign w:val="center"/>
          </w:tcPr>
          <w:p w14:paraId="2DF9BD38"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948</w:t>
            </w:r>
          </w:p>
        </w:tc>
        <w:tc>
          <w:tcPr>
            <w:tcW w:w="583" w:type="pct"/>
            <w:tcBorders>
              <w:top w:val="nil"/>
              <w:left w:val="nil"/>
              <w:bottom w:val="nil"/>
              <w:right w:val="nil"/>
            </w:tcBorders>
            <w:tcMar>
              <w:top w:w="-1" w:type="dxa"/>
              <w:left w:w="-1" w:type="dxa"/>
              <w:bottom w:w="-1" w:type="dxa"/>
              <w:right w:w="-1" w:type="dxa"/>
            </w:tcMar>
            <w:vAlign w:val="center"/>
          </w:tcPr>
          <w:p w14:paraId="2DF9BD39"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792</w:t>
            </w:r>
          </w:p>
        </w:tc>
        <w:tc>
          <w:tcPr>
            <w:tcW w:w="667" w:type="pct"/>
            <w:tcBorders>
              <w:top w:val="nil"/>
              <w:left w:val="nil"/>
              <w:bottom w:val="nil"/>
              <w:right w:val="nil"/>
            </w:tcBorders>
            <w:tcMar>
              <w:top w:w="-1" w:type="dxa"/>
              <w:left w:w="-1" w:type="dxa"/>
              <w:bottom w:w="-1" w:type="dxa"/>
              <w:right w:w="-1" w:type="dxa"/>
            </w:tcMar>
            <w:vAlign w:val="center"/>
          </w:tcPr>
          <w:p w14:paraId="2DF9BD3A"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703</w:t>
            </w:r>
          </w:p>
        </w:tc>
        <w:tc>
          <w:tcPr>
            <w:tcW w:w="654" w:type="pct"/>
            <w:tcBorders>
              <w:top w:val="nil"/>
              <w:left w:val="nil"/>
              <w:bottom w:val="nil"/>
              <w:right w:val="nil"/>
            </w:tcBorders>
            <w:tcMar>
              <w:top w:w="-1" w:type="dxa"/>
              <w:left w:w="-1" w:type="dxa"/>
              <w:bottom w:w="-1" w:type="dxa"/>
              <w:right w:w="-1" w:type="dxa"/>
            </w:tcMar>
            <w:vAlign w:val="center"/>
          </w:tcPr>
          <w:p w14:paraId="2DF9BD3B"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456</w:t>
            </w:r>
          </w:p>
        </w:tc>
        <w:tc>
          <w:tcPr>
            <w:tcW w:w="619" w:type="pct"/>
            <w:tcBorders>
              <w:top w:val="nil"/>
              <w:left w:val="nil"/>
              <w:bottom w:val="nil"/>
              <w:right w:val="nil"/>
            </w:tcBorders>
            <w:tcMar>
              <w:top w:w="-1" w:type="dxa"/>
              <w:left w:w="-1" w:type="dxa"/>
              <w:bottom w:w="-1" w:type="dxa"/>
              <w:right w:w="-1" w:type="dxa"/>
            </w:tcMar>
            <w:vAlign w:val="center"/>
          </w:tcPr>
          <w:p w14:paraId="2DF9BD3C"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1,489</w:t>
            </w:r>
          </w:p>
        </w:tc>
        <w:tc>
          <w:tcPr>
            <w:tcW w:w="583" w:type="pct"/>
            <w:tcBorders>
              <w:top w:val="nil"/>
              <w:left w:val="nil"/>
              <w:bottom w:val="nil"/>
              <w:right w:val="nil"/>
            </w:tcBorders>
            <w:tcMar>
              <w:top w:w="-1" w:type="dxa"/>
              <w:left w:w="-1" w:type="dxa"/>
              <w:bottom w:w="-1" w:type="dxa"/>
              <w:right w:w="-1" w:type="dxa"/>
            </w:tcMar>
            <w:vAlign w:val="center"/>
          </w:tcPr>
          <w:p w14:paraId="2DF9BD3D"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63.7</w:t>
            </w:r>
          </w:p>
        </w:tc>
        <w:tc>
          <w:tcPr>
            <w:tcW w:w="328" w:type="pct"/>
            <w:tcBorders>
              <w:top w:val="nil"/>
              <w:left w:val="nil"/>
              <w:bottom w:val="nil"/>
              <w:right w:val="nil"/>
            </w:tcBorders>
            <w:tcMar>
              <w:top w:w="-1" w:type="dxa"/>
              <w:left w:w="-1" w:type="dxa"/>
              <w:bottom w:w="-1" w:type="dxa"/>
              <w:right w:w="-1" w:type="dxa"/>
            </w:tcMar>
            <w:vAlign w:val="center"/>
          </w:tcPr>
          <w:p w14:paraId="2DF9BD3E" w14:textId="13BEFEB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60.4</w:t>
            </w:r>
            <w:r w:rsidR="0015649B">
              <w:rPr>
                <w:rFonts w:eastAsiaTheme="minorEastAsia"/>
                <w:color w:val="231F20"/>
                <w:sz w:val="24"/>
                <w:szCs w:val="24"/>
                <w:lang w:val="en-US"/>
              </w:rPr>
              <w:t>–</w:t>
            </w:r>
            <w:r>
              <w:rPr>
                <w:rFonts w:eastAsiaTheme="minorEastAsia"/>
                <w:color w:val="231F20"/>
                <w:sz w:val="24"/>
                <w:szCs w:val="24"/>
                <w:lang w:val="en-US"/>
              </w:rPr>
              <w:t>67.0</w:t>
            </w:r>
          </w:p>
        </w:tc>
      </w:tr>
      <w:tr w:rsidR="00D505D7" w14:paraId="2DF9BD49" w14:textId="77777777">
        <w:trPr>
          <w:jc w:val="center"/>
        </w:trPr>
        <w:tc>
          <w:tcPr>
            <w:tcW w:w="571" w:type="pct"/>
            <w:tcBorders>
              <w:top w:val="nil"/>
              <w:left w:val="nil"/>
              <w:bottom w:val="nil"/>
              <w:right w:val="nil"/>
            </w:tcBorders>
            <w:tcMar>
              <w:top w:w="-1" w:type="dxa"/>
              <w:left w:w="-1" w:type="dxa"/>
              <w:bottom w:w="-1" w:type="dxa"/>
              <w:right w:w="-1" w:type="dxa"/>
            </w:tcMar>
            <w:vAlign w:val="center"/>
          </w:tcPr>
          <w:p w14:paraId="2DF9BD40"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Pertussis</w:t>
            </w:r>
          </w:p>
        </w:tc>
        <w:tc>
          <w:tcPr>
            <w:tcW w:w="409" w:type="pct"/>
            <w:tcBorders>
              <w:top w:val="nil"/>
              <w:left w:val="nil"/>
              <w:bottom w:val="nil"/>
              <w:right w:val="nil"/>
            </w:tcBorders>
            <w:tcMar>
              <w:top w:w="-1" w:type="dxa"/>
              <w:left w:w="-1" w:type="dxa"/>
              <w:bottom w:w="-1" w:type="dxa"/>
              <w:right w:w="-1" w:type="dxa"/>
            </w:tcMar>
            <w:vAlign w:val="center"/>
          </w:tcPr>
          <w:p w14:paraId="2DF9BD41" w14:textId="213ED1DB"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2024</w:t>
            </w:r>
            <w:r w:rsidR="0015649B">
              <w:rPr>
                <w:rFonts w:eastAsiaTheme="minorEastAsia"/>
                <w:color w:val="231F20"/>
                <w:sz w:val="24"/>
                <w:szCs w:val="24"/>
                <w:lang w:val="en-US"/>
              </w:rPr>
              <w:t>–</w:t>
            </w:r>
            <w:r>
              <w:rPr>
                <w:rFonts w:eastAsiaTheme="minorEastAsia"/>
                <w:color w:val="231F20"/>
                <w:sz w:val="24"/>
                <w:szCs w:val="24"/>
                <w:lang w:val="en-US"/>
              </w:rPr>
              <w:t>2025</w:t>
            </w:r>
          </w:p>
        </w:tc>
        <w:tc>
          <w:tcPr>
            <w:tcW w:w="583" w:type="pct"/>
            <w:tcBorders>
              <w:top w:val="nil"/>
              <w:left w:val="nil"/>
              <w:bottom w:val="nil"/>
              <w:right w:val="nil"/>
            </w:tcBorders>
            <w:tcMar>
              <w:top w:w="-1" w:type="dxa"/>
              <w:left w:w="-1" w:type="dxa"/>
              <w:bottom w:w="-1" w:type="dxa"/>
              <w:right w:w="-1" w:type="dxa"/>
            </w:tcMar>
            <w:vAlign w:val="center"/>
          </w:tcPr>
          <w:p w14:paraId="2DF9BD42"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1,257</w:t>
            </w:r>
          </w:p>
        </w:tc>
        <w:tc>
          <w:tcPr>
            <w:tcW w:w="583" w:type="pct"/>
            <w:tcBorders>
              <w:top w:val="nil"/>
              <w:left w:val="nil"/>
              <w:bottom w:val="nil"/>
              <w:right w:val="nil"/>
            </w:tcBorders>
            <w:tcMar>
              <w:top w:w="-1" w:type="dxa"/>
              <w:left w:w="-1" w:type="dxa"/>
              <w:bottom w:w="-1" w:type="dxa"/>
              <w:right w:w="-1" w:type="dxa"/>
            </w:tcMar>
            <w:vAlign w:val="center"/>
          </w:tcPr>
          <w:p w14:paraId="2DF9BD43"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1,104</w:t>
            </w:r>
          </w:p>
        </w:tc>
        <w:tc>
          <w:tcPr>
            <w:tcW w:w="667" w:type="pct"/>
            <w:tcBorders>
              <w:top w:val="nil"/>
              <w:left w:val="nil"/>
              <w:bottom w:val="nil"/>
              <w:right w:val="nil"/>
            </w:tcBorders>
            <w:tcMar>
              <w:top w:w="-1" w:type="dxa"/>
              <w:left w:w="-1" w:type="dxa"/>
              <w:bottom w:w="-1" w:type="dxa"/>
              <w:right w:w="-1" w:type="dxa"/>
            </w:tcMar>
            <w:vAlign w:val="center"/>
          </w:tcPr>
          <w:p w14:paraId="2DF9BD44"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1,032</w:t>
            </w:r>
          </w:p>
        </w:tc>
        <w:tc>
          <w:tcPr>
            <w:tcW w:w="654" w:type="pct"/>
            <w:tcBorders>
              <w:top w:val="nil"/>
              <w:left w:val="nil"/>
              <w:bottom w:val="nil"/>
              <w:right w:val="nil"/>
            </w:tcBorders>
            <w:tcMar>
              <w:top w:w="-1" w:type="dxa"/>
              <w:left w:w="-1" w:type="dxa"/>
              <w:bottom w:w="-1" w:type="dxa"/>
              <w:right w:w="-1" w:type="dxa"/>
            </w:tcMar>
            <w:vAlign w:val="center"/>
          </w:tcPr>
          <w:p w14:paraId="2DF9BD45"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689</w:t>
            </w:r>
          </w:p>
        </w:tc>
        <w:tc>
          <w:tcPr>
            <w:tcW w:w="619" w:type="pct"/>
            <w:tcBorders>
              <w:top w:val="nil"/>
              <w:left w:val="nil"/>
              <w:bottom w:val="nil"/>
              <w:right w:val="nil"/>
            </w:tcBorders>
            <w:tcMar>
              <w:top w:w="-1" w:type="dxa"/>
              <w:left w:w="-1" w:type="dxa"/>
              <w:bottom w:w="-1" w:type="dxa"/>
              <w:right w:w="-1" w:type="dxa"/>
            </w:tcMar>
            <w:vAlign w:val="center"/>
          </w:tcPr>
          <w:p w14:paraId="2DF9BD46"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1,634</w:t>
            </w:r>
          </w:p>
        </w:tc>
        <w:tc>
          <w:tcPr>
            <w:tcW w:w="583" w:type="pct"/>
            <w:tcBorders>
              <w:top w:val="nil"/>
              <w:left w:val="nil"/>
              <w:bottom w:val="nil"/>
              <w:right w:val="nil"/>
            </w:tcBorders>
            <w:tcMar>
              <w:top w:w="-1" w:type="dxa"/>
              <w:left w:w="-1" w:type="dxa"/>
              <w:bottom w:w="-1" w:type="dxa"/>
              <w:right w:w="-1" w:type="dxa"/>
            </w:tcMar>
            <w:vAlign w:val="center"/>
          </w:tcPr>
          <w:p w14:paraId="2DF9BD47"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76.9</w:t>
            </w:r>
          </w:p>
        </w:tc>
        <w:tc>
          <w:tcPr>
            <w:tcW w:w="328" w:type="pct"/>
            <w:tcBorders>
              <w:top w:val="nil"/>
              <w:left w:val="nil"/>
              <w:bottom w:val="nil"/>
              <w:right w:val="nil"/>
            </w:tcBorders>
            <w:tcMar>
              <w:top w:w="-1" w:type="dxa"/>
              <w:left w:w="-1" w:type="dxa"/>
              <w:bottom w:w="-1" w:type="dxa"/>
              <w:right w:w="-1" w:type="dxa"/>
            </w:tcMar>
            <w:vAlign w:val="center"/>
          </w:tcPr>
          <w:p w14:paraId="2DF9BD48" w14:textId="02057F7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73.8</w:t>
            </w:r>
            <w:r w:rsidR="0015649B">
              <w:rPr>
                <w:rFonts w:eastAsiaTheme="minorEastAsia"/>
                <w:color w:val="231F20"/>
                <w:sz w:val="24"/>
                <w:szCs w:val="24"/>
                <w:lang w:val="en-US"/>
              </w:rPr>
              <w:t>–</w:t>
            </w:r>
            <w:r>
              <w:rPr>
                <w:rFonts w:eastAsiaTheme="minorEastAsia"/>
                <w:color w:val="231F20"/>
                <w:sz w:val="24"/>
                <w:szCs w:val="24"/>
                <w:lang w:val="en-US"/>
              </w:rPr>
              <w:t>80.0</w:t>
            </w:r>
          </w:p>
        </w:tc>
      </w:tr>
      <w:tr w:rsidR="00D505D7" w14:paraId="2DF9BD53" w14:textId="77777777">
        <w:trPr>
          <w:jc w:val="center"/>
        </w:trPr>
        <w:tc>
          <w:tcPr>
            <w:tcW w:w="571" w:type="pct"/>
            <w:tcBorders>
              <w:top w:val="nil"/>
              <w:left w:val="nil"/>
              <w:bottom w:val="nil"/>
              <w:right w:val="nil"/>
            </w:tcBorders>
            <w:tcMar>
              <w:top w:w="-1" w:type="dxa"/>
              <w:left w:w="-1" w:type="dxa"/>
              <w:bottom w:w="-1" w:type="dxa"/>
              <w:right w:w="-1" w:type="dxa"/>
            </w:tcMar>
            <w:vAlign w:val="center"/>
          </w:tcPr>
          <w:p w14:paraId="2DF9BD4A"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Meningitis</w:t>
            </w:r>
          </w:p>
        </w:tc>
        <w:tc>
          <w:tcPr>
            <w:tcW w:w="409" w:type="pct"/>
            <w:tcBorders>
              <w:top w:val="nil"/>
              <w:left w:val="nil"/>
              <w:bottom w:val="nil"/>
              <w:right w:val="nil"/>
            </w:tcBorders>
            <w:tcMar>
              <w:top w:w="-1" w:type="dxa"/>
              <w:left w:w="-1" w:type="dxa"/>
              <w:bottom w:w="-1" w:type="dxa"/>
              <w:right w:w="-1" w:type="dxa"/>
            </w:tcMar>
            <w:vAlign w:val="center"/>
          </w:tcPr>
          <w:p w14:paraId="2DF9BD4B" w14:textId="27F71DCB"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2020</w:t>
            </w:r>
            <w:r w:rsidR="0015649B">
              <w:rPr>
                <w:rFonts w:eastAsiaTheme="minorEastAsia"/>
                <w:color w:val="231F20"/>
                <w:sz w:val="24"/>
                <w:szCs w:val="24"/>
                <w:lang w:val="en-US"/>
              </w:rPr>
              <w:t>–</w:t>
            </w:r>
            <w:r>
              <w:rPr>
                <w:rFonts w:eastAsiaTheme="minorEastAsia"/>
                <w:color w:val="231F20"/>
                <w:sz w:val="24"/>
                <w:szCs w:val="24"/>
                <w:lang w:val="en-US"/>
              </w:rPr>
              <w:t>2021</w:t>
            </w:r>
          </w:p>
        </w:tc>
        <w:tc>
          <w:tcPr>
            <w:tcW w:w="583" w:type="pct"/>
            <w:tcBorders>
              <w:top w:val="nil"/>
              <w:left w:val="nil"/>
              <w:bottom w:val="nil"/>
              <w:right w:val="nil"/>
            </w:tcBorders>
            <w:tcMar>
              <w:top w:w="-1" w:type="dxa"/>
              <w:left w:w="-1" w:type="dxa"/>
              <w:bottom w:w="-1" w:type="dxa"/>
              <w:right w:w="-1" w:type="dxa"/>
            </w:tcMar>
            <w:vAlign w:val="center"/>
          </w:tcPr>
          <w:p w14:paraId="2DF9BD4C"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98</w:t>
            </w:r>
          </w:p>
        </w:tc>
        <w:tc>
          <w:tcPr>
            <w:tcW w:w="583" w:type="pct"/>
            <w:tcBorders>
              <w:top w:val="nil"/>
              <w:left w:val="nil"/>
              <w:bottom w:val="nil"/>
              <w:right w:val="nil"/>
            </w:tcBorders>
            <w:tcMar>
              <w:top w:w="-1" w:type="dxa"/>
              <w:left w:w="-1" w:type="dxa"/>
              <w:bottom w:w="-1" w:type="dxa"/>
              <w:right w:w="-1" w:type="dxa"/>
            </w:tcMar>
            <w:vAlign w:val="center"/>
          </w:tcPr>
          <w:p w14:paraId="2DF9BD4D"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89</w:t>
            </w:r>
          </w:p>
        </w:tc>
        <w:tc>
          <w:tcPr>
            <w:tcW w:w="667" w:type="pct"/>
            <w:tcBorders>
              <w:top w:val="nil"/>
              <w:left w:val="nil"/>
              <w:bottom w:val="nil"/>
              <w:right w:val="nil"/>
            </w:tcBorders>
            <w:tcMar>
              <w:top w:w="-1" w:type="dxa"/>
              <w:left w:w="-1" w:type="dxa"/>
              <w:bottom w:w="-1" w:type="dxa"/>
              <w:right w:w="-1" w:type="dxa"/>
            </w:tcMar>
            <w:vAlign w:val="center"/>
          </w:tcPr>
          <w:p w14:paraId="2DF9BD4E"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84</w:t>
            </w:r>
          </w:p>
        </w:tc>
        <w:tc>
          <w:tcPr>
            <w:tcW w:w="654" w:type="pct"/>
            <w:tcBorders>
              <w:top w:val="nil"/>
              <w:left w:val="nil"/>
              <w:bottom w:val="nil"/>
              <w:right w:val="nil"/>
            </w:tcBorders>
            <w:tcMar>
              <w:top w:w="-1" w:type="dxa"/>
              <w:left w:w="-1" w:type="dxa"/>
              <w:bottom w:w="-1" w:type="dxa"/>
              <w:right w:w="-1" w:type="dxa"/>
            </w:tcMar>
            <w:vAlign w:val="center"/>
          </w:tcPr>
          <w:p w14:paraId="2DF9BD4F"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41</w:t>
            </w:r>
          </w:p>
        </w:tc>
        <w:tc>
          <w:tcPr>
            <w:tcW w:w="619" w:type="pct"/>
            <w:tcBorders>
              <w:top w:val="nil"/>
              <w:left w:val="nil"/>
              <w:bottom w:val="nil"/>
              <w:right w:val="nil"/>
            </w:tcBorders>
            <w:tcMar>
              <w:top w:w="-1" w:type="dxa"/>
              <w:left w:w="-1" w:type="dxa"/>
              <w:bottom w:w="-1" w:type="dxa"/>
              <w:right w:w="-1" w:type="dxa"/>
            </w:tcMar>
            <w:vAlign w:val="center"/>
          </w:tcPr>
          <w:p w14:paraId="2DF9BD50"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122</w:t>
            </w:r>
          </w:p>
        </w:tc>
        <w:tc>
          <w:tcPr>
            <w:tcW w:w="583" w:type="pct"/>
            <w:tcBorders>
              <w:top w:val="nil"/>
              <w:left w:val="nil"/>
              <w:bottom w:val="nil"/>
              <w:right w:val="nil"/>
            </w:tcBorders>
            <w:tcMar>
              <w:top w:w="-1" w:type="dxa"/>
              <w:left w:w="-1" w:type="dxa"/>
              <w:bottom w:w="-1" w:type="dxa"/>
              <w:right w:w="-1" w:type="dxa"/>
            </w:tcMar>
            <w:vAlign w:val="center"/>
          </w:tcPr>
          <w:p w14:paraId="2DF9BD51"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80.3</w:t>
            </w:r>
          </w:p>
        </w:tc>
        <w:tc>
          <w:tcPr>
            <w:tcW w:w="328" w:type="pct"/>
            <w:tcBorders>
              <w:top w:val="nil"/>
              <w:left w:val="nil"/>
              <w:bottom w:val="nil"/>
              <w:right w:val="nil"/>
            </w:tcBorders>
            <w:tcMar>
              <w:top w:w="-1" w:type="dxa"/>
              <w:left w:w="-1" w:type="dxa"/>
              <w:bottom w:w="-1" w:type="dxa"/>
              <w:right w:w="-1" w:type="dxa"/>
            </w:tcMar>
            <w:vAlign w:val="center"/>
          </w:tcPr>
          <w:p w14:paraId="2DF9BD52" w14:textId="4E3EC55F"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74.2</w:t>
            </w:r>
            <w:r w:rsidR="0015649B">
              <w:rPr>
                <w:rFonts w:eastAsiaTheme="minorEastAsia"/>
                <w:color w:val="231F20"/>
                <w:sz w:val="24"/>
                <w:szCs w:val="24"/>
                <w:lang w:val="en-US"/>
              </w:rPr>
              <w:t>–</w:t>
            </w:r>
            <w:r>
              <w:rPr>
                <w:rFonts w:eastAsiaTheme="minorEastAsia"/>
                <w:color w:val="231F20"/>
                <w:sz w:val="24"/>
                <w:szCs w:val="24"/>
                <w:lang w:val="en-US"/>
              </w:rPr>
              <w:t>86.4</w:t>
            </w:r>
          </w:p>
        </w:tc>
      </w:tr>
      <w:tr w:rsidR="00D505D7" w14:paraId="2DF9BD5D" w14:textId="77777777">
        <w:trPr>
          <w:jc w:val="center"/>
        </w:trPr>
        <w:tc>
          <w:tcPr>
            <w:tcW w:w="571" w:type="pct"/>
            <w:tcBorders>
              <w:top w:val="nil"/>
              <w:left w:val="nil"/>
              <w:bottom w:val="nil"/>
              <w:right w:val="nil"/>
            </w:tcBorders>
            <w:tcMar>
              <w:top w:w="-1" w:type="dxa"/>
              <w:left w:w="-1" w:type="dxa"/>
              <w:bottom w:w="-1" w:type="dxa"/>
              <w:right w:w="-1" w:type="dxa"/>
            </w:tcMar>
            <w:vAlign w:val="center"/>
          </w:tcPr>
          <w:p w14:paraId="2DF9BD54"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Meningitis</w:t>
            </w:r>
          </w:p>
        </w:tc>
        <w:tc>
          <w:tcPr>
            <w:tcW w:w="409" w:type="pct"/>
            <w:tcBorders>
              <w:top w:val="nil"/>
              <w:left w:val="nil"/>
              <w:bottom w:val="nil"/>
              <w:right w:val="nil"/>
            </w:tcBorders>
            <w:tcMar>
              <w:top w:w="-1" w:type="dxa"/>
              <w:left w:w="-1" w:type="dxa"/>
              <w:bottom w:w="-1" w:type="dxa"/>
              <w:right w:w="-1" w:type="dxa"/>
            </w:tcMar>
            <w:vAlign w:val="center"/>
          </w:tcPr>
          <w:p w14:paraId="2DF9BD55" w14:textId="5926A91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2022</w:t>
            </w:r>
            <w:r w:rsidR="0015649B">
              <w:rPr>
                <w:rFonts w:eastAsiaTheme="minorEastAsia"/>
                <w:color w:val="231F20"/>
                <w:sz w:val="24"/>
                <w:szCs w:val="24"/>
                <w:lang w:val="en-US"/>
              </w:rPr>
              <w:t>–</w:t>
            </w:r>
            <w:r>
              <w:rPr>
                <w:rFonts w:eastAsiaTheme="minorEastAsia"/>
                <w:color w:val="231F20"/>
                <w:sz w:val="24"/>
                <w:szCs w:val="24"/>
                <w:lang w:val="en-US"/>
              </w:rPr>
              <w:t>2023</w:t>
            </w:r>
          </w:p>
        </w:tc>
        <w:tc>
          <w:tcPr>
            <w:tcW w:w="583" w:type="pct"/>
            <w:tcBorders>
              <w:top w:val="nil"/>
              <w:left w:val="nil"/>
              <w:bottom w:val="nil"/>
              <w:right w:val="nil"/>
            </w:tcBorders>
            <w:tcMar>
              <w:top w:w="-1" w:type="dxa"/>
              <w:left w:w="-1" w:type="dxa"/>
              <w:bottom w:w="-1" w:type="dxa"/>
              <w:right w:w="-1" w:type="dxa"/>
            </w:tcMar>
            <w:vAlign w:val="center"/>
          </w:tcPr>
          <w:p w14:paraId="2DF9BD56"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104</w:t>
            </w:r>
          </w:p>
        </w:tc>
        <w:tc>
          <w:tcPr>
            <w:tcW w:w="583" w:type="pct"/>
            <w:tcBorders>
              <w:top w:val="nil"/>
              <w:left w:val="nil"/>
              <w:bottom w:val="nil"/>
              <w:right w:val="nil"/>
            </w:tcBorders>
            <w:tcMar>
              <w:top w:w="-1" w:type="dxa"/>
              <w:left w:w="-1" w:type="dxa"/>
              <w:bottom w:w="-1" w:type="dxa"/>
              <w:right w:w="-1" w:type="dxa"/>
            </w:tcMar>
            <w:vAlign w:val="center"/>
          </w:tcPr>
          <w:p w14:paraId="2DF9BD57"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96</w:t>
            </w:r>
          </w:p>
        </w:tc>
        <w:tc>
          <w:tcPr>
            <w:tcW w:w="667" w:type="pct"/>
            <w:tcBorders>
              <w:top w:val="nil"/>
              <w:left w:val="nil"/>
              <w:bottom w:val="nil"/>
              <w:right w:val="nil"/>
            </w:tcBorders>
            <w:tcMar>
              <w:top w:w="-1" w:type="dxa"/>
              <w:left w:w="-1" w:type="dxa"/>
              <w:bottom w:w="-1" w:type="dxa"/>
              <w:right w:w="-1" w:type="dxa"/>
            </w:tcMar>
            <w:vAlign w:val="center"/>
          </w:tcPr>
          <w:p w14:paraId="2DF9BD58"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91</w:t>
            </w:r>
          </w:p>
        </w:tc>
        <w:tc>
          <w:tcPr>
            <w:tcW w:w="654" w:type="pct"/>
            <w:tcBorders>
              <w:top w:val="nil"/>
              <w:left w:val="nil"/>
              <w:bottom w:val="nil"/>
              <w:right w:val="nil"/>
            </w:tcBorders>
            <w:tcMar>
              <w:top w:w="-1" w:type="dxa"/>
              <w:left w:w="-1" w:type="dxa"/>
              <w:bottom w:w="-1" w:type="dxa"/>
              <w:right w:w="-1" w:type="dxa"/>
            </w:tcMar>
            <w:vAlign w:val="center"/>
          </w:tcPr>
          <w:p w14:paraId="2DF9BD59"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47</w:t>
            </w:r>
          </w:p>
        </w:tc>
        <w:tc>
          <w:tcPr>
            <w:tcW w:w="619" w:type="pct"/>
            <w:tcBorders>
              <w:top w:val="nil"/>
              <w:left w:val="nil"/>
              <w:bottom w:val="nil"/>
              <w:right w:val="nil"/>
            </w:tcBorders>
            <w:tcMar>
              <w:top w:w="-1" w:type="dxa"/>
              <w:left w:w="-1" w:type="dxa"/>
              <w:bottom w:w="-1" w:type="dxa"/>
              <w:right w:w="-1" w:type="dxa"/>
            </w:tcMar>
            <w:vAlign w:val="center"/>
          </w:tcPr>
          <w:p w14:paraId="2DF9BD5A"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126</w:t>
            </w:r>
          </w:p>
        </w:tc>
        <w:tc>
          <w:tcPr>
            <w:tcW w:w="583" w:type="pct"/>
            <w:tcBorders>
              <w:top w:val="nil"/>
              <w:left w:val="nil"/>
              <w:bottom w:val="nil"/>
              <w:right w:val="nil"/>
            </w:tcBorders>
            <w:tcMar>
              <w:top w:w="-1" w:type="dxa"/>
              <w:left w:w="-1" w:type="dxa"/>
              <w:bottom w:w="-1" w:type="dxa"/>
              <w:right w:w="-1" w:type="dxa"/>
            </w:tcMar>
            <w:vAlign w:val="center"/>
          </w:tcPr>
          <w:p w14:paraId="2DF9BD5B"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82.5</w:t>
            </w:r>
          </w:p>
        </w:tc>
        <w:tc>
          <w:tcPr>
            <w:tcW w:w="328" w:type="pct"/>
            <w:tcBorders>
              <w:top w:val="nil"/>
              <w:left w:val="nil"/>
              <w:bottom w:val="nil"/>
              <w:right w:val="nil"/>
            </w:tcBorders>
            <w:tcMar>
              <w:top w:w="-1" w:type="dxa"/>
              <w:left w:w="-1" w:type="dxa"/>
              <w:bottom w:w="-1" w:type="dxa"/>
              <w:right w:w="-1" w:type="dxa"/>
            </w:tcMar>
            <w:vAlign w:val="center"/>
          </w:tcPr>
          <w:p w14:paraId="2DF9BD5C" w14:textId="3B31166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76.8</w:t>
            </w:r>
            <w:r w:rsidR="0015649B">
              <w:rPr>
                <w:rFonts w:eastAsiaTheme="minorEastAsia"/>
                <w:color w:val="231F20"/>
                <w:sz w:val="24"/>
                <w:szCs w:val="24"/>
                <w:lang w:val="en-US"/>
              </w:rPr>
              <w:t>–</w:t>
            </w:r>
            <w:r>
              <w:rPr>
                <w:rFonts w:eastAsiaTheme="minorEastAsia"/>
                <w:color w:val="231F20"/>
                <w:sz w:val="24"/>
                <w:szCs w:val="24"/>
                <w:lang w:val="en-US"/>
              </w:rPr>
              <w:t>88.2</w:t>
            </w:r>
          </w:p>
        </w:tc>
      </w:tr>
      <w:tr w:rsidR="00D505D7" w14:paraId="2DF9BD67" w14:textId="77777777" w:rsidTr="00131A7E">
        <w:trPr>
          <w:jc w:val="center"/>
        </w:trPr>
        <w:tc>
          <w:tcPr>
            <w:tcW w:w="571" w:type="pct"/>
            <w:tcBorders>
              <w:top w:val="nil"/>
              <w:left w:val="nil"/>
              <w:bottom w:val="single" w:sz="4" w:space="0" w:color="auto"/>
              <w:right w:val="nil"/>
            </w:tcBorders>
            <w:tcMar>
              <w:top w:w="-1" w:type="dxa"/>
              <w:left w:w="-1" w:type="dxa"/>
              <w:bottom w:w="-1" w:type="dxa"/>
              <w:right w:w="-1" w:type="dxa"/>
            </w:tcMar>
            <w:vAlign w:val="center"/>
          </w:tcPr>
          <w:p w14:paraId="2DF9BD5E"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Meningitis</w:t>
            </w:r>
          </w:p>
        </w:tc>
        <w:tc>
          <w:tcPr>
            <w:tcW w:w="409" w:type="pct"/>
            <w:tcBorders>
              <w:top w:val="nil"/>
              <w:left w:val="nil"/>
              <w:bottom w:val="single" w:sz="4" w:space="0" w:color="auto"/>
              <w:right w:val="nil"/>
            </w:tcBorders>
            <w:tcMar>
              <w:top w:w="-1" w:type="dxa"/>
              <w:left w:w="-1" w:type="dxa"/>
              <w:bottom w:w="-1" w:type="dxa"/>
              <w:right w:w="-1" w:type="dxa"/>
            </w:tcMar>
            <w:vAlign w:val="center"/>
          </w:tcPr>
          <w:p w14:paraId="2DF9BD5F" w14:textId="6534E80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2024</w:t>
            </w:r>
            <w:r w:rsidR="0015649B">
              <w:rPr>
                <w:rFonts w:eastAsiaTheme="minorEastAsia"/>
                <w:color w:val="231F20"/>
                <w:sz w:val="24"/>
                <w:szCs w:val="24"/>
                <w:lang w:val="en-US"/>
              </w:rPr>
              <w:t>–</w:t>
            </w:r>
            <w:r>
              <w:rPr>
                <w:rFonts w:eastAsiaTheme="minorEastAsia"/>
                <w:color w:val="231F20"/>
                <w:sz w:val="24"/>
                <w:szCs w:val="24"/>
                <w:lang w:val="en-US"/>
              </w:rPr>
              <w:t>2025</w:t>
            </w:r>
          </w:p>
        </w:tc>
        <w:tc>
          <w:tcPr>
            <w:tcW w:w="583" w:type="pct"/>
            <w:tcBorders>
              <w:top w:val="nil"/>
              <w:left w:val="nil"/>
              <w:bottom w:val="single" w:sz="4" w:space="0" w:color="auto"/>
              <w:right w:val="nil"/>
            </w:tcBorders>
            <w:tcMar>
              <w:top w:w="-1" w:type="dxa"/>
              <w:left w:w="-1" w:type="dxa"/>
              <w:bottom w:w="-1" w:type="dxa"/>
              <w:right w:w="-1" w:type="dxa"/>
            </w:tcMar>
            <w:vAlign w:val="center"/>
          </w:tcPr>
          <w:p w14:paraId="2DF9BD60"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114</w:t>
            </w:r>
          </w:p>
        </w:tc>
        <w:tc>
          <w:tcPr>
            <w:tcW w:w="583" w:type="pct"/>
            <w:tcBorders>
              <w:top w:val="nil"/>
              <w:left w:val="nil"/>
              <w:bottom w:val="single" w:sz="4" w:space="0" w:color="auto"/>
              <w:right w:val="nil"/>
            </w:tcBorders>
            <w:tcMar>
              <w:top w:w="-1" w:type="dxa"/>
              <w:left w:w="-1" w:type="dxa"/>
              <w:bottom w:w="-1" w:type="dxa"/>
              <w:right w:w="-1" w:type="dxa"/>
            </w:tcMar>
            <w:vAlign w:val="center"/>
          </w:tcPr>
          <w:p w14:paraId="2DF9BD61"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107</w:t>
            </w:r>
          </w:p>
        </w:tc>
        <w:tc>
          <w:tcPr>
            <w:tcW w:w="667" w:type="pct"/>
            <w:tcBorders>
              <w:top w:val="nil"/>
              <w:left w:val="nil"/>
              <w:bottom w:val="single" w:sz="4" w:space="0" w:color="auto"/>
              <w:right w:val="nil"/>
            </w:tcBorders>
            <w:tcMar>
              <w:top w:w="-1" w:type="dxa"/>
              <w:left w:w="-1" w:type="dxa"/>
              <w:bottom w:w="-1" w:type="dxa"/>
              <w:right w:w="-1" w:type="dxa"/>
            </w:tcMar>
            <w:vAlign w:val="center"/>
          </w:tcPr>
          <w:p w14:paraId="2DF9BD62"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103</w:t>
            </w:r>
          </w:p>
        </w:tc>
        <w:tc>
          <w:tcPr>
            <w:tcW w:w="654" w:type="pct"/>
            <w:tcBorders>
              <w:top w:val="nil"/>
              <w:left w:val="nil"/>
              <w:bottom w:val="single" w:sz="4" w:space="0" w:color="auto"/>
              <w:right w:val="nil"/>
            </w:tcBorders>
            <w:tcMar>
              <w:top w:w="-1" w:type="dxa"/>
              <w:left w:w="-1" w:type="dxa"/>
              <w:bottom w:w="-1" w:type="dxa"/>
              <w:right w:w="-1" w:type="dxa"/>
            </w:tcMar>
            <w:vAlign w:val="center"/>
          </w:tcPr>
          <w:p w14:paraId="2DF9BD63"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52</w:t>
            </w:r>
          </w:p>
        </w:tc>
        <w:tc>
          <w:tcPr>
            <w:tcW w:w="619" w:type="pct"/>
            <w:tcBorders>
              <w:top w:val="nil"/>
              <w:left w:val="nil"/>
              <w:bottom w:val="single" w:sz="4" w:space="0" w:color="auto"/>
              <w:right w:val="nil"/>
            </w:tcBorders>
            <w:tcMar>
              <w:top w:w="-1" w:type="dxa"/>
              <w:left w:w="-1" w:type="dxa"/>
              <w:bottom w:w="-1" w:type="dxa"/>
              <w:right w:w="-1" w:type="dxa"/>
            </w:tcMar>
            <w:vAlign w:val="center"/>
          </w:tcPr>
          <w:p w14:paraId="2DF9BD64"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137</w:t>
            </w:r>
          </w:p>
        </w:tc>
        <w:tc>
          <w:tcPr>
            <w:tcW w:w="583" w:type="pct"/>
            <w:tcBorders>
              <w:top w:val="nil"/>
              <w:left w:val="nil"/>
              <w:bottom w:val="single" w:sz="4" w:space="0" w:color="auto"/>
              <w:right w:val="nil"/>
            </w:tcBorders>
            <w:tcMar>
              <w:top w:w="-1" w:type="dxa"/>
              <w:left w:w="-1" w:type="dxa"/>
              <w:bottom w:w="-1" w:type="dxa"/>
              <w:right w:w="-1" w:type="dxa"/>
            </w:tcMar>
            <w:vAlign w:val="center"/>
          </w:tcPr>
          <w:p w14:paraId="2DF9BD65"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83.2</w:t>
            </w:r>
          </w:p>
        </w:tc>
        <w:tc>
          <w:tcPr>
            <w:tcW w:w="328" w:type="pct"/>
            <w:tcBorders>
              <w:top w:val="nil"/>
              <w:left w:val="nil"/>
              <w:bottom w:val="single" w:sz="4" w:space="0" w:color="auto"/>
              <w:right w:val="nil"/>
            </w:tcBorders>
            <w:tcMar>
              <w:top w:w="-1" w:type="dxa"/>
              <w:left w:w="-1" w:type="dxa"/>
              <w:bottom w:w="-1" w:type="dxa"/>
              <w:right w:w="-1" w:type="dxa"/>
            </w:tcMar>
            <w:vAlign w:val="center"/>
          </w:tcPr>
          <w:p w14:paraId="2DF9BD66" w14:textId="39B60506"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77.6</w:t>
            </w:r>
            <w:r w:rsidR="0015649B">
              <w:rPr>
                <w:rFonts w:eastAsiaTheme="minorEastAsia"/>
                <w:color w:val="231F20"/>
                <w:sz w:val="24"/>
                <w:szCs w:val="24"/>
                <w:lang w:val="en-US"/>
              </w:rPr>
              <w:t>–</w:t>
            </w:r>
            <w:r>
              <w:rPr>
                <w:rFonts w:eastAsiaTheme="minorEastAsia"/>
                <w:color w:val="231F20"/>
                <w:sz w:val="24"/>
                <w:szCs w:val="24"/>
                <w:lang w:val="en-US"/>
              </w:rPr>
              <w:t>88.8</w:t>
            </w:r>
          </w:p>
        </w:tc>
      </w:tr>
    </w:tbl>
    <w:p w14:paraId="2DF9BD68" w14:textId="77777777" w:rsidR="00D505D7" w:rsidRDefault="00D505D7" w:rsidP="00131A7E">
      <w:pPr>
        <w:pStyle w:val="BodyText"/>
        <w:snapToGrid w:val="0"/>
        <w:ind w:left="110" w:right="108" w:firstLine="400"/>
        <w:jc w:val="both"/>
        <w:rPr>
          <w:rFonts w:eastAsiaTheme="minorEastAsia"/>
          <w:color w:val="231F20"/>
          <w:sz w:val="24"/>
          <w:szCs w:val="24"/>
          <w:lang w:val="en-US"/>
        </w:rPr>
      </w:pPr>
    </w:p>
    <w:p w14:paraId="2DF9BD69" w14:textId="6A47A457"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For timeliness, the median interval from symptom onset to online report submission for pertussis decreased significantly from 9 days (interquartile range 6</w:t>
      </w:r>
      <w:r w:rsidR="0015649B">
        <w:rPr>
          <w:rFonts w:eastAsiaTheme="minorEastAsia"/>
          <w:color w:val="231F20"/>
          <w:sz w:val="24"/>
          <w:szCs w:val="24"/>
          <w:lang w:val="en-US"/>
        </w:rPr>
        <w:t>–</w:t>
      </w:r>
      <w:r>
        <w:rPr>
          <w:rFonts w:eastAsiaTheme="minorEastAsia"/>
          <w:color w:val="231F20"/>
          <w:sz w:val="24"/>
          <w:szCs w:val="24"/>
          <w:lang w:val="en-US"/>
        </w:rPr>
        <w:t>13 days) in 2020</w:t>
      </w:r>
      <w:r w:rsidR="0015649B">
        <w:rPr>
          <w:rFonts w:eastAsiaTheme="minorEastAsia"/>
          <w:color w:val="231F20"/>
          <w:sz w:val="24"/>
          <w:szCs w:val="24"/>
          <w:lang w:val="en-US"/>
        </w:rPr>
        <w:t>–</w:t>
      </w:r>
      <w:r>
        <w:rPr>
          <w:rFonts w:eastAsiaTheme="minorEastAsia"/>
          <w:color w:val="231F20"/>
          <w:sz w:val="24"/>
          <w:szCs w:val="24"/>
          <w:lang w:val="en-US"/>
        </w:rPr>
        <w:t>2021 to 5 days (3</w:t>
      </w:r>
      <w:r w:rsidR="0015649B">
        <w:rPr>
          <w:rFonts w:eastAsiaTheme="minorEastAsia"/>
          <w:color w:val="231F20"/>
          <w:sz w:val="24"/>
          <w:szCs w:val="24"/>
          <w:lang w:val="en-US"/>
        </w:rPr>
        <w:t>–</w:t>
      </w:r>
      <w:r>
        <w:rPr>
          <w:rFonts w:eastAsiaTheme="minorEastAsia"/>
          <w:color w:val="231F20"/>
          <w:sz w:val="24"/>
          <w:szCs w:val="24"/>
          <w:lang w:val="en-US"/>
        </w:rPr>
        <w:t>8 days) in 2022</w:t>
      </w:r>
      <w:r w:rsidR="0015649B">
        <w:rPr>
          <w:rFonts w:eastAsiaTheme="minorEastAsia"/>
          <w:color w:val="231F20"/>
          <w:sz w:val="24"/>
          <w:szCs w:val="24"/>
          <w:lang w:val="en-US"/>
        </w:rPr>
        <w:t>–</w:t>
      </w:r>
      <w:r>
        <w:rPr>
          <w:rFonts w:eastAsiaTheme="minorEastAsia"/>
          <w:color w:val="231F20"/>
          <w:sz w:val="24"/>
          <w:szCs w:val="24"/>
          <w:lang w:val="en-US"/>
        </w:rPr>
        <w:t>2023 and further to 4 days (2</w:t>
      </w:r>
      <w:r w:rsidR="0015649B">
        <w:rPr>
          <w:rFonts w:eastAsiaTheme="minorEastAsia"/>
          <w:color w:val="231F20"/>
          <w:sz w:val="24"/>
          <w:szCs w:val="24"/>
          <w:lang w:val="en-US"/>
        </w:rPr>
        <w:t>–</w:t>
      </w:r>
      <w:r>
        <w:rPr>
          <w:rFonts w:eastAsiaTheme="minorEastAsia"/>
          <w:color w:val="231F20"/>
          <w:sz w:val="24"/>
          <w:szCs w:val="24"/>
          <w:lang w:val="en-US"/>
        </w:rPr>
        <w:t>6 days) in 2024</w:t>
      </w:r>
      <w:r w:rsidR="0015649B">
        <w:rPr>
          <w:rFonts w:eastAsiaTheme="minorEastAsia"/>
          <w:color w:val="231F20"/>
          <w:sz w:val="24"/>
          <w:szCs w:val="24"/>
          <w:lang w:val="en-US"/>
        </w:rPr>
        <w:t>–</w:t>
      </w:r>
      <w:r>
        <w:rPr>
          <w:rFonts w:eastAsiaTheme="minorEastAsia"/>
          <w:color w:val="231F20"/>
          <w:sz w:val="24"/>
          <w:szCs w:val="24"/>
          <w:lang w:val="en-US"/>
        </w:rPr>
        <w:t xml:space="preserve">2025 (Jonckheere-Terpstra test for trend </w:t>
      </w:r>
      <w:r>
        <w:rPr>
          <w:rFonts w:eastAsiaTheme="minorEastAsia"/>
          <w:i/>
          <w:iCs/>
          <w:color w:val="231F20"/>
          <w:sz w:val="24"/>
          <w:szCs w:val="24"/>
          <w:lang w:val="en-US"/>
        </w:rPr>
        <w:t>p</w:t>
      </w:r>
      <w:r>
        <w:rPr>
          <w:rFonts w:eastAsiaTheme="minorEastAsia" w:hint="eastAsia"/>
          <w:i/>
          <w:iCs/>
          <w:color w:val="231F20"/>
          <w:sz w:val="24"/>
          <w:szCs w:val="24"/>
          <w:lang w:val="en-US"/>
        </w:rPr>
        <w:t xml:space="preserve"> </w:t>
      </w:r>
      <w:r>
        <w:rPr>
          <w:rFonts w:eastAsiaTheme="minorEastAsia"/>
          <w:color w:val="231F20"/>
          <w:sz w:val="24"/>
          <w:szCs w:val="24"/>
          <w:lang w:val="en-US"/>
        </w:rPr>
        <w:t>&lt;</w:t>
      </w:r>
      <w:r>
        <w:rPr>
          <w:rFonts w:eastAsiaTheme="minorEastAsia" w:hint="eastAsia"/>
          <w:color w:val="231F20"/>
          <w:sz w:val="24"/>
          <w:szCs w:val="24"/>
          <w:lang w:val="en-US"/>
        </w:rPr>
        <w:t xml:space="preserve"> </w:t>
      </w:r>
      <w:r>
        <w:rPr>
          <w:rFonts w:eastAsiaTheme="minorEastAsia"/>
          <w:color w:val="231F20"/>
          <w:sz w:val="24"/>
          <w:szCs w:val="24"/>
          <w:lang w:val="en-US"/>
        </w:rPr>
        <w:t xml:space="preserve">0.001), indicating a 55.6% reduction in overall reporting delay over </w:t>
      </w:r>
      <w:r w:rsidR="0015649B">
        <w:rPr>
          <w:rFonts w:eastAsiaTheme="minorEastAsia"/>
          <w:color w:val="231F20"/>
          <w:sz w:val="24"/>
          <w:szCs w:val="24"/>
          <w:lang w:val="en-US"/>
        </w:rPr>
        <w:t>the six years</w:t>
      </w:r>
      <w:r>
        <w:rPr>
          <w:rFonts w:eastAsiaTheme="minorEastAsia"/>
          <w:color w:val="231F20"/>
          <w:sz w:val="24"/>
          <w:szCs w:val="24"/>
          <w:lang w:val="en-US"/>
        </w:rPr>
        <w:t xml:space="preserve">. </w:t>
      </w:r>
      <w:r w:rsidR="0015649B">
        <w:rPr>
          <w:rFonts w:eastAsiaTheme="minorEastAsia"/>
          <w:color w:val="231F20"/>
          <w:sz w:val="24"/>
          <w:szCs w:val="24"/>
          <w:lang w:val="en-US"/>
        </w:rPr>
        <w:t>Reductions in T3 primarily drove this improvement. This specimen-to-result interval fell from a median of 5 days to 2 days after the installation of three new polymerase chain reaction platforms in county-level laboratories in late 2023, and by reductions in T4. This result-to-report interval</w:t>
      </w:r>
      <w:r>
        <w:rPr>
          <w:rFonts w:eastAsiaTheme="minorEastAsia"/>
          <w:color w:val="231F20"/>
          <w:sz w:val="24"/>
          <w:szCs w:val="24"/>
          <w:lang w:val="en-US"/>
        </w:rPr>
        <w:t xml:space="preserve"> declined from 2 days to less than 1 day following the mandatory integration of laboratory information systems with the national reporting portal in April 2024. However, the onset-to-first-contact interval T1 showed only a modest reduction from 3 days to 2 days, and the first-contact-to-specimen interval T2 remained stagnant at approximately 1 day, suggesting that care-seeking delays and provider ordering practices have not changed substantially despite system-level improvements. In stark contrast, the timeliness for meningococcal meningitis demonstrated a paradoxical deterioration, with the overall onset-to-reporting median lengthening from 4 days (3</w:t>
      </w:r>
      <w:r w:rsidR="0015649B">
        <w:rPr>
          <w:rFonts w:eastAsiaTheme="minorEastAsia"/>
          <w:color w:val="231F20"/>
          <w:sz w:val="24"/>
          <w:szCs w:val="24"/>
          <w:lang w:val="en-US"/>
        </w:rPr>
        <w:t>–</w:t>
      </w:r>
      <w:r>
        <w:rPr>
          <w:rFonts w:eastAsiaTheme="minorEastAsia"/>
          <w:color w:val="231F20"/>
          <w:sz w:val="24"/>
          <w:szCs w:val="24"/>
          <w:lang w:val="en-US"/>
        </w:rPr>
        <w:t>6 days) in 2020</w:t>
      </w:r>
      <w:r w:rsidR="0015649B">
        <w:rPr>
          <w:rFonts w:eastAsiaTheme="minorEastAsia"/>
          <w:color w:val="231F20"/>
          <w:sz w:val="24"/>
          <w:szCs w:val="24"/>
          <w:lang w:val="en-US"/>
        </w:rPr>
        <w:t>–</w:t>
      </w:r>
      <w:r>
        <w:rPr>
          <w:rFonts w:eastAsiaTheme="minorEastAsia"/>
          <w:color w:val="231F20"/>
          <w:sz w:val="24"/>
          <w:szCs w:val="24"/>
          <w:lang w:val="en-US"/>
        </w:rPr>
        <w:t>2021 to 6 days (4</w:t>
      </w:r>
      <w:r w:rsidR="0015649B">
        <w:rPr>
          <w:rFonts w:eastAsiaTheme="minorEastAsia"/>
          <w:color w:val="231F20"/>
          <w:sz w:val="24"/>
          <w:szCs w:val="24"/>
          <w:lang w:val="en-US"/>
        </w:rPr>
        <w:t>–</w:t>
      </w:r>
      <w:r>
        <w:rPr>
          <w:rFonts w:eastAsiaTheme="minorEastAsia"/>
          <w:color w:val="231F20"/>
          <w:sz w:val="24"/>
          <w:szCs w:val="24"/>
          <w:lang w:val="en-US"/>
        </w:rPr>
        <w:t>9 days) in 2022-2023 and then to 7 days (5</w:t>
      </w:r>
      <w:r w:rsidR="0015649B">
        <w:rPr>
          <w:rFonts w:eastAsiaTheme="minorEastAsia"/>
          <w:color w:val="231F20"/>
          <w:sz w:val="24"/>
          <w:szCs w:val="24"/>
          <w:lang w:val="en-US"/>
        </w:rPr>
        <w:t>–</w:t>
      </w:r>
      <w:r>
        <w:rPr>
          <w:rFonts w:eastAsiaTheme="minorEastAsia"/>
          <w:color w:val="231F20"/>
          <w:sz w:val="24"/>
          <w:szCs w:val="24"/>
          <w:lang w:val="en-US"/>
        </w:rPr>
        <w:t>10 days) in 2024</w:t>
      </w:r>
      <w:r w:rsidR="0015649B">
        <w:rPr>
          <w:rFonts w:eastAsiaTheme="minorEastAsia"/>
          <w:color w:val="231F20"/>
          <w:sz w:val="24"/>
          <w:szCs w:val="24"/>
          <w:lang w:val="en-US"/>
        </w:rPr>
        <w:t>–</w:t>
      </w:r>
      <w:r>
        <w:rPr>
          <w:rFonts w:eastAsiaTheme="minorEastAsia"/>
          <w:color w:val="231F20"/>
          <w:sz w:val="24"/>
          <w:szCs w:val="24"/>
          <w:lang w:val="en-US"/>
        </w:rPr>
        <w:t>2025 (</w:t>
      </w:r>
      <w:r>
        <w:rPr>
          <w:rFonts w:eastAsiaTheme="minorEastAsia"/>
          <w:i/>
          <w:iCs/>
          <w:color w:val="231F20"/>
          <w:sz w:val="24"/>
          <w:szCs w:val="24"/>
          <w:lang w:val="en-US"/>
        </w:rPr>
        <w:t>p</w:t>
      </w:r>
      <w:r w:rsidR="0015649B">
        <w:rPr>
          <w:rFonts w:eastAsiaTheme="minorEastAsia"/>
          <w:i/>
          <w:iCs/>
          <w:color w:val="231F20"/>
          <w:sz w:val="24"/>
          <w:szCs w:val="24"/>
          <w:lang w:val="en-US"/>
        </w:rPr>
        <w:t xml:space="preserve"> </w:t>
      </w:r>
      <w:r>
        <w:rPr>
          <w:rFonts w:eastAsiaTheme="minorEastAsia"/>
          <w:color w:val="231F20"/>
          <w:sz w:val="24"/>
          <w:szCs w:val="24"/>
          <w:lang w:val="en-US"/>
        </w:rPr>
        <w:t>=</w:t>
      </w:r>
      <w:r w:rsidR="0015649B">
        <w:rPr>
          <w:rFonts w:eastAsiaTheme="minorEastAsia"/>
          <w:color w:val="231F20"/>
          <w:sz w:val="24"/>
          <w:szCs w:val="24"/>
          <w:lang w:val="en-US"/>
        </w:rPr>
        <w:t xml:space="preserve"> </w:t>
      </w:r>
      <w:r>
        <w:rPr>
          <w:rFonts w:eastAsiaTheme="minorEastAsia"/>
          <w:color w:val="231F20"/>
          <w:sz w:val="24"/>
          <w:szCs w:val="24"/>
          <w:lang w:val="en-US"/>
        </w:rPr>
        <w:t xml:space="preserve">0.003 for trend), which was entirely attributable to a marked prolongation of the specimen-to-result interval T3, increasing from 1 day to 4 days and then to 5 days, because the </w:t>
      </w:r>
      <w:r w:rsidR="0015649B">
        <w:rPr>
          <w:rFonts w:eastAsiaTheme="minorEastAsia"/>
          <w:color w:val="231F20"/>
          <w:sz w:val="24"/>
          <w:szCs w:val="24"/>
          <w:lang w:val="en-US"/>
        </w:rPr>
        <w:t>centralization</w:t>
      </w:r>
      <w:r>
        <w:rPr>
          <w:rFonts w:eastAsiaTheme="minorEastAsia"/>
          <w:color w:val="231F20"/>
          <w:sz w:val="24"/>
          <w:szCs w:val="24"/>
          <w:lang w:val="en-US"/>
        </w:rPr>
        <w:t xml:space="preserve"> of meningococcal polymerase chain reaction testing to the provincial reference laboratory in Zhengzhou, implemented in January 2023, introduced transportation and batching delays that outweighed any gains in electronic reporting efficiency.</w:t>
      </w:r>
    </w:p>
    <w:p w14:paraId="2DF9BD6A" w14:textId="020EAE1A"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b/>
          <w:bCs/>
          <w:color w:val="231F20"/>
          <w:sz w:val="24"/>
          <w:szCs w:val="24"/>
          <w:lang w:val="en-US"/>
        </w:rPr>
        <w:t>Table 2</w:t>
      </w:r>
      <w:r>
        <w:rPr>
          <w:rFonts w:eastAsiaTheme="minorEastAsia"/>
          <w:color w:val="231F20"/>
          <w:sz w:val="24"/>
          <w:szCs w:val="24"/>
          <w:lang w:val="en-US"/>
        </w:rPr>
        <w:t xml:space="preserve"> </w:t>
      </w:r>
      <w:r w:rsidR="0015649B">
        <w:rPr>
          <w:rFonts w:eastAsiaTheme="minorEastAsia"/>
          <w:color w:val="231F20"/>
          <w:sz w:val="24"/>
          <w:szCs w:val="24"/>
          <w:lang w:val="en-US"/>
        </w:rPr>
        <w:t>summarizes</w:t>
      </w:r>
      <w:r>
        <w:rPr>
          <w:rFonts w:eastAsiaTheme="minorEastAsia"/>
          <w:color w:val="231F20"/>
          <w:sz w:val="24"/>
          <w:szCs w:val="24"/>
          <w:lang w:val="en-US"/>
        </w:rPr>
        <w:t xml:space="preserve"> the median timeliness intervals and their interquartile ranges for both diseases across the three temporal periods, as well as the proportion of cases meeting key performance benchmarks, revealing that for pertussis, the proportion with polymerase chain reaction confirmation within the recommended 7-day window increased from 41.8% to 61.4% (</w:t>
      </w:r>
      <w:r>
        <w:rPr>
          <w:rFonts w:eastAsiaTheme="minorEastAsia"/>
          <w:i/>
          <w:iCs/>
          <w:color w:val="231F20"/>
          <w:sz w:val="24"/>
          <w:szCs w:val="24"/>
          <w:lang w:val="en-US"/>
        </w:rPr>
        <w:t>p</w:t>
      </w:r>
      <w:r>
        <w:rPr>
          <w:rFonts w:eastAsiaTheme="minorEastAsia" w:hint="eastAsia"/>
          <w:i/>
          <w:iCs/>
          <w:color w:val="231F20"/>
          <w:sz w:val="24"/>
          <w:szCs w:val="24"/>
          <w:lang w:val="en-US"/>
        </w:rPr>
        <w:t xml:space="preserve"> </w:t>
      </w:r>
      <w:r>
        <w:rPr>
          <w:rFonts w:eastAsiaTheme="minorEastAsia"/>
          <w:color w:val="231F20"/>
          <w:sz w:val="24"/>
          <w:szCs w:val="24"/>
          <w:lang w:val="en-US"/>
        </w:rPr>
        <w:t>&lt;</w:t>
      </w:r>
      <w:r>
        <w:rPr>
          <w:rFonts w:eastAsiaTheme="minorEastAsia" w:hint="eastAsia"/>
          <w:color w:val="231F20"/>
          <w:sz w:val="24"/>
          <w:szCs w:val="24"/>
          <w:lang w:val="en-US"/>
        </w:rPr>
        <w:t xml:space="preserve"> </w:t>
      </w:r>
      <w:r>
        <w:rPr>
          <w:rFonts w:eastAsiaTheme="minorEastAsia"/>
          <w:color w:val="231F20"/>
          <w:sz w:val="24"/>
          <w:szCs w:val="24"/>
          <w:lang w:val="en-US"/>
        </w:rPr>
        <w:t>0.001), yet still fell short of the provincial target of 75%, whereas the proportion of cases reported within 24 hours of diagnosis reached 93.7% in 2024</w:t>
      </w:r>
      <w:r w:rsidR="0015649B">
        <w:rPr>
          <w:rFonts w:eastAsiaTheme="minorEastAsia"/>
          <w:color w:val="231F20"/>
          <w:sz w:val="24"/>
          <w:szCs w:val="24"/>
          <w:lang w:val="en-US"/>
        </w:rPr>
        <w:t>–</w:t>
      </w:r>
      <w:r>
        <w:rPr>
          <w:rFonts w:eastAsiaTheme="minorEastAsia"/>
          <w:color w:val="231F20"/>
          <w:sz w:val="24"/>
          <w:szCs w:val="24"/>
          <w:lang w:val="en-US"/>
        </w:rPr>
        <w:t>2025, exceeding the national standard. For meningococcal meningitis, the 24-hour reporting compliance remained excellent at 96.2% overall, but the proportion of cases with cerebrospinal fluid collection within 48 hours of hospital admission declined from 88.5% to 73.2% over the study period (</w:t>
      </w:r>
      <w:r>
        <w:rPr>
          <w:rFonts w:eastAsiaTheme="minorEastAsia"/>
          <w:i/>
          <w:iCs/>
          <w:color w:val="231F20"/>
          <w:sz w:val="24"/>
          <w:szCs w:val="24"/>
          <w:lang w:val="en-US"/>
        </w:rPr>
        <w:t>p</w:t>
      </w:r>
      <w:r w:rsidR="0015649B">
        <w:rPr>
          <w:rFonts w:eastAsiaTheme="minorEastAsia"/>
          <w:i/>
          <w:iCs/>
          <w:color w:val="231F20"/>
          <w:sz w:val="24"/>
          <w:szCs w:val="24"/>
          <w:lang w:val="en-US"/>
        </w:rPr>
        <w:t xml:space="preserve"> </w:t>
      </w:r>
      <w:r>
        <w:rPr>
          <w:rFonts w:eastAsiaTheme="minorEastAsia"/>
          <w:color w:val="231F20"/>
          <w:sz w:val="24"/>
          <w:szCs w:val="24"/>
          <w:lang w:val="en-US"/>
        </w:rPr>
        <w:t>=</w:t>
      </w:r>
      <w:r w:rsidR="0015649B">
        <w:rPr>
          <w:rFonts w:eastAsiaTheme="minorEastAsia"/>
          <w:color w:val="231F20"/>
          <w:sz w:val="24"/>
          <w:szCs w:val="24"/>
          <w:lang w:val="en-US"/>
        </w:rPr>
        <w:t xml:space="preserve"> </w:t>
      </w:r>
      <w:r>
        <w:rPr>
          <w:rFonts w:eastAsiaTheme="minorEastAsia"/>
          <w:color w:val="231F20"/>
          <w:sz w:val="24"/>
          <w:szCs w:val="24"/>
          <w:lang w:val="en-US"/>
        </w:rPr>
        <w:t>0.012), indicating that clinical suspicion and timely lumbar puncture have decreased, possibly due to antibiotic pretreatment in community settings before referral.</w:t>
      </w:r>
    </w:p>
    <w:p w14:paraId="2DF9BD6B" w14:textId="77777777" w:rsidR="00D505D7" w:rsidRDefault="00D505D7" w:rsidP="00131A7E">
      <w:pPr>
        <w:pStyle w:val="BodyText"/>
        <w:snapToGrid w:val="0"/>
        <w:ind w:left="110" w:right="108" w:firstLine="400"/>
        <w:jc w:val="both"/>
        <w:rPr>
          <w:rFonts w:eastAsiaTheme="minorEastAsia"/>
          <w:color w:val="231F20"/>
          <w:sz w:val="24"/>
          <w:szCs w:val="24"/>
          <w:lang w:val="en-US"/>
        </w:rPr>
      </w:pPr>
    </w:p>
    <w:p w14:paraId="2DF9BD6C" w14:textId="0839C76F" w:rsidR="00D505D7" w:rsidRDefault="00000000" w:rsidP="00131A7E">
      <w:pPr>
        <w:pStyle w:val="BodyText"/>
        <w:snapToGrid w:val="0"/>
        <w:ind w:right="108"/>
        <w:jc w:val="center"/>
        <w:rPr>
          <w:rFonts w:eastAsiaTheme="minorEastAsia"/>
          <w:color w:val="231F20"/>
          <w:sz w:val="24"/>
          <w:szCs w:val="24"/>
          <w:lang w:val="en-US"/>
        </w:rPr>
      </w:pPr>
      <w:r>
        <w:rPr>
          <w:rFonts w:eastAsiaTheme="minorEastAsia"/>
          <w:b/>
          <w:bCs/>
          <w:color w:val="231F20"/>
          <w:sz w:val="24"/>
          <w:szCs w:val="24"/>
          <w:lang w:val="en-US"/>
        </w:rPr>
        <w:t xml:space="preserve">Table 2. </w:t>
      </w:r>
      <w:r>
        <w:rPr>
          <w:rFonts w:eastAsiaTheme="minorEastAsia"/>
          <w:color w:val="231F20"/>
          <w:sz w:val="24"/>
          <w:szCs w:val="24"/>
          <w:lang w:val="en-US"/>
        </w:rPr>
        <w:t xml:space="preserve">Median </w:t>
      </w:r>
      <w:r>
        <w:rPr>
          <w:rFonts w:eastAsiaTheme="minorEastAsia" w:hint="eastAsia"/>
          <w:color w:val="231F20"/>
          <w:sz w:val="24"/>
          <w:szCs w:val="24"/>
          <w:lang w:val="en-US"/>
        </w:rPr>
        <w:t>t</w:t>
      </w:r>
      <w:r>
        <w:rPr>
          <w:rFonts w:eastAsiaTheme="minorEastAsia"/>
          <w:color w:val="231F20"/>
          <w:sz w:val="24"/>
          <w:szCs w:val="24"/>
          <w:lang w:val="en-US"/>
        </w:rPr>
        <w:t xml:space="preserve">imeliness </w:t>
      </w:r>
      <w:r>
        <w:rPr>
          <w:rFonts w:eastAsiaTheme="minorEastAsia" w:hint="eastAsia"/>
          <w:color w:val="231F20"/>
          <w:sz w:val="24"/>
          <w:szCs w:val="24"/>
          <w:lang w:val="en-US"/>
        </w:rPr>
        <w:t>i</w:t>
      </w:r>
      <w:r>
        <w:rPr>
          <w:rFonts w:eastAsiaTheme="minorEastAsia"/>
          <w:color w:val="231F20"/>
          <w:sz w:val="24"/>
          <w:szCs w:val="24"/>
          <w:lang w:val="en-US"/>
        </w:rPr>
        <w:t>ntervals (</w:t>
      </w:r>
      <w:r>
        <w:rPr>
          <w:rFonts w:eastAsiaTheme="minorEastAsia" w:hint="eastAsia"/>
          <w:color w:val="231F20"/>
          <w:sz w:val="24"/>
          <w:szCs w:val="24"/>
          <w:lang w:val="en-US"/>
        </w:rPr>
        <w:t>d</w:t>
      </w:r>
      <w:r>
        <w:rPr>
          <w:rFonts w:eastAsiaTheme="minorEastAsia"/>
          <w:color w:val="231F20"/>
          <w:sz w:val="24"/>
          <w:szCs w:val="24"/>
          <w:lang w:val="en-US"/>
        </w:rPr>
        <w:t xml:space="preserve">ays, IQR) and </w:t>
      </w:r>
      <w:r>
        <w:rPr>
          <w:rFonts w:eastAsiaTheme="minorEastAsia" w:hint="eastAsia"/>
          <w:color w:val="231F20"/>
          <w:sz w:val="24"/>
          <w:szCs w:val="24"/>
          <w:lang w:val="en-US"/>
        </w:rPr>
        <w:t>b</w:t>
      </w:r>
      <w:r>
        <w:rPr>
          <w:rFonts w:eastAsiaTheme="minorEastAsia"/>
          <w:color w:val="231F20"/>
          <w:sz w:val="24"/>
          <w:szCs w:val="24"/>
          <w:lang w:val="en-US"/>
        </w:rPr>
        <w:t xml:space="preserve">enchmark </w:t>
      </w:r>
      <w:r>
        <w:rPr>
          <w:rFonts w:eastAsiaTheme="minorEastAsia" w:hint="eastAsia"/>
          <w:color w:val="231F20"/>
          <w:sz w:val="24"/>
          <w:szCs w:val="24"/>
          <w:lang w:val="en-US"/>
        </w:rPr>
        <w:t>p</w:t>
      </w:r>
      <w:r>
        <w:rPr>
          <w:rFonts w:eastAsiaTheme="minorEastAsia"/>
          <w:color w:val="231F20"/>
          <w:sz w:val="24"/>
          <w:szCs w:val="24"/>
          <w:lang w:val="en-US"/>
        </w:rPr>
        <w:t xml:space="preserve">roportions by </w:t>
      </w:r>
      <w:r>
        <w:rPr>
          <w:rFonts w:eastAsiaTheme="minorEastAsia" w:hint="eastAsia"/>
          <w:color w:val="231F20"/>
          <w:sz w:val="24"/>
          <w:szCs w:val="24"/>
          <w:lang w:val="en-US"/>
        </w:rPr>
        <w:t>d</w:t>
      </w:r>
      <w:r>
        <w:rPr>
          <w:rFonts w:eastAsiaTheme="minorEastAsia"/>
          <w:color w:val="231F20"/>
          <w:sz w:val="24"/>
          <w:szCs w:val="24"/>
          <w:lang w:val="en-US"/>
        </w:rPr>
        <w:t xml:space="preserve">isease and </w:t>
      </w:r>
      <w:r>
        <w:rPr>
          <w:rFonts w:eastAsiaTheme="minorEastAsia" w:hint="eastAsia"/>
          <w:color w:val="231F20"/>
          <w:sz w:val="24"/>
          <w:szCs w:val="24"/>
          <w:lang w:val="en-US"/>
        </w:rPr>
        <w:t>p</w:t>
      </w:r>
      <w:r>
        <w:rPr>
          <w:rFonts w:eastAsiaTheme="minorEastAsia"/>
          <w:color w:val="231F20"/>
          <w:sz w:val="24"/>
          <w:szCs w:val="24"/>
          <w:lang w:val="en-US"/>
        </w:rPr>
        <w:t>eriod</w:t>
      </w:r>
    </w:p>
    <w:tbl>
      <w:tblPr>
        <w:tblStyle w:val="TableGrid"/>
        <w:tblW w:w="5106"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245"/>
        <w:gridCol w:w="912"/>
        <w:gridCol w:w="1250"/>
        <w:gridCol w:w="1270"/>
        <w:gridCol w:w="1492"/>
        <w:gridCol w:w="1215"/>
        <w:gridCol w:w="1517"/>
        <w:gridCol w:w="1293"/>
      </w:tblGrid>
      <w:tr w:rsidR="00D505D7" w14:paraId="2DF9BD75" w14:textId="77777777" w:rsidTr="00131A7E">
        <w:trPr>
          <w:tblHeader/>
          <w:jc w:val="center"/>
        </w:trPr>
        <w:tc>
          <w:tcPr>
            <w:tcW w:w="610" w:type="pct"/>
            <w:tcBorders>
              <w:top w:val="single" w:sz="4" w:space="0" w:color="auto"/>
              <w:left w:val="nil"/>
              <w:bottom w:val="nil"/>
              <w:right w:val="nil"/>
            </w:tcBorders>
            <w:tcMar>
              <w:top w:w="-1" w:type="dxa"/>
              <w:left w:w="-1" w:type="dxa"/>
              <w:bottom w:w="-1" w:type="dxa"/>
              <w:right w:w="-1" w:type="dxa"/>
            </w:tcMar>
            <w:vAlign w:val="center"/>
          </w:tcPr>
          <w:p w14:paraId="2DF9BD6D" w14:textId="77777777" w:rsidR="00D505D7" w:rsidRDefault="00000000" w:rsidP="00131A7E">
            <w:pPr>
              <w:pStyle w:val="BodyText"/>
              <w:snapToGrid w:val="0"/>
              <w:rPr>
                <w:rFonts w:eastAsiaTheme="minorEastAsia"/>
                <w:b/>
                <w:color w:val="231F20"/>
                <w:sz w:val="24"/>
                <w:szCs w:val="24"/>
                <w:lang w:val="en-US"/>
              </w:rPr>
            </w:pPr>
            <w:r>
              <w:rPr>
                <w:rFonts w:eastAsiaTheme="minorEastAsia"/>
                <w:b/>
                <w:color w:val="231F20"/>
                <w:sz w:val="24"/>
                <w:szCs w:val="24"/>
                <w:lang w:val="en-US"/>
              </w:rPr>
              <w:lastRenderedPageBreak/>
              <w:t>Disease</w:t>
            </w:r>
          </w:p>
        </w:tc>
        <w:tc>
          <w:tcPr>
            <w:tcW w:w="447" w:type="pct"/>
            <w:tcBorders>
              <w:top w:val="single" w:sz="4" w:space="0" w:color="auto"/>
              <w:left w:val="nil"/>
              <w:bottom w:val="nil"/>
              <w:right w:val="nil"/>
            </w:tcBorders>
            <w:tcMar>
              <w:top w:w="-1" w:type="dxa"/>
              <w:left w:w="-1" w:type="dxa"/>
              <w:bottom w:w="-1" w:type="dxa"/>
              <w:right w:w="-1" w:type="dxa"/>
            </w:tcMar>
            <w:vAlign w:val="center"/>
          </w:tcPr>
          <w:p w14:paraId="2DF9BD6E"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Period</w:t>
            </w:r>
          </w:p>
        </w:tc>
        <w:tc>
          <w:tcPr>
            <w:tcW w:w="613" w:type="pct"/>
            <w:tcBorders>
              <w:top w:val="single" w:sz="4" w:space="0" w:color="auto"/>
              <w:left w:val="nil"/>
              <w:bottom w:val="nil"/>
              <w:right w:val="nil"/>
            </w:tcBorders>
            <w:tcMar>
              <w:top w:w="-1" w:type="dxa"/>
              <w:left w:w="-1" w:type="dxa"/>
              <w:bottom w:w="-1" w:type="dxa"/>
              <w:right w:w="-1" w:type="dxa"/>
            </w:tcMar>
            <w:vAlign w:val="center"/>
          </w:tcPr>
          <w:p w14:paraId="2DF9BD6F"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Onset-to-Report (T1-T4) Median (IQR)</w:t>
            </w:r>
          </w:p>
        </w:tc>
        <w:tc>
          <w:tcPr>
            <w:tcW w:w="623" w:type="pct"/>
            <w:tcBorders>
              <w:top w:val="single" w:sz="4" w:space="0" w:color="auto"/>
              <w:left w:val="nil"/>
              <w:bottom w:val="nil"/>
              <w:right w:val="nil"/>
            </w:tcBorders>
            <w:tcMar>
              <w:top w:w="-1" w:type="dxa"/>
              <w:left w:w="-1" w:type="dxa"/>
              <w:bottom w:w="-1" w:type="dxa"/>
              <w:right w:w="-1" w:type="dxa"/>
            </w:tcMar>
            <w:vAlign w:val="center"/>
          </w:tcPr>
          <w:p w14:paraId="2DF9BD70"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Onset-to-1st Contact T1 Median (IQR)</w:t>
            </w:r>
          </w:p>
        </w:tc>
        <w:tc>
          <w:tcPr>
            <w:tcW w:w="731" w:type="pct"/>
            <w:tcBorders>
              <w:top w:val="single" w:sz="4" w:space="0" w:color="auto"/>
              <w:left w:val="nil"/>
              <w:bottom w:val="nil"/>
              <w:right w:val="nil"/>
            </w:tcBorders>
            <w:tcMar>
              <w:top w:w="-1" w:type="dxa"/>
              <w:left w:w="-1" w:type="dxa"/>
              <w:bottom w:w="-1" w:type="dxa"/>
              <w:right w:w="-1" w:type="dxa"/>
            </w:tcMar>
            <w:vAlign w:val="center"/>
          </w:tcPr>
          <w:p w14:paraId="2DF9BD71"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Specimen-to-Result T3 Median (IQR)</w:t>
            </w:r>
          </w:p>
        </w:tc>
        <w:tc>
          <w:tcPr>
            <w:tcW w:w="596" w:type="pct"/>
            <w:tcBorders>
              <w:top w:val="single" w:sz="4" w:space="0" w:color="auto"/>
              <w:left w:val="nil"/>
              <w:bottom w:val="nil"/>
              <w:right w:val="nil"/>
            </w:tcBorders>
            <w:tcMar>
              <w:top w:w="-1" w:type="dxa"/>
              <w:left w:w="-1" w:type="dxa"/>
              <w:bottom w:w="-1" w:type="dxa"/>
              <w:right w:w="-1" w:type="dxa"/>
            </w:tcMar>
            <w:vAlign w:val="center"/>
          </w:tcPr>
          <w:p w14:paraId="2DF9BD72"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Result-to-Report T4 Median (IQR)</w:t>
            </w:r>
          </w:p>
        </w:tc>
        <w:tc>
          <w:tcPr>
            <w:tcW w:w="743" w:type="pct"/>
            <w:tcBorders>
              <w:top w:val="single" w:sz="4" w:space="0" w:color="auto"/>
              <w:left w:val="nil"/>
              <w:bottom w:val="nil"/>
              <w:right w:val="nil"/>
            </w:tcBorders>
            <w:tcMar>
              <w:top w:w="-1" w:type="dxa"/>
              <w:left w:w="-1" w:type="dxa"/>
              <w:bottom w:w="-1" w:type="dxa"/>
              <w:right w:w="-1" w:type="dxa"/>
            </w:tcMar>
            <w:vAlign w:val="center"/>
          </w:tcPr>
          <w:p w14:paraId="2DF9BD73"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PCR Confirmed within 7 days (%)</w:t>
            </w:r>
          </w:p>
        </w:tc>
        <w:tc>
          <w:tcPr>
            <w:tcW w:w="633" w:type="pct"/>
            <w:tcBorders>
              <w:top w:val="single" w:sz="4" w:space="0" w:color="auto"/>
              <w:left w:val="nil"/>
              <w:bottom w:val="nil"/>
              <w:right w:val="nil"/>
            </w:tcBorders>
            <w:tcMar>
              <w:top w:w="-1" w:type="dxa"/>
              <w:left w:w="-1" w:type="dxa"/>
              <w:bottom w:w="-1" w:type="dxa"/>
              <w:right w:w="-1" w:type="dxa"/>
            </w:tcMar>
            <w:vAlign w:val="center"/>
          </w:tcPr>
          <w:p w14:paraId="2DF9BD74" w14:textId="77777777" w:rsidR="00D505D7" w:rsidRDefault="00000000" w:rsidP="00131A7E">
            <w:pPr>
              <w:pStyle w:val="BodyText"/>
              <w:snapToGrid w:val="0"/>
              <w:jc w:val="center"/>
              <w:rPr>
                <w:rFonts w:eastAsiaTheme="minorEastAsia"/>
                <w:b/>
                <w:color w:val="231F20"/>
                <w:sz w:val="24"/>
                <w:szCs w:val="24"/>
                <w:lang w:val="en-US"/>
              </w:rPr>
            </w:pPr>
            <w:r>
              <w:rPr>
                <w:rFonts w:eastAsiaTheme="minorEastAsia"/>
                <w:b/>
                <w:color w:val="231F20"/>
                <w:sz w:val="24"/>
                <w:szCs w:val="24"/>
                <w:lang w:val="en-US"/>
              </w:rPr>
              <w:t>Reported within 24h (%)</w:t>
            </w:r>
          </w:p>
        </w:tc>
      </w:tr>
      <w:tr w:rsidR="00D505D7" w14:paraId="2DF9BD7E" w14:textId="77777777">
        <w:trPr>
          <w:jc w:val="center"/>
        </w:trPr>
        <w:tc>
          <w:tcPr>
            <w:tcW w:w="610" w:type="pct"/>
            <w:tcBorders>
              <w:top w:val="single" w:sz="4" w:space="0" w:color="auto"/>
              <w:left w:val="nil"/>
              <w:bottom w:val="nil"/>
              <w:right w:val="nil"/>
            </w:tcBorders>
            <w:tcMar>
              <w:top w:w="-1" w:type="dxa"/>
              <w:left w:w="-1" w:type="dxa"/>
              <w:bottom w:w="-1" w:type="dxa"/>
              <w:right w:w="-1" w:type="dxa"/>
            </w:tcMar>
            <w:vAlign w:val="center"/>
          </w:tcPr>
          <w:p w14:paraId="2DF9BD76"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Pertussis</w:t>
            </w:r>
          </w:p>
        </w:tc>
        <w:tc>
          <w:tcPr>
            <w:tcW w:w="447" w:type="pct"/>
            <w:tcBorders>
              <w:top w:val="single" w:sz="4" w:space="0" w:color="auto"/>
              <w:left w:val="nil"/>
              <w:bottom w:val="nil"/>
              <w:right w:val="nil"/>
            </w:tcBorders>
            <w:tcMar>
              <w:top w:w="-1" w:type="dxa"/>
              <w:left w:w="-1" w:type="dxa"/>
              <w:bottom w:w="-1" w:type="dxa"/>
              <w:right w:w="-1" w:type="dxa"/>
            </w:tcMar>
            <w:vAlign w:val="center"/>
          </w:tcPr>
          <w:p w14:paraId="2DF9BD77" w14:textId="2BA49258"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2020</w:t>
            </w:r>
            <w:r w:rsidR="0015649B">
              <w:rPr>
                <w:rFonts w:eastAsiaTheme="minorEastAsia"/>
                <w:color w:val="231F20"/>
                <w:sz w:val="24"/>
                <w:szCs w:val="24"/>
                <w:lang w:val="en-US"/>
              </w:rPr>
              <w:t>–</w:t>
            </w:r>
            <w:r>
              <w:rPr>
                <w:rFonts w:eastAsiaTheme="minorEastAsia"/>
                <w:color w:val="231F20"/>
                <w:sz w:val="24"/>
                <w:szCs w:val="24"/>
                <w:lang w:val="en-US"/>
              </w:rPr>
              <w:t>2021</w:t>
            </w:r>
          </w:p>
        </w:tc>
        <w:tc>
          <w:tcPr>
            <w:tcW w:w="613" w:type="pct"/>
            <w:tcBorders>
              <w:top w:val="single" w:sz="4" w:space="0" w:color="auto"/>
              <w:left w:val="nil"/>
              <w:bottom w:val="nil"/>
              <w:right w:val="nil"/>
            </w:tcBorders>
            <w:tcMar>
              <w:top w:w="-1" w:type="dxa"/>
              <w:left w:w="-1" w:type="dxa"/>
              <w:bottom w:w="-1" w:type="dxa"/>
              <w:right w:w="-1" w:type="dxa"/>
            </w:tcMar>
            <w:vAlign w:val="center"/>
          </w:tcPr>
          <w:p w14:paraId="2DF9BD78" w14:textId="638EFA19"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 (6</w:t>
            </w:r>
            <w:r w:rsidR="0015649B">
              <w:rPr>
                <w:rFonts w:eastAsiaTheme="minorEastAsia"/>
                <w:color w:val="231F20"/>
                <w:sz w:val="24"/>
                <w:szCs w:val="24"/>
                <w:lang w:val="en-US"/>
              </w:rPr>
              <w:t>–</w:t>
            </w:r>
            <w:r>
              <w:rPr>
                <w:rFonts w:eastAsiaTheme="minorEastAsia"/>
                <w:color w:val="231F20"/>
                <w:sz w:val="24"/>
                <w:szCs w:val="24"/>
                <w:lang w:val="en-US"/>
              </w:rPr>
              <w:t>13)</w:t>
            </w:r>
          </w:p>
        </w:tc>
        <w:tc>
          <w:tcPr>
            <w:tcW w:w="623" w:type="pct"/>
            <w:tcBorders>
              <w:top w:val="single" w:sz="4" w:space="0" w:color="auto"/>
              <w:left w:val="nil"/>
              <w:bottom w:val="nil"/>
              <w:right w:val="nil"/>
            </w:tcBorders>
            <w:tcMar>
              <w:top w:w="-1" w:type="dxa"/>
              <w:left w:w="-1" w:type="dxa"/>
              <w:bottom w:w="-1" w:type="dxa"/>
              <w:right w:w="-1" w:type="dxa"/>
            </w:tcMar>
            <w:vAlign w:val="center"/>
          </w:tcPr>
          <w:p w14:paraId="2DF9BD79" w14:textId="7F1D6E40"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3 (2</w:t>
            </w:r>
            <w:r w:rsidR="0015649B">
              <w:rPr>
                <w:rFonts w:eastAsiaTheme="minorEastAsia"/>
                <w:color w:val="231F20"/>
                <w:sz w:val="24"/>
                <w:szCs w:val="24"/>
                <w:lang w:val="en-US"/>
              </w:rPr>
              <w:t>–</w:t>
            </w:r>
            <w:r>
              <w:rPr>
                <w:rFonts w:eastAsiaTheme="minorEastAsia"/>
                <w:color w:val="231F20"/>
                <w:sz w:val="24"/>
                <w:szCs w:val="24"/>
                <w:lang w:val="en-US"/>
              </w:rPr>
              <w:t>4)</w:t>
            </w:r>
          </w:p>
        </w:tc>
        <w:tc>
          <w:tcPr>
            <w:tcW w:w="731" w:type="pct"/>
            <w:tcBorders>
              <w:top w:val="single" w:sz="4" w:space="0" w:color="auto"/>
              <w:left w:val="nil"/>
              <w:bottom w:val="nil"/>
              <w:right w:val="nil"/>
            </w:tcBorders>
            <w:tcMar>
              <w:top w:w="-1" w:type="dxa"/>
              <w:left w:w="-1" w:type="dxa"/>
              <w:bottom w:w="-1" w:type="dxa"/>
              <w:right w:w="-1" w:type="dxa"/>
            </w:tcMar>
            <w:vAlign w:val="center"/>
          </w:tcPr>
          <w:p w14:paraId="2DF9BD7A" w14:textId="271B9B9E"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(3</w:t>
            </w:r>
            <w:r w:rsidR="0015649B">
              <w:rPr>
                <w:rFonts w:eastAsiaTheme="minorEastAsia"/>
                <w:color w:val="231F20"/>
                <w:sz w:val="24"/>
                <w:szCs w:val="24"/>
                <w:lang w:val="en-US"/>
              </w:rPr>
              <w:t>–</w:t>
            </w:r>
            <w:r>
              <w:rPr>
                <w:rFonts w:eastAsiaTheme="minorEastAsia"/>
                <w:color w:val="231F20"/>
                <w:sz w:val="24"/>
                <w:szCs w:val="24"/>
                <w:lang w:val="en-US"/>
              </w:rPr>
              <w:t>7)</w:t>
            </w:r>
          </w:p>
        </w:tc>
        <w:tc>
          <w:tcPr>
            <w:tcW w:w="596" w:type="pct"/>
            <w:tcBorders>
              <w:top w:val="single" w:sz="4" w:space="0" w:color="auto"/>
              <w:left w:val="nil"/>
              <w:bottom w:val="nil"/>
              <w:right w:val="nil"/>
            </w:tcBorders>
            <w:tcMar>
              <w:top w:w="-1" w:type="dxa"/>
              <w:left w:w="-1" w:type="dxa"/>
              <w:bottom w:w="-1" w:type="dxa"/>
              <w:right w:w="-1" w:type="dxa"/>
            </w:tcMar>
            <w:vAlign w:val="center"/>
          </w:tcPr>
          <w:p w14:paraId="2DF9BD7B" w14:textId="692DB45E"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 (1</w:t>
            </w:r>
            <w:r w:rsidR="0015649B">
              <w:rPr>
                <w:rFonts w:eastAsiaTheme="minorEastAsia"/>
                <w:color w:val="231F20"/>
                <w:sz w:val="24"/>
                <w:szCs w:val="24"/>
                <w:lang w:val="en-US"/>
              </w:rPr>
              <w:t>–</w:t>
            </w:r>
            <w:r>
              <w:rPr>
                <w:rFonts w:eastAsiaTheme="minorEastAsia"/>
                <w:color w:val="231F20"/>
                <w:sz w:val="24"/>
                <w:szCs w:val="24"/>
                <w:lang w:val="en-US"/>
              </w:rPr>
              <w:t>3)</w:t>
            </w:r>
          </w:p>
        </w:tc>
        <w:tc>
          <w:tcPr>
            <w:tcW w:w="743" w:type="pct"/>
            <w:tcBorders>
              <w:top w:val="single" w:sz="4" w:space="0" w:color="auto"/>
              <w:left w:val="nil"/>
              <w:bottom w:val="nil"/>
              <w:right w:val="nil"/>
            </w:tcBorders>
            <w:tcMar>
              <w:top w:w="-1" w:type="dxa"/>
              <w:left w:w="-1" w:type="dxa"/>
              <w:bottom w:w="-1" w:type="dxa"/>
              <w:right w:w="-1" w:type="dxa"/>
            </w:tcMar>
            <w:vAlign w:val="center"/>
          </w:tcPr>
          <w:p w14:paraId="2DF9BD7C"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41.8</w:t>
            </w:r>
          </w:p>
        </w:tc>
        <w:tc>
          <w:tcPr>
            <w:tcW w:w="633" w:type="pct"/>
            <w:tcBorders>
              <w:top w:val="single" w:sz="4" w:space="0" w:color="auto"/>
              <w:left w:val="nil"/>
              <w:bottom w:val="nil"/>
              <w:right w:val="nil"/>
            </w:tcBorders>
            <w:tcMar>
              <w:top w:w="-1" w:type="dxa"/>
              <w:left w:w="-1" w:type="dxa"/>
              <w:bottom w:w="-1" w:type="dxa"/>
              <w:right w:w="-1" w:type="dxa"/>
            </w:tcMar>
            <w:vAlign w:val="center"/>
          </w:tcPr>
          <w:p w14:paraId="2DF9BD7D"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89.2</w:t>
            </w:r>
          </w:p>
        </w:tc>
      </w:tr>
      <w:tr w:rsidR="00D505D7" w14:paraId="2DF9BD87" w14:textId="77777777">
        <w:trPr>
          <w:jc w:val="center"/>
        </w:trPr>
        <w:tc>
          <w:tcPr>
            <w:tcW w:w="610" w:type="pct"/>
            <w:tcBorders>
              <w:top w:val="nil"/>
              <w:left w:val="nil"/>
              <w:bottom w:val="nil"/>
              <w:right w:val="nil"/>
            </w:tcBorders>
            <w:tcMar>
              <w:top w:w="-1" w:type="dxa"/>
              <w:left w:w="-1" w:type="dxa"/>
              <w:bottom w:w="-1" w:type="dxa"/>
              <w:right w:w="-1" w:type="dxa"/>
            </w:tcMar>
            <w:vAlign w:val="center"/>
          </w:tcPr>
          <w:p w14:paraId="2DF9BD7F"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Pertussis</w:t>
            </w:r>
          </w:p>
        </w:tc>
        <w:tc>
          <w:tcPr>
            <w:tcW w:w="447" w:type="pct"/>
            <w:tcBorders>
              <w:top w:val="nil"/>
              <w:left w:val="nil"/>
              <w:bottom w:val="nil"/>
              <w:right w:val="nil"/>
            </w:tcBorders>
            <w:tcMar>
              <w:top w:w="-1" w:type="dxa"/>
              <w:left w:w="-1" w:type="dxa"/>
              <w:bottom w:w="-1" w:type="dxa"/>
              <w:right w:w="-1" w:type="dxa"/>
            </w:tcMar>
            <w:vAlign w:val="center"/>
          </w:tcPr>
          <w:p w14:paraId="2DF9BD80" w14:textId="196D6E4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2022</w:t>
            </w:r>
            <w:r w:rsidR="0015649B">
              <w:rPr>
                <w:rFonts w:eastAsiaTheme="minorEastAsia"/>
                <w:color w:val="231F20"/>
                <w:sz w:val="24"/>
                <w:szCs w:val="24"/>
                <w:lang w:val="en-US"/>
              </w:rPr>
              <w:t>–</w:t>
            </w:r>
            <w:r>
              <w:rPr>
                <w:rFonts w:eastAsiaTheme="minorEastAsia"/>
                <w:color w:val="231F20"/>
                <w:sz w:val="24"/>
                <w:szCs w:val="24"/>
                <w:lang w:val="en-US"/>
              </w:rPr>
              <w:t>2023</w:t>
            </w:r>
          </w:p>
        </w:tc>
        <w:tc>
          <w:tcPr>
            <w:tcW w:w="613" w:type="pct"/>
            <w:tcBorders>
              <w:top w:val="nil"/>
              <w:left w:val="nil"/>
              <w:bottom w:val="nil"/>
              <w:right w:val="nil"/>
            </w:tcBorders>
            <w:tcMar>
              <w:top w:w="-1" w:type="dxa"/>
              <w:left w:w="-1" w:type="dxa"/>
              <w:bottom w:w="-1" w:type="dxa"/>
              <w:right w:w="-1" w:type="dxa"/>
            </w:tcMar>
            <w:vAlign w:val="center"/>
          </w:tcPr>
          <w:p w14:paraId="2DF9BD81" w14:textId="162CD531"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(3</w:t>
            </w:r>
            <w:r w:rsidR="0015649B">
              <w:rPr>
                <w:rFonts w:eastAsiaTheme="minorEastAsia"/>
                <w:color w:val="231F20"/>
                <w:sz w:val="24"/>
                <w:szCs w:val="24"/>
                <w:lang w:val="en-US"/>
              </w:rPr>
              <w:t>–</w:t>
            </w:r>
            <w:r>
              <w:rPr>
                <w:rFonts w:eastAsiaTheme="minorEastAsia"/>
                <w:color w:val="231F20"/>
                <w:sz w:val="24"/>
                <w:szCs w:val="24"/>
                <w:lang w:val="en-US"/>
              </w:rPr>
              <w:t>8)</w:t>
            </w:r>
          </w:p>
        </w:tc>
        <w:tc>
          <w:tcPr>
            <w:tcW w:w="623" w:type="pct"/>
            <w:tcBorders>
              <w:top w:val="nil"/>
              <w:left w:val="nil"/>
              <w:bottom w:val="nil"/>
              <w:right w:val="nil"/>
            </w:tcBorders>
            <w:tcMar>
              <w:top w:w="-1" w:type="dxa"/>
              <w:left w:w="-1" w:type="dxa"/>
              <w:bottom w:w="-1" w:type="dxa"/>
              <w:right w:w="-1" w:type="dxa"/>
            </w:tcMar>
            <w:vAlign w:val="center"/>
          </w:tcPr>
          <w:p w14:paraId="2DF9BD82" w14:textId="50FB7724"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 (1</w:t>
            </w:r>
            <w:r w:rsidR="0015649B">
              <w:rPr>
                <w:rFonts w:eastAsiaTheme="minorEastAsia"/>
                <w:color w:val="231F20"/>
                <w:sz w:val="24"/>
                <w:szCs w:val="24"/>
                <w:lang w:val="en-US"/>
              </w:rPr>
              <w:t>–</w:t>
            </w:r>
            <w:r>
              <w:rPr>
                <w:rFonts w:eastAsiaTheme="minorEastAsia"/>
                <w:color w:val="231F20"/>
                <w:sz w:val="24"/>
                <w:szCs w:val="24"/>
                <w:lang w:val="en-US"/>
              </w:rPr>
              <w:t>3)</w:t>
            </w:r>
          </w:p>
        </w:tc>
        <w:tc>
          <w:tcPr>
            <w:tcW w:w="731" w:type="pct"/>
            <w:tcBorders>
              <w:top w:val="nil"/>
              <w:left w:val="nil"/>
              <w:bottom w:val="nil"/>
              <w:right w:val="nil"/>
            </w:tcBorders>
            <w:tcMar>
              <w:top w:w="-1" w:type="dxa"/>
              <w:left w:w="-1" w:type="dxa"/>
              <w:bottom w:w="-1" w:type="dxa"/>
              <w:right w:w="-1" w:type="dxa"/>
            </w:tcMar>
            <w:vAlign w:val="center"/>
          </w:tcPr>
          <w:p w14:paraId="2DF9BD83" w14:textId="5A167EB6"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3 (2</w:t>
            </w:r>
            <w:r w:rsidR="0015649B">
              <w:rPr>
                <w:rFonts w:eastAsiaTheme="minorEastAsia"/>
                <w:color w:val="231F20"/>
                <w:sz w:val="24"/>
                <w:szCs w:val="24"/>
                <w:lang w:val="en-US"/>
              </w:rPr>
              <w:t>–</w:t>
            </w:r>
            <w:r>
              <w:rPr>
                <w:rFonts w:eastAsiaTheme="minorEastAsia"/>
                <w:color w:val="231F20"/>
                <w:sz w:val="24"/>
                <w:szCs w:val="24"/>
                <w:lang w:val="en-US"/>
              </w:rPr>
              <w:t>5)</w:t>
            </w:r>
          </w:p>
        </w:tc>
        <w:tc>
          <w:tcPr>
            <w:tcW w:w="596" w:type="pct"/>
            <w:tcBorders>
              <w:top w:val="nil"/>
              <w:left w:val="nil"/>
              <w:bottom w:val="nil"/>
              <w:right w:val="nil"/>
            </w:tcBorders>
            <w:tcMar>
              <w:top w:w="-1" w:type="dxa"/>
              <w:left w:w="-1" w:type="dxa"/>
              <w:bottom w:w="-1" w:type="dxa"/>
              <w:right w:w="-1" w:type="dxa"/>
            </w:tcMar>
            <w:vAlign w:val="center"/>
          </w:tcPr>
          <w:p w14:paraId="2DF9BD84" w14:textId="2C07F5C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43" w:type="pct"/>
            <w:tcBorders>
              <w:top w:val="nil"/>
              <w:left w:val="nil"/>
              <w:bottom w:val="nil"/>
              <w:right w:val="nil"/>
            </w:tcBorders>
            <w:tcMar>
              <w:top w:w="-1" w:type="dxa"/>
              <w:left w:w="-1" w:type="dxa"/>
              <w:bottom w:w="-1" w:type="dxa"/>
              <w:right w:w="-1" w:type="dxa"/>
            </w:tcMar>
            <w:vAlign w:val="center"/>
          </w:tcPr>
          <w:p w14:paraId="2DF9BD85"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52.6</w:t>
            </w:r>
          </w:p>
        </w:tc>
        <w:tc>
          <w:tcPr>
            <w:tcW w:w="633" w:type="pct"/>
            <w:tcBorders>
              <w:top w:val="nil"/>
              <w:left w:val="nil"/>
              <w:bottom w:val="nil"/>
              <w:right w:val="nil"/>
            </w:tcBorders>
            <w:tcMar>
              <w:top w:w="-1" w:type="dxa"/>
              <w:left w:w="-1" w:type="dxa"/>
              <w:bottom w:w="-1" w:type="dxa"/>
              <w:right w:w="-1" w:type="dxa"/>
            </w:tcMar>
            <w:vAlign w:val="center"/>
          </w:tcPr>
          <w:p w14:paraId="2DF9BD86"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92.1</w:t>
            </w:r>
          </w:p>
        </w:tc>
      </w:tr>
      <w:tr w:rsidR="00D505D7" w14:paraId="2DF9BD90" w14:textId="77777777">
        <w:trPr>
          <w:jc w:val="center"/>
        </w:trPr>
        <w:tc>
          <w:tcPr>
            <w:tcW w:w="610" w:type="pct"/>
            <w:tcBorders>
              <w:top w:val="nil"/>
              <w:left w:val="nil"/>
              <w:bottom w:val="nil"/>
              <w:right w:val="nil"/>
            </w:tcBorders>
            <w:tcMar>
              <w:top w:w="-1" w:type="dxa"/>
              <w:left w:w="-1" w:type="dxa"/>
              <w:bottom w:w="-1" w:type="dxa"/>
              <w:right w:w="-1" w:type="dxa"/>
            </w:tcMar>
            <w:vAlign w:val="center"/>
          </w:tcPr>
          <w:p w14:paraId="2DF9BD88"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Pertussis</w:t>
            </w:r>
          </w:p>
        </w:tc>
        <w:tc>
          <w:tcPr>
            <w:tcW w:w="447" w:type="pct"/>
            <w:tcBorders>
              <w:top w:val="nil"/>
              <w:left w:val="nil"/>
              <w:bottom w:val="nil"/>
              <w:right w:val="nil"/>
            </w:tcBorders>
            <w:tcMar>
              <w:top w:w="-1" w:type="dxa"/>
              <w:left w:w="-1" w:type="dxa"/>
              <w:bottom w:w="-1" w:type="dxa"/>
              <w:right w:w="-1" w:type="dxa"/>
            </w:tcMar>
            <w:vAlign w:val="center"/>
          </w:tcPr>
          <w:p w14:paraId="2DF9BD89" w14:textId="486C3E6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2024</w:t>
            </w:r>
            <w:r w:rsidR="0015649B">
              <w:rPr>
                <w:rFonts w:eastAsiaTheme="minorEastAsia"/>
                <w:color w:val="231F20"/>
                <w:sz w:val="24"/>
                <w:szCs w:val="24"/>
                <w:lang w:val="en-US"/>
              </w:rPr>
              <w:t>–</w:t>
            </w:r>
            <w:r>
              <w:rPr>
                <w:rFonts w:eastAsiaTheme="minorEastAsia"/>
                <w:color w:val="231F20"/>
                <w:sz w:val="24"/>
                <w:szCs w:val="24"/>
                <w:lang w:val="en-US"/>
              </w:rPr>
              <w:t>2025</w:t>
            </w:r>
          </w:p>
        </w:tc>
        <w:tc>
          <w:tcPr>
            <w:tcW w:w="613" w:type="pct"/>
            <w:tcBorders>
              <w:top w:val="nil"/>
              <w:left w:val="nil"/>
              <w:bottom w:val="nil"/>
              <w:right w:val="nil"/>
            </w:tcBorders>
            <w:tcMar>
              <w:top w:w="-1" w:type="dxa"/>
              <w:left w:w="-1" w:type="dxa"/>
              <w:bottom w:w="-1" w:type="dxa"/>
              <w:right w:w="-1" w:type="dxa"/>
            </w:tcMar>
            <w:vAlign w:val="center"/>
          </w:tcPr>
          <w:p w14:paraId="2DF9BD8A" w14:textId="7BA2422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 (2</w:t>
            </w:r>
            <w:r w:rsidR="0015649B">
              <w:rPr>
                <w:rFonts w:eastAsiaTheme="minorEastAsia"/>
                <w:color w:val="231F20"/>
                <w:sz w:val="24"/>
                <w:szCs w:val="24"/>
                <w:lang w:val="en-US"/>
              </w:rPr>
              <w:t>–</w:t>
            </w:r>
            <w:r>
              <w:rPr>
                <w:rFonts w:eastAsiaTheme="minorEastAsia"/>
                <w:color w:val="231F20"/>
                <w:sz w:val="24"/>
                <w:szCs w:val="24"/>
                <w:lang w:val="en-US"/>
              </w:rPr>
              <w:t>6)</w:t>
            </w:r>
          </w:p>
        </w:tc>
        <w:tc>
          <w:tcPr>
            <w:tcW w:w="623" w:type="pct"/>
            <w:tcBorders>
              <w:top w:val="nil"/>
              <w:left w:val="nil"/>
              <w:bottom w:val="nil"/>
              <w:right w:val="nil"/>
            </w:tcBorders>
            <w:tcMar>
              <w:top w:w="-1" w:type="dxa"/>
              <w:left w:w="-1" w:type="dxa"/>
              <w:bottom w:w="-1" w:type="dxa"/>
              <w:right w:w="-1" w:type="dxa"/>
            </w:tcMar>
            <w:vAlign w:val="center"/>
          </w:tcPr>
          <w:p w14:paraId="2DF9BD8B" w14:textId="1AD13C2C"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 (1</w:t>
            </w:r>
            <w:r w:rsidR="0015649B">
              <w:rPr>
                <w:rFonts w:eastAsiaTheme="minorEastAsia"/>
                <w:color w:val="231F20"/>
                <w:sz w:val="24"/>
                <w:szCs w:val="24"/>
                <w:lang w:val="en-US"/>
              </w:rPr>
              <w:t>–</w:t>
            </w:r>
            <w:r>
              <w:rPr>
                <w:rFonts w:eastAsiaTheme="minorEastAsia"/>
                <w:color w:val="231F20"/>
                <w:sz w:val="24"/>
                <w:szCs w:val="24"/>
                <w:lang w:val="en-US"/>
              </w:rPr>
              <w:t>3)</w:t>
            </w:r>
          </w:p>
        </w:tc>
        <w:tc>
          <w:tcPr>
            <w:tcW w:w="731" w:type="pct"/>
            <w:tcBorders>
              <w:top w:val="nil"/>
              <w:left w:val="nil"/>
              <w:bottom w:val="nil"/>
              <w:right w:val="nil"/>
            </w:tcBorders>
            <w:tcMar>
              <w:top w:w="-1" w:type="dxa"/>
              <w:left w:w="-1" w:type="dxa"/>
              <w:bottom w:w="-1" w:type="dxa"/>
              <w:right w:w="-1" w:type="dxa"/>
            </w:tcMar>
            <w:vAlign w:val="center"/>
          </w:tcPr>
          <w:p w14:paraId="2DF9BD8C" w14:textId="67FE21A6"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 (1</w:t>
            </w:r>
            <w:r w:rsidR="0015649B">
              <w:rPr>
                <w:rFonts w:eastAsiaTheme="minorEastAsia"/>
                <w:color w:val="231F20"/>
                <w:sz w:val="24"/>
                <w:szCs w:val="24"/>
                <w:lang w:val="en-US"/>
              </w:rPr>
              <w:t>–</w:t>
            </w:r>
            <w:r>
              <w:rPr>
                <w:rFonts w:eastAsiaTheme="minorEastAsia"/>
                <w:color w:val="231F20"/>
                <w:sz w:val="24"/>
                <w:szCs w:val="24"/>
                <w:lang w:val="en-US"/>
              </w:rPr>
              <w:t>3)</w:t>
            </w:r>
          </w:p>
        </w:tc>
        <w:tc>
          <w:tcPr>
            <w:tcW w:w="596" w:type="pct"/>
            <w:tcBorders>
              <w:top w:val="nil"/>
              <w:left w:val="nil"/>
              <w:bottom w:val="nil"/>
              <w:right w:val="nil"/>
            </w:tcBorders>
            <w:tcMar>
              <w:top w:w="-1" w:type="dxa"/>
              <w:left w:w="-1" w:type="dxa"/>
              <w:bottom w:w="-1" w:type="dxa"/>
              <w:right w:w="-1" w:type="dxa"/>
            </w:tcMar>
            <w:vAlign w:val="center"/>
          </w:tcPr>
          <w:p w14:paraId="2DF9BD8D" w14:textId="1B5DC9F4"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&lt;1 (0</w:t>
            </w:r>
            <w:r w:rsidR="0015649B">
              <w:rPr>
                <w:rFonts w:eastAsiaTheme="minorEastAsia"/>
                <w:color w:val="231F20"/>
                <w:sz w:val="24"/>
                <w:szCs w:val="24"/>
                <w:lang w:val="en-US"/>
              </w:rPr>
              <w:t>–</w:t>
            </w:r>
            <w:r>
              <w:rPr>
                <w:rFonts w:eastAsiaTheme="minorEastAsia"/>
                <w:color w:val="231F20"/>
                <w:sz w:val="24"/>
                <w:szCs w:val="24"/>
                <w:lang w:val="en-US"/>
              </w:rPr>
              <w:t>1)</w:t>
            </w:r>
          </w:p>
        </w:tc>
        <w:tc>
          <w:tcPr>
            <w:tcW w:w="743" w:type="pct"/>
            <w:tcBorders>
              <w:top w:val="nil"/>
              <w:left w:val="nil"/>
              <w:bottom w:val="nil"/>
              <w:right w:val="nil"/>
            </w:tcBorders>
            <w:tcMar>
              <w:top w:w="-1" w:type="dxa"/>
              <w:left w:w="-1" w:type="dxa"/>
              <w:bottom w:w="-1" w:type="dxa"/>
              <w:right w:w="-1" w:type="dxa"/>
            </w:tcMar>
            <w:vAlign w:val="center"/>
          </w:tcPr>
          <w:p w14:paraId="2DF9BD8E"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61.4</w:t>
            </w:r>
          </w:p>
        </w:tc>
        <w:tc>
          <w:tcPr>
            <w:tcW w:w="633" w:type="pct"/>
            <w:tcBorders>
              <w:top w:val="nil"/>
              <w:left w:val="nil"/>
              <w:bottom w:val="nil"/>
              <w:right w:val="nil"/>
            </w:tcBorders>
            <w:tcMar>
              <w:top w:w="-1" w:type="dxa"/>
              <w:left w:w="-1" w:type="dxa"/>
              <w:bottom w:w="-1" w:type="dxa"/>
              <w:right w:w="-1" w:type="dxa"/>
            </w:tcMar>
            <w:vAlign w:val="center"/>
          </w:tcPr>
          <w:p w14:paraId="2DF9BD8F"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93.7</w:t>
            </w:r>
          </w:p>
        </w:tc>
      </w:tr>
      <w:tr w:rsidR="00D505D7" w14:paraId="2DF9BD99" w14:textId="77777777">
        <w:trPr>
          <w:jc w:val="center"/>
        </w:trPr>
        <w:tc>
          <w:tcPr>
            <w:tcW w:w="610" w:type="pct"/>
            <w:tcBorders>
              <w:top w:val="nil"/>
              <w:left w:val="nil"/>
              <w:bottom w:val="nil"/>
              <w:right w:val="nil"/>
            </w:tcBorders>
            <w:tcMar>
              <w:top w:w="-1" w:type="dxa"/>
              <w:left w:w="-1" w:type="dxa"/>
              <w:bottom w:w="-1" w:type="dxa"/>
              <w:right w:w="-1" w:type="dxa"/>
            </w:tcMar>
            <w:vAlign w:val="center"/>
          </w:tcPr>
          <w:p w14:paraId="2DF9BD91"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Meningitis</w:t>
            </w:r>
          </w:p>
        </w:tc>
        <w:tc>
          <w:tcPr>
            <w:tcW w:w="447" w:type="pct"/>
            <w:tcBorders>
              <w:top w:val="nil"/>
              <w:left w:val="nil"/>
              <w:bottom w:val="nil"/>
              <w:right w:val="nil"/>
            </w:tcBorders>
            <w:tcMar>
              <w:top w:w="-1" w:type="dxa"/>
              <w:left w:w="-1" w:type="dxa"/>
              <w:bottom w:w="-1" w:type="dxa"/>
              <w:right w:w="-1" w:type="dxa"/>
            </w:tcMar>
            <w:vAlign w:val="center"/>
          </w:tcPr>
          <w:p w14:paraId="2DF9BD92" w14:textId="781957A6"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2020</w:t>
            </w:r>
            <w:r w:rsidR="0015649B">
              <w:rPr>
                <w:rFonts w:eastAsiaTheme="minorEastAsia"/>
                <w:color w:val="231F20"/>
                <w:sz w:val="24"/>
                <w:szCs w:val="24"/>
                <w:lang w:val="en-US"/>
              </w:rPr>
              <w:t>–</w:t>
            </w:r>
            <w:r>
              <w:rPr>
                <w:rFonts w:eastAsiaTheme="minorEastAsia"/>
                <w:color w:val="231F20"/>
                <w:sz w:val="24"/>
                <w:szCs w:val="24"/>
                <w:lang w:val="en-US"/>
              </w:rPr>
              <w:t>2021</w:t>
            </w:r>
          </w:p>
        </w:tc>
        <w:tc>
          <w:tcPr>
            <w:tcW w:w="613" w:type="pct"/>
            <w:tcBorders>
              <w:top w:val="nil"/>
              <w:left w:val="nil"/>
              <w:bottom w:val="nil"/>
              <w:right w:val="nil"/>
            </w:tcBorders>
            <w:tcMar>
              <w:top w:w="-1" w:type="dxa"/>
              <w:left w:w="-1" w:type="dxa"/>
              <w:bottom w:w="-1" w:type="dxa"/>
              <w:right w:w="-1" w:type="dxa"/>
            </w:tcMar>
            <w:vAlign w:val="center"/>
          </w:tcPr>
          <w:p w14:paraId="2DF9BD93" w14:textId="7F447C7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 (3</w:t>
            </w:r>
            <w:r w:rsidR="0015649B">
              <w:rPr>
                <w:rFonts w:eastAsiaTheme="minorEastAsia"/>
                <w:color w:val="231F20"/>
                <w:sz w:val="24"/>
                <w:szCs w:val="24"/>
                <w:lang w:val="en-US"/>
              </w:rPr>
              <w:t>–</w:t>
            </w:r>
            <w:r>
              <w:rPr>
                <w:rFonts w:eastAsiaTheme="minorEastAsia"/>
                <w:color w:val="231F20"/>
                <w:sz w:val="24"/>
                <w:szCs w:val="24"/>
                <w:lang w:val="en-US"/>
              </w:rPr>
              <w:t>6)</w:t>
            </w:r>
          </w:p>
        </w:tc>
        <w:tc>
          <w:tcPr>
            <w:tcW w:w="623" w:type="pct"/>
            <w:tcBorders>
              <w:top w:val="nil"/>
              <w:left w:val="nil"/>
              <w:bottom w:val="nil"/>
              <w:right w:val="nil"/>
            </w:tcBorders>
            <w:tcMar>
              <w:top w:w="-1" w:type="dxa"/>
              <w:left w:w="-1" w:type="dxa"/>
              <w:bottom w:w="-1" w:type="dxa"/>
              <w:right w:w="-1" w:type="dxa"/>
            </w:tcMar>
            <w:vAlign w:val="center"/>
          </w:tcPr>
          <w:p w14:paraId="2DF9BD94" w14:textId="01685A39"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31" w:type="pct"/>
            <w:tcBorders>
              <w:top w:val="nil"/>
              <w:left w:val="nil"/>
              <w:bottom w:val="nil"/>
              <w:right w:val="nil"/>
            </w:tcBorders>
            <w:tcMar>
              <w:top w:w="-1" w:type="dxa"/>
              <w:left w:w="-1" w:type="dxa"/>
              <w:bottom w:w="-1" w:type="dxa"/>
              <w:right w:w="-1" w:type="dxa"/>
            </w:tcMar>
            <w:vAlign w:val="center"/>
          </w:tcPr>
          <w:p w14:paraId="2DF9BD95" w14:textId="1B59E09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596" w:type="pct"/>
            <w:tcBorders>
              <w:top w:val="nil"/>
              <w:left w:val="nil"/>
              <w:bottom w:val="nil"/>
              <w:right w:val="nil"/>
            </w:tcBorders>
            <w:tcMar>
              <w:top w:w="-1" w:type="dxa"/>
              <w:left w:w="-1" w:type="dxa"/>
              <w:bottom w:w="-1" w:type="dxa"/>
              <w:right w:w="-1" w:type="dxa"/>
            </w:tcMar>
            <w:vAlign w:val="center"/>
          </w:tcPr>
          <w:p w14:paraId="2DF9BD96" w14:textId="620A27A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43" w:type="pct"/>
            <w:tcBorders>
              <w:top w:val="nil"/>
              <w:left w:val="nil"/>
              <w:bottom w:val="nil"/>
              <w:right w:val="nil"/>
            </w:tcBorders>
            <w:tcMar>
              <w:top w:w="-1" w:type="dxa"/>
              <w:left w:w="-1" w:type="dxa"/>
              <w:bottom w:w="-1" w:type="dxa"/>
              <w:right w:w="-1" w:type="dxa"/>
            </w:tcMar>
            <w:vAlign w:val="center"/>
          </w:tcPr>
          <w:p w14:paraId="2DF9BD97"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89.7</w:t>
            </w:r>
          </w:p>
        </w:tc>
        <w:tc>
          <w:tcPr>
            <w:tcW w:w="633" w:type="pct"/>
            <w:tcBorders>
              <w:top w:val="nil"/>
              <w:left w:val="nil"/>
              <w:bottom w:val="nil"/>
              <w:right w:val="nil"/>
            </w:tcBorders>
            <w:tcMar>
              <w:top w:w="-1" w:type="dxa"/>
              <w:left w:w="-1" w:type="dxa"/>
              <w:bottom w:w="-1" w:type="dxa"/>
              <w:right w:w="-1" w:type="dxa"/>
            </w:tcMar>
            <w:vAlign w:val="center"/>
          </w:tcPr>
          <w:p w14:paraId="2DF9BD98"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97.3</w:t>
            </w:r>
          </w:p>
        </w:tc>
      </w:tr>
      <w:tr w:rsidR="00D505D7" w14:paraId="2DF9BDA2" w14:textId="77777777">
        <w:trPr>
          <w:jc w:val="center"/>
        </w:trPr>
        <w:tc>
          <w:tcPr>
            <w:tcW w:w="610" w:type="pct"/>
            <w:tcBorders>
              <w:top w:val="nil"/>
              <w:left w:val="nil"/>
              <w:bottom w:val="nil"/>
              <w:right w:val="nil"/>
            </w:tcBorders>
            <w:tcMar>
              <w:top w:w="-1" w:type="dxa"/>
              <w:left w:w="-1" w:type="dxa"/>
              <w:bottom w:w="-1" w:type="dxa"/>
              <w:right w:w="-1" w:type="dxa"/>
            </w:tcMar>
            <w:vAlign w:val="center"/>
          </w:tcPr>
          <w:p w14:paraId="2DF9BD9A"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Meningitis</w:t>
            </w:r>
          </w:p>
        </w:tc>
        <w:tc>
          <w:tcPr>
            <w:tcW w:w="447" w:type="pct"/>
            <w:tcBorders>
              <w:top w:val="nil"/>
              <w:left w:val="nil"/>
              <w:bottom w:val="nil"/>
              <w:right w:val="nil"/>
            </w:tcBorders>
            <w:tcMar>
              <w:top w:w="-1" w:type="dxa"/>
              <w:left w:w="-1" w:type="dxa"/>
              <w:bottom w:w="-1" w:type="dxa"/>
              <w:right w:w="-1" w:type="dxa"/>
            </w:tcMar>
            <w:vAlign w:val="center"/>
          </w:tcPr>
          <w:p w14:paraId="2DF9BD9B" w14:textId="3A9FD70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2022</w:t>
            </w:r>
            <w:r w:rsidR="0015649B">
              <w:rPr>
                <w:rFonts w:eastAsiaTheme="minorEastAsia"/>
                <w:color w:val="231F20"/>
                <w:sz w:val="24"/>
                <w:szCs w:val="24"/>
                <w:lang w:val="en-US"/>
              </w:rPr>
              <w:t>–</w:t>
            </w:r>
            <w:r>
              <w:rPr>
                <w:rFonts w:eastAsiaTheme="minorEastAsia"/>
                <w:color w:val="231F20"/>
                <w:sz w:val="24"/>
                <w:szCs w:val="24"/>
                <w:lang w:val="en-US"/>
              </w:rPr>
              <w:t>2023</w:t>
            </w:r>
          </w:p>
        </w:tc>
        <w:tc>
          <w:tcPr>
            <w:tcW w:w="613" w:type="pct"/>
            <w:tcBorders>
              <w:top w:val="nil"/>
              <w:left w:val="nil"/>
              <w:bottom w:val="nil"/>
              <w:right w:val="nil"/>
            </w:tcBorders>
            <w:tcMar>
              <w:top w:w="-1" w:type="dxa"/>
              <w:left w:w="-1" w:type="dxa"/>
              <w:bottom w:w="-1" w:type="dxa"/>
              <w:right w:w="-1" w:type="dxa"/>
            </w:tcMar>
            <w:vAlign w:val="center"/>
          </w:tcPr>
          <w:p w14:paraId="2DF9BD9C" w14:textId="2108B688"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 (4</w:t>
            </w:r>
            <w:r w:rsidR="0015649B">
              <w:rPr>
                <w:rFonts w:eastAsiaTheme="minorEastAsia"/>
                <w:color w:val="231F20"/>
                <w:sz w:val="24"/>
                <w:szCs w:val="24"/>
                <w:lang w:val="en-US"/>
              </w:rPr>
              <w:t>–</w:t>
            </w:r>
            <w:r>
              <w:rPr>
                <w:rFonts w:eastAsiaTheme="minorEastAsia"/>
                <w:color w:val="231F20"/>
                <w:sz w:val="24"/>
                <w:szCs w:val="24"/>
                <w:lang w:val="en-US"/>
              </w:rPr>
              <w:t>9)</w:t>
            </w:r>
          </w:p>
        </w:tc>
        <w:tc>
          <w:tcPr>
            <w:tcW w:w="623" w:type="pct"/>
            <w:tcBorders>
              <w:top w:val="nil"/>
              <w:left w:val="nil"/>
              <w:bottom w:val="nil"/>
              <w:right w:val="nil"/>
            </w:tcBorders>
            <w:tcMar>
              <w:top w:w="-1" w:type="dxa"/>
              <w:left w:w="-1" w:type="dxa"/>
              <w:bottom w:w="-1" w:type="dxa"/>
              <w:right w:w="-1" w:type="dxa"/>
            </w:tcMar>
            <w:vAlign w:val="center"/>
          </w:tcPr>
          <w:p w14:paraId="2DF9BD9D" w14:textId="664F3F78"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31" w:type="pct"/>
            <w:tcBorders>
              <w:top w:val="nil"/>
              <w:left w:val="nil"/>
              <w:bottom w:val="nil"/>
              <w:right w:val="nil"/>
            </w:tcBorders>
            <w:tcMar>
              <w:top w:w="-1" w:type="dxa"/>
              <w:left w:w="-1" w:type="dxa"/>
              <w:bottom w:w="-1" w:type="dxa"/>
              <w:right w:w="-1" w:type="dxa"/>
            </w:tcMar>
            <w:vAlign w:val="center"/>
          </w:tcPr>
          <w:p w14:paraId="2DF9BD9E" w14:textId="0942C40D"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 (2</w:t>
            </w:r>
            <w:r w:rsidR="0015649B">
              <w:rPr>
                <w:rFonts w:eastAsiaTheme="minorEastAsia"/>
                <w:color w:val="231F20"/>
                <w:sz w:val="24"/>
                <w:szCs w:val="24"/>
                <w:lang w:val="en-US"/>
              </w:rPr>
              <w:t>–</w:t>
            </w:r>
            <w:r>
              <w:rPr>
                <w:rFonts w:eastAsiaTheme="minorEastAsia"/>
                <w:color w:val="231F20"/>
                <w:sz w:val="24"/>
                <w:szCs w:val="24"/>
                <w:lang w:val="en-US"/>
              </w:rPr>
              <w:t>6)</w:t>
            </w:r>
          </w:p>
        </w:tc>
        <w:tc>
          <w:tcPr>
            <w:tcW w:w="596" w:type="pct"/>
            <w:tcBorders>
              <w:top w:val="nil"/>
              <w:left w:val="nil"/>
              <w:bottom w:val="nil"/>
              <w:right w:val="nil"/>
            </w:tcBorders>
            <w:tcMar>
              <w:top w:w="-1" w:type="dxa"/>
              <w:left w:w="-1" w:type="dxa"/>
              <w:bottom w:w="-1" w:type="dxa"/>
              <w:right w:w="-1" w:type="dxa"/>
            </w:tcMar>
            <w:vAlign w:val="center"/>
          </w:tcPr>
          <w:p w14:paraId="2DF9BD9F" w14:textId="6167D7F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43" w:type="pct"/>
            <w:tcBorders>
              <w:top w:val="nil"/>
              <w:left w:val="nil"/>
              <w:bottom w:val="nil"/>
              <w:right w:val="nil"/>
            </w:tcBorders>
            <w:tcMar>
              <w:top w:w="-1" w:type="dxa"/>
              <w:left w:w="-1" w:type="dxa"/>
              <w:bottom w:w="-1" w:type="dxa"/>
              <w:right w:w="-1" w:type="dxa"/>
            </w:tcMar>
            <w:vAlign w:val="center"/>
          </w:tcPr>
          <w:p w14:paraId="2DF9BDA0"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78.4</w:t>
            </w:r>
          </w:p>
        </w:tc>
        <w:tc>
          <w:tcPr>
            <w:tcW w:w="633" w:type="pct"/>
            <w:tcBorders>
              <w:top w:val="nil"/>
              <w:left w:val="nil"/>
              <w:bottom w:val="nil"/>
              <w:right w:val="nil"/>
            </w:tcBorders>
            <w:tcMar>
              <w:top w:w="-1" w:type="dxa"/>
              <w:left w:w="-1" w:type="dxa"/>
              <w:bottom w:w="-1" w:type="dxa"/>
              <w:right w:w="-1" w:type="dxa"/>
            </w:tcMar>
            <w:vAlign w:val="center"/>
          </w:tcPr>
          <w:p w14:paraId="2DF9BDA1"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95.8</w:t>
            </w:r>
          </w:p>
        </w:tc>
      </w:tr>
      <w:tr w:rsidR="00D505D7" w14:paraId="2DF9BDAB" w14:textId="77777777" w:rsidTr="00131A7E">
        <w:trPr>
          <w:jc w:val="center"/>
        </w:trPr>
        <w:tc>
          <w:tcPr>
            <w:tcW w:w="610" w:type="pct"/>
            <w:tcBorders>
              <w:top w:val="nil"/>
              <w:left w:val="nil"/>
              <w:bottom w:val="single" w:sz="4" w:space="0" w:color="auto"/>
              <w:right w:val="nil"/>
            </w:tcBorders>
            <w:tcMar>
              <w:top w:w="-1" w:type="dxa"/>
              <w:left w:w="-1" w:type="dxa"/>
              <w:bottom w:w="-1" w:type="dxa"/>
              <w:right w:w="-1" w:type="dxa"/>
            </w:tcMar>
            <w:vAlign w:val="center"/>
          </w:tcPr>
          <w:p w14:paraId="2DF9BDA3" w14:textId="77777777"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Meningitis</w:t>
            </w:r>
          </w:p>
        </w:tc>
        <w:tc>
          <w:tcPr>
            <w:tcW w:w="447" w:type="pct"/>
            <w:tcBorders>
              <w:top w:val="nil"/>
              <w:left w:val="nil"/>
              <w:bottom w:val="single" w:sz="4" w:space="0" w:color="auto"/>
              <w:right w:val="nil"/>
            </w:tcBorders>
            <w:tcMar>
              <w:top w:w="-1" w:type="dxa"/>
              <w:left w:w="-1" w:type="dxa"/>
              <w:bottom w:w="-1" w:type="dxa"/>
              <w:right w:w="-1" w:type="dxa"/>
            </w:tcMar>
            <w:vAlign w:val="center"/>
          </w:tcPr>
          <w:p w14:paraId="2DF9BDA4" w14:textId="67D46C14"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2024</w:t>
            </w:r>
            <w:r w:rsidR="0015649B">
              <w:rPr>
                <w:rFonts w:eastAsiaTheme="minorEastAsia"/>
                <w:color w:val="231F20"/>
                <w:sz w:val="24"/>
                <w:szCs w:val="24"/>
                <w:lang w:val="en-US"/>
              </w:rPr>
              <w:t>–</w:t>
            </w:r>
            <w:r>
              <w:rPr>
                <w:rFonts w:eastAsiaTheme="minorEastAsia"/>
                <w:color w:val="231F20"/>
                <w:sz w:val="24"/>
                <w:szCs w:val="24"/>
                <w:lang w:val="en-US"/>
              </w:rPr>
              <w:t>2025</w:t>
            </w:r>
          </w:p>
        </w:tc>
        <w:tc>
          <w:tcPr>
            <w:tcW w:w="613" w:type="pct"/>
            <w:tcBorders>
              <w:top w:val="nil"/>
              <w:left w:val="nil"/>
              <w:bottom w:val="single" w:sz="4" w:space="0" w:color="auto"/>
              <w:right w:val="nil"/>
            </w:tcBorders>
            <w:tcMar>
              <w:top w:w="-1" w:type="dxa"/>
              <w:left w:w="-1" w:type="dxa"/>
              <w:bottom w:w="-1" w:type="dxa"/>
              <w:right w:w="-1" w:type="dxa"/>
            </w:tcMar>
            <w:vAlign w:val="center"/>
          </w:tcPr>
          <w:p w14:paraId="2DF9BDA5" w14:textId="5B431D32"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 (5</w:t>
            </w:r>
            <w:r w:rsidR="0015649B">
              <w:rPr>
                <w:rFonts w:eastAsiaTheme="minorEastAsia"/>
                <w:color w:val="231F20"/>
                <w:sz w:val="24"/>
                <w:szCs w:val="24"/>
                <w:lang w:val="en-US"/>
              </w:rPr>
              <w:t>–</w:t>
            </w:r>
            <w:r>
              <w:rPr>
                <w:rFonts w:eastAsiaTheme="minorEastAsia"/>
                <w:color w:val="231F20"/>
                <w:sz w:val="24"/>
                <w:szCs w:val="24"/>
                <w:lang w:val="en-US"/>
              </w:rPr>
              <w:t>10)</w:t>
            </w:r>
          </w:p>
        </w:tc>
        <w:tc>
          <w:tcPr>
            <w:tcW w:w="623" w:type="pct"/>
            <w:tcBorders>
              <w:top w:val="nil"/>
              <w:left w:val="nil"/>
              <w:bottom w:val="single" w:sz="4" w:space="0" w:color="auto"/>
              <w:right w:val="nil"/>
            </w:tcBorders>
            <w:tcMar>
              <w:top w:w="-1" w:type="dxa"/>
              <w:left w:w="-1" w:type="dxa"/>
              <w:bottom w:w="-1" w:type="dxa"/>
              <w:right w:w="-1" w:type="dxa"/>
            </w:tcMar>
            <w:vAlign w:val="center"/>
          </w:tcPr>
          <w:p w14:paraId="2DF9BDA6" w14:textId="38C3F084"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31" w:type="pct"/>
            <w:tcBorders>
              <w:top w:val="nil"/>
              <w:left w:val="nil"/>
              <w:bottom w:val="single" w:sz="4" w:space="0" w:color="auto"/>
              <w:right w:val="nil"/>
            </w:tcBorders>
            <w:tcMar>
              <w:top w:w="-1" w:type="dxa"/>
              <w:left w:w="-1" w:type="dxa"/>
              <w:bottom w:w="-1" w:type="dxa"/>
              <w:right w:w="-1" w:type="dxa"/>
            </w:tcMar>
            <w:vAlign w:val="center"/>
          </w:tcPr>
          <w:p w14:paraId="2DF9BDA7" w14:textId="4FEEBA44"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(3</w:t>
            </w:r>
            <w:r w:rsidR="0015649B">
              <w:rPr>
                <w:rFonts w:eastAsiaTheme="minorEastAsia"/>
                <w:color w:val="231F20"/>
                <w:sz w:val="24"/>
                <w:szCs w:val="24"/>
                <w:lang w:val="en-US"/>
              </w:rPr>
              <w:t>–</w:t>
            </w:r>
            <w:r>
              <w:rPr>
                <w:rFonts w:eastAsiaTheme="minorEastAsia"/>
                <w:color w:val="231F20"/>
                <w:sz w:val="24"/>
                <w:szCs w:val="24"/>
                <w:lang w:val="en-US"/>
              </w:rPr>
              <w:t>7)</w:t>
            </w:r>
          </w:p>
        </w:tc>
        <w:tc>
          <w:tcPr>
            <w:tcW w:w="596" w:type="pct"/>
            <w:tcBorders>
              <w:top w:val="nil"/>
              <w:left w:val="nil"/>
              <w:bottom w:val="single" w:sz="4" w:space="0" w:color="auto"/>
              <w:right w:val="nil"/>
            </w:tcBorders>
            <w:tcMar>
              <w:top w:w="-1" w:type="dxa"/>
              <w:left w:w="-1" w:type="dxa"/>
              <w:bottom w:w="-1" w:type="dxa"/>
              <w:right w:w="-1" w:type="dxa"/>
            </w:tcMar>
            <w:vAlign w:val="center"/>
          </w:tcPr>
          <w:p w14:paraId="2DF9BDA8" w14:textId="146C930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 (1</w:t>
            </w:r>
            <w:r w:rsidR="0015649B">
              <w:rPr>
                <w:rFonts w:eastAsiaTheme="minorEastAsia"/>
                <w:color w:val="231F20"/>
                <w:sz w:val="24"/>
                <w:szCs w:val="24"/>
                <w:lang w:val="en-US"/>
              </w:rPr>
              <w:t>–</w:t>
            </w:r>
            <w:r>
              <w:rPr>
                <w:rFonts w:eastAsiaTheme="minorEastAsia"/>
                <w:color w:val="231F20"/>
                <w:sz w:val="24"/>
                <w:szCs w:val="24"/>
                <w:lang w:val="en-US"/>
              </w:rPr>
              <w:t>2)</w:t>
            </w:r>
          </w:p>
        </w:tc>
        <w:tc>
          <w:tcPr>
            <w:tcW w:w="743" w:type="pct"/>
            <w:tcBorders>
              <w:top w:val="nil"/>
              <w:left w:val="nil"/>
              <w:bottom w:val="single" w:sz="4" w:space="0" w:color="auto"/>
              <w:right w:val="nil"/>
            </w:tcBorders>
            <w:tcMar>
              <w:top w:w="-1" w:type="dxa"/>
              <w:left w:w="-1" w:type="dxa"/>
              <w:bottom w:w="-1" w:type="dxa"/>
              <w:right w:w="-1" w:type="dxa"/>
            </w:tcMar>
            <w:vAlign w:val="center"/>
          </w:tcPr>
          <w:p w14:paraId="2DF9BDA9"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72.1</w:t>
            </w:r>
          </w:p>
        </w:tc>
        <w:tc>
          <w:tcPr>
            <w:tcW w:w="633" w:type="pct"/>
            <w:tcBorders>
              <w:top w:val="nil"/>
              <w:left w:val="nil"/>
              <w:bottom w:val="single" w:sz="4" w:space="0" w:color="auto"/>
              <w:right w:val="nil"/>
            </w:tcBorders>
            <w:tcMar>
              <w:top w:w="-1" w:type="dxa"/>
              <w:left w:w="-1" w:type="dxa"/>
              <w:bottom w:w="-1" w:type="dxa"/>
              <w:right w:w="-1" w:type="dxa"/>
            </w:tcMar>
            <w:vAlign w:val="center"/>
          </w:tcPr>
          <w:p w14:paraId="2DF9BDAA"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96.2</w:t>
            </w:r>
          </w:p>
        </w:tc>
      </w:tr>
    </w:tbl>
    <w:p w14:paraId="03961D64" w14:textId="77777777" w:rsidR="0015649B" w:rsidRDefault="0015649B" w:rsidP="0003247A">
      <w:pPr>
        <w:pStyle w:val="BodyText"/>
        <w:snapToGrid w:val="0"/>
        <w:ind w:left="110" w:right="108" w:firstLine="400"/>
        <w:jc w:val="both"/>
        <w:rPr>
          <w:rFonts w:eastAsiaTheme="minorEastAsia"/>
          <w:color w:val="231F20"/>
          <w:sz w:val="24"/>
          <w:szCs w:val="24"/>
          <w:lang w:val="en-US"/>
        </w:rPr>
      </w:pPr>
    </w:p>
    <w:p w14:paraId="2DF9BDAC" w14:textId="211CB2F6"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color w:val="231F20"/>
          <w:sz w:val="24"/>
          <w:szCs w:val="24"/>
          <w:lang w:val="en-US"/>
        </w:rPr>
        <w:t>When comparing urban and rural performance for pertussis timeliness in the final 2024</w:t>
      </w:r>
      <w:r w:rsidR="0015649B">
        <w:rPr>
          <w:rFonts w:eastAsiaTheme="minorEastAsia"/>
          <w:color w:val="231F20"/>
          <w:sz w:val="24"/>
          <w:szCs w:val="24"/>
          <w:lang w:val="en-US"/>
        </w:rPr>
        <w:t>–</w:t>
      </w:r>
      <w:r>
        <w:rPr>
          <w:rFonts w:eastAsiaTheme="minorEastAsia"/>
          <w:color w:val="231F20"/>
          <w:sz w:val="24"/>
          <w:szCs w:val="24"/>
          <w:lang w:val="en-US"/>
        </w:rPr>
        <w:t>2025 period, urban counties achieved a median onset</w:t>
      </w:r>
      <w:r w:rsidR="0015649B">
        <w:rPr>
          <w:rFonts w:eastAsiaTheme="minorEastAsia"/>
          <w:color w:val="231F20"/>
          <w:sz w:val="24"/>
          <w:szCs w:val="24"/>
          <w:lang w:val="en-US"/>
        </w:rPr>
        <w:t>–</w:t>
      </w:r>
      <w:r>
        <w:rPr>
          <w:rFonts w:eastAsiaTheme="minorEastAsia"/>
          <w:color w:val="231F20"/>
          <w:sz w:val="24"/>
          <w:szCs w:val="24"/>
          <w:lang w:val="en-US"/>
        </w:rPr>
        <w:t>to</w:t>
      </w:r>
      <w:r w:rsidR="0015649B">
        <w:rPr>
          <w:rFonts w:eastAsiaTheme="minorEastAsia"/>
          <w:color w:val="231F20"/>
          <w:sz w:val="24"/>
          <w:szCs w:val="24"/>
          <w:lang w:val="en-US"/>
        </w:rPr>
        <w:t>–</w:t>
      </w:r>
      <w:r>
        <w:rPr>
          <w:rFonts w:eastAsiaTheme="minorEastAsia"/>
          <w:color w:val="231F20"/>
          <w:sz w:val="24"/>
          <w:szCs w:val="24"/>
          <w:lang w:val="en-US"/>
        </w:rPr>
        <w:t>reporting interval of 3 days (2</w:t>
      </w:r>
      <w:r w:rsidR="0015649B">
        <w:rPr>
          <w:rFonts w:eastAsiaTheme="minorEastAsia"/>
          <w:color w:val="231F20"/>
          <w:sz w:val="24"/>
          <w:szCs w:val="24"/>
          <w:lang w:val="en-US"/>
        </w:rPr>
        <w:t>–</w:t>
      </w:r>
      <w:r>
        <w:rPr>
          <w:rFonts w:eastAsiaTheme="minorEastAsia"/>
          <w:color w:val="231F20"/>
          <w:sz w:val="24"/>
          <w:szCs w:val="24"/>
          <w:lang w:val="en-US"/>
        </w:rPr>
        <w:t>5 days) versus 6 days (4</w:t>
      </w:r>
      <w:r w:rsidR="0015649B">
        <w:rPr>
          <w:rFonts w:eastAsiaTheme="minorEastAsia"/>
          <w:color w:val="231F20"/>
          <w:sz w:val="24"/>
          <w:szCs w:val="24"/>
          <w:lang w:val="en-US"/>
        </w:rPr>
        <w:t>–</w:t>
      </w:r>
      <w:r>
        <w:rPr>
          <w:rFonts w:eastAsiaTheme="minorEastAsia"/>
          <w:color w:val="231F20"/>
          <w:sz w:val="24"/>
          <w:szCs w:val="24"/>
          <w:lang w:val="en-US"/>
        </w:rPr>
        <w:t xml:space="preserve">9 days) for rural counties (Wilcoxon test </w:t>
      </w:r>
      <w:r>
        <w:rPr>
          <w:rFonts w:eastAsiaTheme="minorEastAsia"/>
          <w:i/>
          <w:iCs/>
          <w:color w:val="231F20"/>
          <w:sz w:val="24"/>
          <w:szCs w:val="24"/>
          <w:lang w:val="en-US"/>
        </w:rPr>
        <w:t>p</w:t>
      </w:r>
      <w:r>
        <w:rPr>
          <w:rFonts w:eastAsiaTheme="minorEastAsia" w:hint="eastAsia"/>
          <w:i/>
          <w:iCs/>
          <w:color w:val="231F20"/>
          <w:sz w:val="24"/>
          <w:szCs w:val="24"/>
          <w:lang w:val="en-US"/>
        </w:rPr>
        <w:t xml:space="preserve"> </w:t>
      </w:r>
      <w:r>
        <w:rPr>
          <w:rFonts w:eastAsiaTheme="minorEastAsia"/>
          <w:color w:val="231F20"/>
          <w:sz w:val="24"/>
          <w:szCs w:val="24"/>
          <w:lang w:val="en-US"/>
        </w:rPr>
        <w:t>&lt;</w:t>
      </w:r>
      <w:r>
        <w:rPr>
          <w:rFonts w:eastAsiaTheme="minorEastAsia" w:hint="eastAsia"/>
          <w:color w:val="231F20"/>
          <w:sz w:val="24"/>
          <w:szCs w:val="24"/>
          <w:lang w:val="en-US"/>
        </w:rPr>
        <w:t xml:space="preserve"> </w:t>
      </w:r>
      <w:r>
        <w:rPr>
          <w:rFonts w:eastAsiaTheme="minorEastAsia"/>
          <w:color w:val="231F20"/>
          <w:sz w:val="24"/>
          <w:szCs w:val="24"/>
          <w:lang w:val="en-US"/>
        </w:rPr>
        <w:t>0.001), a 3</w:t>
      </w:r>
      <w:r w:rsidR="0015649B">
        <w:rPr>
          <w:rFonts w:eastAsiaTheme="minorEastAsia"/>
          <w:color w:val="231F20"/>
          <w:sz w:val="24"/>
          <w:szCs w:val="24"/>
          <w:lang w:val="en-US"/>
        </w:rPr>
        <w:t>–</w:t>
      </w:r>
      <w:r>
        <w:rPr>
          <w:rFonts w:eastAsiaTheme="minorEastAsia"/>
          <w:color w:val="231F20"/>
          <w:sz w:val="24"/>
          <w:szCs w:val="24"/>
          <w:lang w:val="en-US"/>
        </w:rPr>
        <w:t>day differential that persisted after adjusting for age, sex, and seasonal effects in the multivariable negative binomial model, with an adjusted median ratio of 1.82 (95% confidence interval 1.54</w:t>
      </w:r>
      <w:r w:rsidR="0015649B">
        <w:rPr>
          <w:rFonts w:eastAsiaTheme="minorEastAsia"/>
          <w:color w:val="231F20"/>
          <w:sz w:val="24"/>
          <w:szCs w:val="24"/>
          <w:lang w:val="en-US"/>
        </w:rPr>
        <w:t>–</w:t>
      </w:r>
      <w:r>
        <w:rPr>
          <w:rFonts w:eastAsiaTheme="minorEastAsia"/>
          <w:color w:val="231F20"/>
          <w:sz w:val="24"/>
          <w:szCs w:val="24"/>
          <w:lang w:val="en-US"/>
        </w:rPr>
        <w:t>2.15) for rural compared to urban, indicating that rural cases took nearly twice as long to be reported even after accounting for case mix. For meningococcal meningitis, the urban</w:t>
      </w:r>
      <w:r w:rsidR="0015649B">
        <w:rPr>
          <w:rFonts w:eastAsiaTheme="minorEastAsia"/>
          <w:color w:val="231F20"/>
          <w:sz w:val="24"/>
          <w:szCs w:val="24"/>
          <w:lang w:val="en-US"/>
        </w:rPr>
        <w:t>–</w:t>
      </w:r>
      <w:r>
        <w:rPr>
          <w:rFonts w:eastAsiaTheme="minorEastAsia"/>
          <w:color w:val="231F20"/>
          <w:sz w:val="24"/>
          <w:szCs w:val="24"/>
          <w:lang w:val="en-US"/>
        </w:rPr>
        <w:t>rural timeliness gap was smaller but still significant, with medians of 5 days and 8 days</w:t>
      </w:r>
      <w:r w:rsidR="0015649B">
        <w:rPr>
          <w:rFonts w:eastAsiaTheme="minorEastAsia"/>
          <w:color w:val="231F20"/>
          <w:sz w:val="24"/>
          <w:szCs w:val="24"/>
          <w:lang w:val="en-US"/>
        </w:rPr>
        <w:t>,</w:t>
      </w:r>
      <w:r>
        <w:rPr>
          <w:rFonts w:eastAsiaTheme="minorEastAsia"/>
          <w:color w:val="231F20"/>
          <w:sz w:val="24"/>
          <w:szCs w:val="24"/>
          <w:lang w:val="en-US"/>
        </w:rPr>
        <w:t xml:space="preserve"> respectively (adjusted median ratio 1.41, 95% confidence interval 1.12</w:t>
      </w:r>
      <w:r w:rsidR="0015649B">
        <w:rPr>
          <w:rFonts w:eastAsiaTheme="minorEastAsia"/>
          <w:color w:val="231F20"/>
          <w:sz w:val="24"/>
          <w:szCs w:val="24"/>
          <w:lang w:val="en-US"/>
        </w:rPr>
        <w:t>–</w:t>
      </w:r>
      <w:r>
        <w:rPr>
          <w:rFonts w:eastAsiaTheme="minorEastAsia"/>
          <w:color w:val="231F20"/>
          <w:sz w:val="24"/>
          <w:szCs w:val="24"/>
          <w:lang w:val="en-US"/>
        </w:rPr>
        <w:t>1.78), and the gap was most pronounced in the interval from first contact to cerebrospinal fluid collection, which averaged 2 days in urban hospitals but 4 days in rural township facilities, where on</w:t>
      </w:r>
      <w:r w:rsidR="0015649B">
        <w:rPr>
          <w:rFonts w:eastAsiaTheme="minorEastAsia"/>
          <w:color w:val="231F20"/>
          <w:sz w:val="24"/>
          <w:szCs w:val="24"/>
          <w:lang w:val="en-US"/>
        </w:rPr>
        <w:t>–</w:t>
      </w:r>
      <w:r>
        <w:rPr>
          <w:rFonts w:eastAsiaTheme="minorEastAsia"/>
          <w:color w:val="231F20"/>
          <w:sz w:val="24"/>
          <w:szCs w:val="24"/>
          <w:lang w:val="en-US"/>
        </w:rPr>
        <w:t>site lumbar puncture capabilities and immediate laboratory transport are limited.</w:t>
      </w:r>
    </w:p>
    <w:p w14:paraId="2DF9BDAD" w14:textId="2E2BE48E" w:rsidR="00D505D7" w:rsidRDefault="00000000" w:rsidP="00131A7E">
      <w:pPr>
        <w:pStyle w:val="BodyText"/>
        <w:snapToGrid w:val="0"/>
        <w:ind w:left="110" w:right="108" w:firstLine="400"/>
        <w:jc w:val="both"/>
        <w:rPr>
          <w:rFonts w:eastAsiaTheme="minorEastAsia"/>
          <w:color w:val="231F20"/>
          <w:sz w:val="24"/>
          <w:szCs w:val="24"/>
          <w:lang w:val="en-US"/>
        </w:rPr>
      </w:pPr>
      <w:r>
        <w:rPr>
          <w:rFonts w:eastAsiaTheme="minorEastAsia"/>
          <w:b/>
          <w:bCs/>
          <w:color w:val="231F20"/>
          <w:sz w:val="24"/>
          <w:szCs w:val="24"/>
          <w:lang w:val="en-US"/>
        </w:rPr>
        <w:t>Table 3</w:t>
      </w:r>
      <w:r>
        <w:rPr>
          <w:rFonts w:eastAsiaTheme="minorEastAsia"/>
          <w:color w:val="231F20"/>
          <w:sz w:val="24"/>
          <w:szCs w:val="24"/>
          <w:lang w:val="en-US"/>
        </w:rPr>
        <w:t xml:space="preserve"> provides a comparative analysis of surveillance sensitivity and timeliness stratified by diagnostic method, age group, and hospital level, demonstrating that polymerase chain reaction-confirmed pertussis cases had significantly shorter onset-to-reporting intervals (median 4 days) compared to clinically diagnosed cases (median 7 days, </w:t>
      </w:r>
      <w:r>
        <w:rPr>
          <w:rFonts w:eastAsiaTheme="minorEastAsia"/>
          <w:i/>
          <w:iCs/>
          <w:color w:val="231F20"/>
          <w:sz w:val="24"/>
          <w:szCs w:val="24"/>
          <w:lang w:val="en-US"/>
        </w:rPr>
        <w:t>p</w:t>
      </w:r>
      <w:r>
        <w:rPr>
          <w:rFonts w:eastAsiaTheme="minorEastAsia" w:hint="eastAsia"/>
          <w:i/>
          <w:iCs/>
          <w:color w:val="231F20"/>
          <w:sz w:val="24"/>
          <w:szCs w:val="24"/>
          <w:lang w:val="en-US"/>
        </w:rPr>
        <w:t xml:space="preserve"> </w:t>
      </w:r>
      <w:r>
        <w:rPr>
          <w:rFonts w:eastAsiaTheme="minorEastAsia"/>
          <w:color w:val="231F20"/>
          <w:sz w:val="24"/>
          <w:szCs w:val="24"/>
          <w:lang w:val="en-US"/>
        </w:rPr>
        <w:t>&lt;</w:t>
      </w:r>
      <w:r>
        <w:rPr>
          <w:rFonts w:eastAsiaTheme="minorEastAsia" w:hint="eastAsia"/>
          <w:color w:val="231F20"/>
          <w:sz w:val="24"/>
          <w:szCs w:val="24"/>
          <w:lang w:val="en-US"/>
        </w:rPr>
        <w:t xml:space="preserve"> </w:t>
      </w:r>
      <w:r>
        <w:rPr>
          <w:rFonts w:eastAsiaTheme="minorEastAsia"/>
          <w:color w:val="231F20"/>
          <w:sz w:val="24"/>
          <w:szCs w:val="24"/>
          <w:lang w:val="en-US"/>
        </w:rPr>
        <w:t xml:space="preserve">0.001), but that the sensitivity for polymerase chain reaction-positive cases was actually lower (64.2%) than for clinically diagnosed cases (72.8%) because a large proportion of polymerase chain reaction tests are ordered only for </w:t>
      </w:r>
      <w:r w:rsidR="0015649B">
        <w:rPr>
          <w:rFonts w:eastAsiaTheme="minorEastAsia"/>
          <w:color w:val="231F20"/>
          <w:sz w:val="24"/>
          <w:szCs w:val="24"/>
          <w:lang w:val="en-US"/>
        </w:rPr>
        <w:t>hospitalized</w:t>
      </w:r>
      <w:r>
        <w:rPr>
          <w:rFonts w:eastAsiaTheme="minorEastAsia"/>
          <w:color w:val="231F20"/>
          <w:sz w:val="24"/>
          <w:szCs w:val="24"/>
          <w:lang w:val="en-US"/>
        </w:rPr>
        <w:t xml:space="preserve"> patients, missing milder outpatient cases that are clinically </w:t>
      </w:r>
      <w:r w:rsidR="0015649B">
        <w:rPr>
          <w:rFonts w:eastAsiaTheme="minorEastAsia"/>
          <w:color w:val="231F20"/>
          <w:sz w:val="24"/>
          <w:szCs w:val="24"/>
          <w:lang w:val="en-US"/>
        </w:rPr>
        <w:t>recognized</w:t>
      </w:r>
      <w:r>
        <w:rPr>
          <w:rFonts w:eastAsiaTheme="minorEastAsia"/>
          <w:color w:val="231F20"/>
          <w:sz w:val="24"/>
          <w:szCs w:val="24"/>
          <w:lang w:val="en-US"/>
        </w:rPr>
        <w:t xml:space="preserve"> but not microbiologically confirmed. Infants under 12 months of age had the highest sensitivity for pertussis at 79.5%, likely due to more severe disease and mandatory </w:t>
      </w:r>
      <w:r w:rsidR="0015649B">
        <w:rPr>
          <w:rFonts w:eastAsiaTheme="minorEastAsia"/>
          <w:color w:val="231F20"/>
          <w:sz w:val="24"/>
          <w:szCs w:val="24"/>
          <w:lang w:val="en-US"/>
        </w:rPr>
        <w:t>hospitalization</w:t>
      </w:r>
      <w:r>
        <w:rPr>
          <w:rFonts w:eastAsiaTheme="minorEastAsia"/>
          <w:color w:val="231F20"/>
          <w:sz w:val="24"/>
          <w:szCs w:val="24"/>
          <w:lang w:val="en-US"/>
        </w:rPr>
        <w:t>, while adolescents aged 10</w:t>
      </w:r>
      <w:r w:rsidR="0015649B">
        <w:rPr>
          <w:rFonts w:eastAsiaTheme="minorEastAsia"/>
          <w:color w:val="231F20"/>
          <w:sz w:val="24"/>
          <w:szCs w:val="24"/>
          <w:lang w:val="en-US"/>
        </w:rPr>
        <w:t>–</w:t>
      </w:r>
      <w:r>
        <w:rPr>
          <w:rFonts w:eastAsiaTheme="minorEastAsia"/>
          <w:color w:val="231F20"/>
          <w:sz w:val="24"/>
          <w:szCs w:val="24"/>
          <w:lang w:val="en-US"/>
        </w:rPr>
        <w:t>19 years had the lowest sensitivity at 52.3%, reflecting mild or atypical presentations that do not prompt diagnostic testing or reporting. For meningococcal meningitis, the sensitivity was uniformly high across age groups, ranging from 78.9% to 86.4%, but the timeliness was markedly worse for adults over 40 years, with a median onset-to-reporting of 9 days compared to 5 days for children under 5 years, because adults often present with non-specific prodromal symptoms and are admitted to general medicine wards where meningitis is not initially suspected, delaying both lumbar puncture and notification. Tertiary hospitals demonstrated superior timeliness for both diseases, with pertussis reporting intervals of 3 days and meningitis intervals of 5 days</w:t>
      </w:r>
      <w:r w:rsidR="0015649B">
        <w:rPr>
          <w:rFonts w:eastAsiaTheme="minorEastAsia"/>
          <w:color w:val="231F20"/>
          <w:sz w:val="24"/>
          <w:szCs w:val="24"/>
          <w:lang w:val="en-US"/>
        </w:rPr>
        <w:t>. In contrast, secondary hospitals and primary health centers had intervals of 6 days and 9 days, respectively. The</w:t>
      </w:r>
      <w:r>
        <w:rPr>
          <w:rFonts w:eastAsiaTheme="minorEastAsia"/>
          <w:color w:val="231F20"/>
          <w:sz w:val="24"/>
          <w:szCs w:val="24"/>
          <w:lang w:val="en-US"/>
        </w:rPr>
        <w:t xml:space="preserve"> sensitivity gap between tertiary and primary facilities was 18.5 percentage points for pertussis and 9.2 percentage points for meningitis, highlighting the central role of hospital level in overall surveillance performance. The multivariable analysis further identified that cases reported during the winter season had a 1.4-day longer timeliness for meningococcal meningitis (</w:t>
      </w:r>
      <w:r>
        <w:rPr>
          <w:rFonts w:eastAsiaTheme="minorEastAsia"/>
          <w:i/>
          <w:iCs/>
          <w:color w:val="231F20"/>
          <w:sz w:val="24"/>
          <w:szCs w:val="24"/>
          <w:lang w:val="en-US"/>
        </w:rPr>
        <w:t>p</w:t>
      </w:r>
      <w:r w:rsidR="0015649B">
        <w:rPr>
          <w:rFonts w:eastAsiaTheme="minorEastAsia"/>
          <w:i/>
          <w:iCs/>
          <w:color w:val="231F20"/>
          <w:sz w:val="24"/>
          <w:szCs w:val="24"/>
          <w:lang w:val="en-US"/>
        </w:rPr>
        <w:t xml:space="preserve"> </w:t>
      </w:r>
      <w:r>
        <w:rPr>
          <w:rFonts w:eastAsiaTheme="minorEastAsia"/>
          <w:color w:val="231F20"/>
          <w:sz w:val="24"/>
          <w:szCs w:val="24"/>
          <w:lang w:val="en-US"/>
        </w:rPr>
        <w:t>=</w:t>
      </w:r>
      <w:r w:rsidR="0015649B">
        <w:rPr>
          <w:rFonts w:eastAsiaTheme="minorEastAsia"/>
          <w:color w:val="231F20"/>
          <w:sz w:val="24"/>
          <w:szCs w:val="24"/>
          <w:lang w:val="en-US"/>
        </w:rPr>
        <w:t xml:space="preserve"> </w:t>
      </w:r>
      <w:r>
        <w:rPr>
          <w:rFonts w:eastAsiaTheme="minorEastAsia"/>
          <w:color w:val="231F20"/>
          <w:sz w:val="24"/>
          <w:szCs w:val="24"/>
          <w:lang w:val="en-US"/>
        </w:rPr>
        <w:t>0.038), possibly due to increased caseloads and laboratory batching, while no significant seasonal effect was observed for pertussis after adjusting for the secular trend.</w:t>
      </w:r>
    </w:p>
    <w:p w14:paraId="2DF9BDAE" w14:textId="77777777" w:rsidR="00D505D7" w:rsidRDefault="00D505D7" w:rsidP="00131A7E">
      <w:pPr>
        <w:pStyle w:val="BodyText"/>
        <w:snapToGrid w:val="0"/>
        <w:ind w:left="110" w:right="108" w:firstLine="400"/>
        <w:jc w:val="both"/>
        <w:rPr>
          <w:rFonts w:eastAsiaTheme="minorEastAsia"/>
          <w:color w:val="231F20"/>
          <w:sz w:val="24"/>
          <w:szCs w:val="24"/>
          <w:lang w:val="en-US"/>
        </w:rPr>
      </w:pPr>
    </w:p>
    <w:p w14:paraId="2DF9BDAF" w14:textId="64EBDFC5" w:rsidR="00D505D7" w:rsidRDefault="00000000" w:rsidP="00131A7E">
      <w:pPr>
        <w:pStyle w:val="BodyText"/>
        <w:snapToGrid w:val="0"/>
        <w:ind w:right="108"/>
        <w:jc w:val="both"/>
        <w:rPr>
          <w:rFonts w:eastAsiaTheme="minorEastAsia"/>
          <w:color w:val="231F20"/>
          <w:sz w:val="24"/>
          <w:szCs w:val="24"/>
          <w:lang w:val="en-US"/>
        </w:rPr>
      </w:pPr>
      <w:r>
        <w:rPr>
          <w:rFonts w:eastAsiaTheme="minorEastAsia"/>
          <w:b/>
          <w:bCs/>
          <w:color w:val="231F20"/>
          <w:sz w:val="24"/>
          <w:szCs w:val="24"/>
          <w:lang w:val="en-US"/>
        </w:rPr>
        <w:lastRenderedPageBreak/>
        <w:t xml:space="preserve">Table 3. </w:t>
      </w:r>
      <w:r>
        <w:rPr>
          <w:rFonts w:eastAsiaTheme="minorEastAsia"/>
          <w:color w:val="231F20"/>
          <w:sz w:val="24"/>
          <w:szCs w:val="24"/>
          <w:lang w:val="en-US"/>
        </w:rPr>
        <w:t xml:space="preserve">Sensitivity and </w:t>
      </w:r>
      <w:r>
        <w:rPr>
          <w:rFonts w:eastAsiaTheme="minorEastAsia" w:hint="eastAsia"/>
          <w:color w:val="231F20"/>
          <w:sz w:val="24"/>
          <w:szCs w:val="24"/>
          <w:lang w:val="en-US"/>
        </w:rPr>
        <w:t>o</w:t>
      </w:r>
      <w:r>
        <w:rPr>
          <w:rFonts w:eastAsiaTheme="minorEastAsia"/>
          <w:color w:val="231F20"/>
          <w:sz w:val="24"/>
          <w:szCs w:val="24"/>
          <w:lang w:val="en-US"/>
        </w:rPr>
        <w:t>nset-to-</w:t>
      </w:r>
      <w:r>
        <w:rPr>
          <w:rFonts w:eastAsiaTheme="minorEastAsia" w:hint="eastAsia"/>
          <w:color w:val="231F20"/>
          <w:sz w:val="24"/>
          <w:szCs w:val="24"/>
          <w:lang w:val="en-US"/>
        </w:rPr>
        <w:t>r</w:t>
      </w:r>
      <w:r>
        <w:rPr>
          <w:rFonts w:eastAsiaTheme="minorEastAsia"/>
          <w:color w:val="231F20"/>
          <w:sz w:val="24"/>
          <w:szCs w:val="24"/>
          <w:lang w:val="en-US"/>
        </w:rPr>
        <w:t xml:space="preserve">eport </w:t>
      </w:r>
      <w:r>
        <w:rPr>
          <w:rFonts w:eastAsiaTheme="minorEastAsia" w:hint="eastAsia"/>
          <w:color w:val="231F20"/>
          <w:sz w:val="24"/>
          <w:szCs w:val="24"/>
          <w:lang w:val="en-US"/>
        </w:rPr>
        <w:t>t</w:t>
      </w:r>
      <w:r>
        <w:rPr>
          <w:rFonts w:eastAsiaTheme="minorEastAsia"/>
          <w:color w:val="231F20"/>
          <w:sz w:val="24"/>
          <w:szCs w:val="24"/>
          <w:lang w:val="en-US"/>
        </w:rPr>
        <w:t xml:space="preserve">imeliness by </w:t>
      </w:r>
      <w:r>
        <w:rPr>
          <w:rFonts w:eastAsiaTheme="minorEastAsia" w:hint="eastAsia"/>
          <w:color w:val="231F20"/>
          <w:sz w:val="24"/>
          <w:szCs w:val="24"/>
          <w:lang w:val="en-US"/>
        </w:rPr>
        <w:t>d</w:t>
      </w:r>
      <w:r>
        <w:rPr>
          <w:rFonts w:eastAsiaTheme="minorEastAsia"/>
          <w:color w:val="231F20"/>
          <w:sz w:val="24"/>
          <w:szCs w:val="24"/>
          <w:lang w:val="en-US"/>
        </w:rPr>
        <w:t xml:space="preserve">iagnostic </w:t>
      </w:r>
      <w:r>
        <w:rPr>
          <w:rFonts w:eastAsiaTheme="minorEastAsia" w:hint="eastAsia"/>
          <w:color w:val="231F20"/>
          <w:sz w:val="24"/>
          <w:szCs w:val="24"/>
          <w:lang w:val="en-US"/>
        </w:rPr>
        <w:t>m</w:t>
      </w:r>
      <w:r>
        <w:rPr>
          <w:rFonts w:eastAsiaTheme="minorEastAsia"/>
          <w:color w:val="231F20"/>
          <w:sz w:val="24"/>
          <w:szCs w:val="24"/>
          <w:lang w:val="en-US"/>
        </w:rPr>
        <w:t xml:space="preserve">ethod, </w:t>
      </w:r>
      <w:r>
        <w:rPr>
          <w:rFonts w:eastAsiaTheme="minorEastAsia" w:hint="eastAsia"/>
          <w:color w:val="231F20"/>
          <w:sz w:val="24"/>
          <w:szCs w:val="24"/>
          <w:lang w:val="en-US"/>
        </w:rPr>
        <w:t>a</w:t>
      </w:r>
      <w:r>
        <w:rPr>
          <w:rFonts w:eastAsiaTheme="minorEastAsia"/>
          <w:color w:val="231F20"/>
          <w:sz w:val="24"/>
          <w:szCs w:val="24"/>
          <w:lang w:val="en-US"/>
        </w:rPr>
        <w:t xml:space="preserve">ge </w:t>
      </w:r>
      <w:r>
        <w:rPr>
          <w:rFonts w:eastAsiaTheme="minorEastAsia" w:hint="eastAsia"/>
          <w:color w:val="231F20"/>
          <w:sz w:val="24"/>
          <w:szCs w:val="24"/>
          <w:lang w:val="en-US"/>
        </w:rPr>
        <w:t>g</w:t>
      </w:r>
      <w:r>
        <w:rPr>
          <w:rFonts w:eastAsiaTheme="minorEastAsia"/>
          <w:color w:val="231F20"/>
          <w:sz w:val="24"/>
          <w:szCs w:val="24"/>
          <w:lang w:val="en-US"/>
        </w:rPr>
        <w:t xml:space="preserve">roup, and </w:t>
      </w:r>
      <w:r>
        <w:rPr>
          <w:rFonts w:eastAsiaTheme="minorEastAsia" w:hint="eastAsia"/>
          <w:color w:val="231F20"/>
          <w:sz w:val="24"/>
          <w:szCs w:val="24"/>
          <w:lang w:val="en-US"/>
        </w:rPr>
        <w:t>h</w:t>
      </w:r>
      <w:r>
        <w:rPr>
          <w:rFonts w:eastAsiaTheme="minorEastAsia"/>
          <w:color w:val="231F20"/>
          <w:sz w:val="24"/>
          <w:szCs w:val="24"/>
          <w:lang w:val="en-US"/>
        </w:rPr>
        <w:t xml:space="preserve">ospital </w:t>
      </w:r>
      <w:r>
        <w:rPr>
          <w:rFonts w:eastAsiaTheme="minorEastAsia" w:hint="eastAsia"/>
          <w:color w:val="231F20"/>
          <w:sz w:val="24"/>
          <w:szCs w:val="24"/>
          <w:lang w:val="en-US"/>
        </w:rPr>
        <w:t>l</w:t>
      </w:r>
      <w:r>
        <w:rPr>
          <w:rFonts w:eastAsiaTheme="minorEastAsia"/>
          <w:color w:val="231F20"/>
          <w:sz w:val="24"/>
          <w:szCs w:val="24"/>
          <w:lang w:val="en-US"/>
        </w:rPr>
        <w:t>evel (2024</w:t>
      </w:r>
      <w:r w:rsidR="0053033D">
        <w:rPr>
          <w:rFonts w:eastAsiaTheme="minorEastAsia"/>
          <w:color w:val="231F20"/>
          <w:sz w:val="24"/>
          <w:szCs w:val="24"/>
          <w:lang w:val="en-US"/>
        </w:rPr>
        <w:t>–</w:t>
      </w:r>
      <w:r>
        <w:rPr>
          <w:rFonts w:eastAsiaTheme="minorEastAsia"/>
          <w:color w:val="231F20"/>
          <w:sz w:val="24"/>
          <w:szCs w:val="24"/>
          <w:lang w:val="en-US"/>
        </w:rPr>
        <w:t>2025)</w:t>
      </w:r>
    </w:p>
    <w:tbl>
      <w:tblPr>
        <w:tblStyle w:val="TableGrid"/>
        <w:tblW w:w="5106"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361"/>
        <w:gridCol w:w="2576"/>
        <w:gridCol w:w="1425"/>
        <w:gridCol w:w="1588"/>
        <w:gridCol w:w="1464"/>
        <w:gridCol w:w="1780"/>
      </w:tblGrid>
      <w:tr w:rsidR="00D505D7" w:rsidRPr="00131A7E" w14:paraId="2DF9BDC1" w14:textId="77777777" w:rsidTr="00131A7E">
        <w:trPr>
          <w:tblHeader/>
          <w:jc w:val="center"/>
        </w:trPr>
        <w:tc>
          <w:tcPr>
            <w:tcW w:w="667" w:type="pct"/>
            <w:tcBorders>
              <w:top w:val="single" w:sz="4" w:space="0" w:color="auto"/>
              <w:left w:val="nil"/>
              <w:bottom w:val="nil"/>
              <w:right w:val="nil"/>
            </w:tcBorders>
            <w:tcMar>
              <w:top w:w="-1" w:type="dxa"/>
              <w:left w:w="-1" w:type="dxa"/>
              <w:bottom w:w="-1" w:type="dxa"/>
              <w:right w:w="-1" w:type="dxa"/>
            </w:tcMar>
            <w:vAlign w:val="center"/>
          </w:tcPr>
          <w:p w14:paraId="2DF9BDBB" w14:textId="77777777" w:rsidR="00D505D7" w:rsidRPr="00131A7E" w:rsidRDefault="00000000" w:rsidP="00131A7E">
            <w:pPr>
              <w:pStyle w:val="BodyText"/>
              <w:snapToGrid w:val="0"/>
              <w:rPr>
                <w:rFonts w:eastAsiaTheme="minorEastAsia"/>
                <w:b/>
                <w:bCs/>
                <w:color w:val="231F20"/>
                <w:sz w:val="24"/>
                <w:szCs w:val="24"/>
                <w:lang w:val="en-US"/>
              </w:rPr>
            </w:pPr>
            <w:r w:rsidRPr="00131A7E">
              <w:rPr>
                <w:rFonts w:eastAsiaTheme="minorEastAsia"/>
                <w:b/>
                <w:bCs/>
                <w:color w:val="231F20"/>
                <w:sz w:val="24"/>
                <w:szCs w:val="24"/>
                <w:lang w:val="en-US"/>
              </w:rPr>
              <w:t>Stratum</w:t>
            </w:r>
          </w:p>
        </w:tc>
        <w:tc>
          <w:tcPr>
            <w:tcW w:w="1262" w:type="pct"/>
            <w:tcBorders>
              <w:top w:val="single" w:sz="4" w:space="0" w:color="auto"/>
              <w:left w:val="nil"/>
              <w:bottom w:val="nil"/>
              <w:right w:val="nil"/>
            </w:tcBorders>
            <w:tcMar>
              <w:top w:w="-1" w:type="dxa"/>
              <w:left w:w="-1" w:type="dxa"/>
              <w:bottom w:w="-1" w:type="dxa"/>
              <w:right w:w="-1" w:type="dxa"/>
            </w:tcMar>
            <w:vAlign w:val="center"/>
          </w:tcPr>
          <w:p w14:paraId="2DF9BDBC" w14:textId="77777777" w:rsidR="00D505D7" w:rsidRPr="00131A7E" w:rsidRDefault="00000000" w:rsidP="00131A7E">
            <w:pPr>
              <w:pStyle w:val="BodyText"/>
              <w:snapToGrid w:val="0"/>
              <w:jc w:val="center"/>
              <w:rPr>
                <w:rFonts w:eastAsiaTheme="minorEastAsia"/>
                <w:b/>
                <w:bCs/>
                <w:color w:val="231F20"/>
                <w:sz w:val="24"/>
                <w:szCs w:val="24"/>
                <w:lang w:val="en-US"/>
              </w:rPr>
            </w:pPr>
            <w:r w:rsidRPr="00131A7E">
              <w:rPr>
                <w:rFonts w:eastAsiaTheme="minorEastAsia"/>
                <w:b/>
                <w:bCs/>
                <w:color w:val="231F20"/>
                <w:sz w:val="24"/>
                <w:szCs w:val="24"/>
                <w:lang w:val="en-US"/>
              </w:rPr>
              <w:t>Subgroup</w:t>
            </w:r>
          </w:p>
        </w:tc>
        <w:tc>
          <w:tcPr>
            <w:tcW w:w="699" w:type="pct"/>
            <w:tcBorders>
              <w:top w:val="single" w:sz="4" w:space="0" w:color="auto"/>
              <w:left w:val="nil"/>
              <w:bottom w:val="nil"/>
              <w:right w:val="nil"/>
            </w:tcBorders>
            <w:tcMar>
              <w:top w:w="-1" w:type="dxa"/>
              <w:left w:w="-1" w:type="dxa"/>
              <w:bottom w:w="-1" w:type="dxa"/>
              <w:right w:w="-1" w:type="dxa"/>
            </w:tcMar>
            <w:vAlign w:val="center"/>
          </w:tcPr>
          <w:p w14:paraId="2DF9BDBD" w14:textId="77777777" w:rsidR="00D505D7" w:rsidRPr="00131A7E" w:rsidRDefault="00000000" w:rsidP="00131A7E">
            <w:pPr>
              <w:pStyle w:val="BodyText"/>
              <w:snapToGrid w:val="0"/>
              <w:jc w:val="center"/>
              <w:rPr>
                <w:rFonts w:eastAsiaTheme="minorEastAsia"/>
                <w:b/>
                <w:bCs/>
                <w:color w:val="231F20"/>
                <w:sz w:val="24"/>
                <w:szCs w:val="24"/>
                <w:lang w:val="en-US"/>
              </w:rPr>
            </w:pPr>
            <w:r w:rsidRPr="00131A7E">
              <w:rPr>
                <w:rFonts w:eastAsiaTheme="minorEastAsia"/>
                <w:b/>
                <w:bCs/>
                <w:color w:val="231F20"/>
                <w:sz w:val="24"/>
                <w:szCs w:val="24"/>
                <w:lang w:val="en-US"/>
              </w:rPr>
              <w:t>Pertussis Sensitivity (%)</w:t>
            </w:r>
          </w:p>
        </w:tc>
        <w:tc>
          <w:tcPr>
            <w:tcW w:w="779" w:type="pct"/>
            <w:tcBorders>
              <w:top w:val="single" w:sz="4" w:space="0" w:color="auto"/>
              <w:left w:val="nil"/>
              <w:bottom w:val="nil"/>
              <w:right w:val="nil"/>
            </w:tcBorders>
            <w:tcMar>
              <w:top w:w="-1" w:type="dxa"/>
              <w:left w:w="-1" w:type="dxa"/>
              <w:bottom w:w="-1" w:type="dxa"/>
              <w:right w:w="-1" w:type="dxa"/>
            </w:tcMar>
            <w:vAlign w:val="center"/>
          </w:tcPr>
          <w:p w14:paraId="2DF9BDBE" w14:textId="77777777" w:rsidR="00D505D7" w:rsidRPr="00131A7E" w:rsidRDefault="00000000" w:rsidP="00131A7E">
            <w:pPr>
              <w:pStyle w:val="BodyText"/>
              <w:snapToGrid w:val="0"/>
              <w:jc w:val="center"/>
              <w:rPr>
                <w:rFonts w:eastAsiaTheme="minorEastAsia"/>
                <w:b/>
                <w:bCs/>
                <w:color w:val="231F20"/>
                <w:sz w:val="24"/>
                <w:szCs w:val="24"/>
                <w:lang w:val="en-US"/>
              </w:rPr>
            </w:pPr>
            <w:r w:rsidRPr="00131A7E">
              <w:rPr>
                <w:rFonts w:eastAsiaTheme="minorEastAsia"/>
                <w:b/>
                <w:bCs/>
                <w:color w:val="231F20"/>
                <w:sz w:val="24"/>
                <w:szCs w:val="24"/>
                <w:lang w:val="en-US"/>
              </w:rPr>
              <w:t>Pertussis Onset-to-Report Median Days (IQR)</w:t>
            </w:r>
          </w:p>
        </w:tc>
        <w:tc>
          <w:tcPr>
            <w:tcW w:w="718" w:type="pct"/>
            <w:tcBorders>
              <w:top w:val="single" w:sz="4" w:space="0" w:color="auto"/>
              <w:left w:val="nil"/>
              <w:bottom w:val="nil"/>
              <w:right w:val="nil"/>
            </w:tcBorders>
            <w:tcMar>
              <w:top w:w="-1" w:type="dxa"/>
              <w:left w:w="-1" w:type="dxa"/>
              <w:bottom w:w="-1" w:type="dxa"/>
              <w:right w:w="-1" w:type="dxa"/>
            </w:tcMar>
            <w:vAlign w:val="center"/>
          </w:tcPr>
          <w:p w14:paraId="2DF9BDBF" w14:textId="77777777" w:rsidR="00D505D7" w:rsidRPr="00131A7E" w:rsidRDefault="00000000" w:rsidP="00131A7E">
            <w:pPr>
              <w:pStyle w:val="BodyText"/>
              <w:snapToGrid w:val="0"/>
              <w:jc w:val="center"/>
              <w:rPr>
                <w:rFonts w:eastAsiaTheme="minorEastAsia"/>
                <w:b/>
                <w:bCs/>
                <w:color w:val="231F20"/>
                <w:sz w:val="24"/>
                <w:szCs w:val="24"/>
                <w:lang w:val="en-US"/>
              </w:rPr>
            </w:pPr>
            <w:r w:rsidRPr="00131A7E">
              <w:rPr>
                <w:rFonts w:eastAsiaTheme="minorEastAsia"/>
                <w:b/>
                <w:bCs/>
                <w:color w:val="231F20"/>
                <w:sz w:val="24"/>
                <w:szCs w:val="24"/>
                <w:lang w:val="en-US"/>
              </w:rPr>
              <w:t>Meningitis Sensitivity (%)</w:t>
            </w:r>
          </w:p>
        </w:tc>
        <w:tc>
          <w:tcPr>
            <w:tcW w:w="872" w:type="pct"/>
            <w:tcBorders>
              <w:top w:val="single" w:sz="4" w:space="0" w:color="auto"/>
              <w:left w:val="nil"/>
              <w:bottom w:val="nil"/>
              <w:right w:val="nil"/>
            </w:tcBorders>
            <w:tcMar>
              <w:top w:w="-1" w:type="dxa"/>
              <w:left w:w="-1" w:type="dxa"/>
              <w:bottom w:w="-1" w:type="dxa"/>
              <w:right w:w="-1" w:type="dxa"/>
            </w:tcMar>
            <w:vAlign w:val="center"/>
          </w:tcPr>
          <w:p w14:paraId="2DF9BDC0" w14:textId="77777777" w:rsidR="00D505D7" w:rsidRPr="00131A7E" w:rsidRDefault="00000000" w:rsidP="00131A7E">
            <w:pPr>
              <w:pStyle w:val="BodyText"/>
              <w:snapToGrid w:val="0"/>
              <w:jc w:val="center"/>
              <w:rPr>
                <w:rFonts w:eastAsiaTheme="minorEastAsia"/>
                <w:b/>
                <w:bCs/>
                <w:color w:val="231F20"/>
                <w:sz w:val="24"/>
                <w:szCs w:val="24"/>
                <w:lang w:val="en-US"/>
              </w:rPr>
            </w:pPr>
            <w:r w:rsidRPr="00131A7E">
              <w:rPr>
                <w:rFonts w:eastAsiaTheme="minorEastAsia"/>
                <w:b/>
                <w:bCs/>
                <w:color w:val="231F20"/>
                <w:sz w:val="24"/>
                <w:szCs w:val="24"/>
                <w:lang w:val="en-US"/>
              </w:rPr>
              <w:t>Meningitis Onset-to-Report Median Days (IQR)</w:t>
            </w:r>
          </w:p>
        </w:tc>
      </w:tr>
      <w:tr w:rsidR="00D505D7" w14:paraId="2DF9BDC8" w14:textId="77777777">
        <w:trPr>
          <w:tblHeader/>
          <w:jc w:val="center"/>
        </w:trPr>
        <w:tc>
          <w:tcPr>
            <w:tcW w:w="667" w:type="pct"/>
            <w:vMerge w:val="restart"/>
            <w:tcBorders>
              <w:top w:val="single" w:sz="4" w:space="0" w:color="auto"/>
              <w:left w:val="nil"/>
              <w:bottom w:val="nil"/>
              <w:right w:val="nil"/>
            </w:tcBorders>
            <w:tcMar>
              <w:top w:w="-1" w:type="dxa"/>
              <w:left w:w="-1" w:type="dxa"/>
              <w:bottom w:w="-1" w:type="dxa"/>
              <w:right w:w="-1" w:type="dxa"/>
            </w:tcMar>
            <w:vAlign w:val="center"/>
          </w:tcPr>
          <w:p w14:paraId="2DF9BDC2" w14:textId="47F46DA5"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 xml:space="preserve">Diagnostic </w:t>
            </w:r>
            <w:r w:rsidR="00304E85">
              <w:rPr>
                <w:rFonts w:eastAsiaTheme="minorEastAsia"/>
                <w:color w:val="231F20"/>
                <w:sz w:val="24"/>
                <w:szCs w:val="24"/>
                <w:lang w:val="en-US"/>
              </w:rPr>
              <w:t>method</w:t>
            </w:r>
          </w:p>
        </w:tc>
        <w:tc>
          <w:tcPr>
            <w:tcW w:w="1262" w:type="pct"/>
            <w:tcBorders>
              <w:top w:val="single" w:sz="4" w:space="0" w:color="auto"/>
              <w:left w:val="nil"/>
              <w:bottom w:val="nil"/>
              <w:right w:val="nil"/>
            </w:tcBorders>
            <w:tcMar>
              <w:top w:w="-1" w:type="dxa"/>
              <w:left w:w="-1" w:type="dxa"/>
              <w:bottom w:w="-1" w:type="dxa"/>
              <w:right w:w="-1" w:type="dxa"/>
            </w:tcMar>
            <w:vAlign w:val="center"/>
          </w:tcPr>
          <w:p w14:paraId="2DF9BDC3" w14:textId="071F2E0F"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PCR</w:t>
            </w:r>
            <w:r w:rsidR="00304E85">
              <w:rPr>
                <w:rFonts w:eastAsiaTheme="minorEastAsia"/>
                <w:color w:val="231F20"/>
                <w:sz w:val="24"/>
                <w:szCs w:val="24"/>
                <w:lang w:val="en-US"/>
              </w:rPr>
              <w:t>–</w:t>
            </w:r>
            <w:r>
              <w:rPr>
                <w:rFonts w:eastAsiaTheme="minorEastAsia"/>
                <w:color w:val="231F20"/>
                <w:sz w:val="24"/>
                <w:szCs w:val="24"/>
                <w:lang w:val="en-US"/>
              </w:rPr>
              <w:t>Confirmed</w:t>
            </w:r>
          </w:p>
        </w:tc>
        <w:tc>
          <w:tcPr>
            <w:tcW w:w="699" w:type="pct"/>
            <w:tcBorders>
              <w:top w:val="single" w:sz="4" w:space="0" w:color="auto"/>
              <w:left w:val="nil"/>
              <w:bottom w:val="nil"/>
              <w:right w:val="nil"/>
            </w:tcBorders>
            <w:tcMar>
              <w:top w:w="-1" w:type="dxa"/>
              <w:left w:w="-1" w:type="dxa"/>
              <w:bottom w:w="-1" w:type="dxa"/>
              <w:right w:w="-1" w:type="dxa"/>
            </w:tcMar>
            <w:vAlign w:val="center"/>
          </w:tcPr>
          <w:p w14:paraId="2DF9BDC4"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64.2</w:t>
            </w:r>
          </w:p>
        </w:tc>
        <w:tc>
          <w:tcPr>
            <w:tcW w:w="779" w:type="pct"/>
            <w:tcBorders>
              <w:top w:val="single" w:sz="4" w:space="0" w:color="auto"/>
              <w:left w:val="nil"/>
              <w:bottom w:val="nil"/>
              <w:right w:val="nil"/>
            </w:tcBorders>
            <w:tcMar>
              <w:top w:w="-1" w:type="dxa"/>
              <w:left w:w="-1" w:type="dxa"/>
              <w:bottom w:w="-1" w:type="dxa"/>
              <w:right w:w="-1" w:type="dxa"/>
            </w:tcMar>
            <w:vAlign w:val="center"/>
          </w:tcPr>
          <w:p w14:paraId="2DF9BDC5" w14:textId="5236A421"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 (2</w:t>
            </w:r>
            <w:r w:rsidR="00304E85">
              <w:rPr>
                <w:rFonts w:eastAsiaTheme="minorEastAsia"/>
                <w:color w:val="231F20"/>
                <w:sz w:val="24"/>
                <w:szCs w:val="24"/>
                <w:lang w:val="en-US"/>
              </w:rPr>
              <w:t>–</w:t>
            </w:r>
            <w:r>
              <w:rPr>
                <w:rFonts w:eastAsiaTheme="minorEastAsia"/>
                <w:color w:val="231F20"/>
                <w:sz w:val="24"/>
                <w:szCs w:val="24"/>
                <w:lang w:val="en-US"/>
              </w:rPr>
              <w:t>6)</w:t>
            </w:r>
          </w:p>
        </w:tc>
        <w:tc>
          <w:tcPr>
            <w:tcW w:w="718" w:type="pct"/>
            <w:tcBorders>
              <w:top w:val="single" w:sz="4" w:space="0" w:color="auto"/>
              <w:left w:val="nil"/>
              <w:bottom w:val="nil"/>
              <w:right w:val="nil"/>
            </w:tcBorders>
            <w:tcMar>
              <w:top w:w="-1" w:type="dxa"/>
              <w:left w:w="-1" w:type="dxa"/>
              <w:bottom w:w="-1" w:type="dxa"/>
              <w:right w:w="-1" w:type="dxa"/>
            </w:tcMar>
            <w:vAlign w:val="center"/>
          </w:tcPr>
          <w:p w14:paraId="2DF9BDC6"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83.7</w:t>
            </w:r>
          </w:p>
        </w:tc>
        <w:tc>
          <w:tcPr>
            <w:tcW w:w="872" w:type="pct"/>
            <w:tcBorders>
              <w:top w:val="single" w:sz="4" w:space="0" w:color="auto"/>
              <w:left w:val="nil"/>
              <w:bottom w:val="nil"/>
              <w:right w:val="nil"/>
            </w:tcBorders>
            <w:tcMar>
              <w:top w:w="-1" w:type="dxa"/>
              <w:left w:w="-1" w:type="dxa"/>
              <w:bottom w:w="-1" w:type="dxa"/>
              <w:right w:w="-1" w:type="dxa"/>
            </w:tcMar>
            <w:vAlign w:val="center"/>
          </w:tcPr>
          <w:p w14:paraId="2DF9BDC7" w14:textId="1543660D"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 (5</w:t>
            </w:r>
            <w:r w:rsidR="00304E85">
              <w:rPr>
                <w:rFonts w:eastAsiaTheme="minorEastAsia"/>
                <w:color w:val="231F20"/>
                <w:sz w:val="24"/>
                <w:szCs w:val="24"/>
                <w:lang w:val="en-US"/>
              </w:rPr>
              <w:t>–</w:t>
            </w:r>
            <w:r>
              <w:rPr>
                <w:rFonts w:eastAsiaTheme="minorEastAsia"/>
                <w:color w:val="231F20"/>
                <w:sz w:val="24"/>
                <w:szCs w:val="24"/>
                <w:lang w:val="en-US"/>
              </w:rPr>
              <w:t>10)</w:t>
            </w:r>
          </w:p>
        </w:tc>
      </w:tr>
      <w:tr w:rsidR="00D505D7" w14:paraId="2DF9BDCF" w14:textId="77777777">
        <w:trPr>
          <w:tblHeader/>
          <w:jc w:val="center"/>
        </w:trPr>
        <w:tc>
          <w:tcPr>
            <w:tcW w:w="667" w:type="pct"/>
            <w:vMerge/>
            <w:tcBorders>
              <w:top w:val="nil"/>
              <w:left w:val="nil"/>
              <w:bottom w:val="nil"/>
              <w:right w:val="nil"/>
            </w:tcBorders>
            <w:tcMar>
              <w:top w:w="-1" w:type="dxa"/>
              <w:left w:w="-1" w:type="dxa"/>
              <w:bottom w:w="-1" w:type="dxa"/>
              <w:right w:w="-1" w:type="dxa"/>
            </w:tcMar>
            <w:vAlign w:val="center"/>
          </w:tcPr>
          <w:p w14:paraId="2DF9BDC9" w14:textId="77777777" w:rsidR="00D505D7" w:rsidRDefault="00D505D7" w:rsidP="00131A7E">
            <w:pPr>
              <w:pStyle w:val="BodyText"/>
              <w:snapToGrid w:val="0"/>
              <w:rPr>
                <w:rFonts w:eastAsiaTheme="minorEastAsia"/>
                <w:color w:val="231F20"/>
                <w:sz w:val="24"/>
                <w:szCs w:val="24"/>
                <w:lang w:val="en-US"/>
              </w:rPr>
            </w:pPr>
          </w:p>
        </w:tc>
        <w:tc>
          <w:tcPr>
            <w:tcW w:w="1262" w:type="pct"/>
            <w:tcBorders>
              <w:top w:val="nil"/>
              <w:left w:val="nil"/>
              <w:bottom w:val="nil"/>
              <w:right w:val="nil"/>
            </w:tcBorders>
            <w:tcMar>
              <w:top w:w="-1" w:type="dxa"/>
              <w:left w:w="-1" w:type="dxa"/>
              <w:bottom w:w="-1" w:type="dxa"/>
              <w:right w:w="-1" w:type="dxa"/>
            </w:tcMar>
            <w:vAlign w:val="center"/>
          </w:tcPr>
          <w:p w14:paraId="2DF9BDCA"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Clinically Diagnosed</w:t>
            </w:r>
          </w:p>
        </w:tc>
        <w:tc>
          <w:tcPr>
            <w:tcW w:w="699" w:type="pct"/>
            <w:tcBorders>
              <w:top w:val="nil"/>
              <w:left w:val="nil"/>
              <w:bottom w:val="nil"/>
              <w:right w:val="nil"/>
            </w:tcBorders>
            <w:tcMar>
              <w:top w:w="-1" w:type="dxa"/>
              <w:left w:w="-1" w:type="dxa"/>
              <w:bottom w:w="-1" w:type="dxa"/>
              <w:right w:w="-1" w:type="dxa"/>
            </w:tcMar>
            <w:vAlign w:val="center"/>
          </w:tcPr>
          <w:p w14:paraId="2DF9BDCB"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72.8</w:t>
            </w:r>
          </w:p>
        </w:tc>
        <w:tc>
          <w:tcPr>
            <w:tcW w:w="779" w:type="pct"/>
            <w:tcBorders>
              <w:top w:val="nil"/>
              <w:left w:val="nil"/>
              <w:bottom w:val="nil"/>
              <w:right w:val="nil"/>
            </w:tcBorders>
            <w:tcMar>
              <w:top w:w="-1" w:type="dxa"/>
              <w:left w:w="-1" w:type="dxa"/>
              <w:bottom w:w="-1" w:type="dxa"/>
              <w:right w:w="-1" w:type="dxa"/>
            </w:tcMar>
            <w:vAlign w:val="center"/>
          </w:tcPr>
          <w:p w14:paraId="2DF9BDCC" w14:textId="55AEAEF4"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 (5</w:t>
            </w:r>
            <w:r w:rsidR="00304E85">
              <w:rPr>
                <w:rFonts w:eastAsiaTheme="minorEastAsia"/>
                <w:color w:val="231F20"/>
                <w:sz w:val="24"/>
                <w:szCs w:val="24"/>
                <w:lang w:val="en-US"/>
              </w:rPr>
              <w:t>–</w:t>
            </w:r>
            <w:r>
              <w:rPr>
                <w:rFonts w:eastAsiaTheme="minorEastAsia"/>
                <w:color w:val="231F20"/>
                <w:sz w:val="24"/>
                <w:szCs w:val="24"/>
                <w:lang w:val="en-US"/>
              </w:rPr>
              <w:t>10)</w:t>
            </w:r>
          </w:p>
        </w:tc>
        <w:tc>
          <w:tcPr>
            <w:tcW w:w="718" w:type="pct"/>
            <w:tcBorders>
              <w:top w:val="nil"/>
              <w:left w:val="nil"/>
              <w:bottom w:val="nil"/>
              <w:right w:val="nil"/>
            </w:tcBorders>
            <w:tcMar>
              <w:top w:w="-1" w:type="dxa"/>
              <w:left w:w="-1" w:type="dxa"/>
              <w:bottom w:w="-1" w:type="dxa"/>
              <w:right w:w="-1" w:type="dxa"/>
            </w:tcMar>
            <w:vAlign w:val="center"/>
          </w:tcPr>
          <w:p w14:paraId="2DF9BDCD"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78.9</w:t>
            </w:r>
          </w:p>
        </w:tc>
        <w:tc>
          <w:tcPr>
            <w:tcW w:w="872" w:type="pct"/>
            <w:tcBorders>
              <w:top w:val="nil"/>
              <w:left w:val="nil"/>
              <w:bottom w:val="nil"/>
              <w:right w:val="nil"/>
            </w:tcBorders>
            <w:tcMar>
              <w:top w:w="-1" w:type="dxa"/>
              <w:left w:w="-1" w:type="dxa"/>
              <w:bottom w:w="-1" w:type="dxa"/>
              <w:right w:w="-1" w:type="dxa"/>
            </w:tcMar>
            <w:vAlign w:val="center"/>
          </w:tcPr>
          <w:p w14:paraId="2DF9BDCE" w14:textId="297AA341"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 (6</w:t>
            </w:r>
            <w:r w:rsidR="00304E85">
              <w:rPr>
                <w:rFonts w:eastAsiaTheme="minorEastAsia"/>
                <w:color w:val="231F20"/>
                <w:sz w:val="24"/>
                <w:szCs w:val="24"/>
                <w:lang w:val="en-US"/>
              </w:rPr>
              <w:t>–</w:t>
            </w:r>
            <w:r>
              <w:rPr>
                <w:rFonts w:eastAsiaTheme="minorEastAsia"/>
                <w:color w:val="231F20"/>
                <w:sz w:val="24"/>
                <w:szCs w:val="24"/>
                <w:lang w:val="en-US"/>
              </w:rPr>
              <w:t>12)</w:t>
            </w:r>
          </w:p>
        </w:tc>
      </w:tr>
      <w:tr w:rsidR="00D505D7" w14:paraId="2DF9BDD6" w14:textId="77777777">
        <w:trPr>
          <w:tblHeader/>
          <w:jc w:val="center"/>
        </w:trPr>
        <w:tc>
          <w:tcPr>
            <w:tcW w:w="667" w:type="pct"/>
            <w:vMerge w:val="restart"/>
            <w:tcBorders>
              <w:top w:val="nil"/>
              <w:left w:val="nil"/>
              <w:bottom w:val="nil"/>
              <w:right w:val="nil"/>
            </w:tcBorders>
            <w:tcMar>
              <w:top w:w="-1" w:type="dxa"/>
              <w:left w:w="-1" w:type="dxa"/>
              <w:bottom w:w="-1" w:type="dxa"/>
              <w:right w:w="-1" w:type="dxa"/>
            </w:tcMar>
            <w:vAlign w:val="center"/>
          </w:tcPr>
          <w:p w14:paraId="2DF9BDD0" w14:textId="60D5BB92"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 xml:space="preserve">Age </w:t>
            </w:r>
            <w:r w:rsidR="00304E85">
              <w:rPr>
                <w:rFonts w:eastAsiaTheme="minorEastAsia"/>
                <w:color w:val="231F20"/>
                <w:sz w:val="24"/>
                <w:szCs w:val="24"/>
                <w:lang w:val="en-US"/>
              </w:rPr>
              <w:t>group</w:t>
            </w:r>
          </w:p>
        </w:tc>
        <w:tc>
          <w:tcPr>
            <w:tcW w:w="1262" w:type="pct"/>
            <w:tcBorders>
              <w:top w:val="nil"/>
              <w:left w:val="nil"/>
              <w:bottom w:val="nil"/>
              <w:right w:val="nil"/>
            </w:tcBorders>
            <w:tcMar>
              <w:top w:w="-1" w:type="dxa"/>
              <w:left w:w="-1" w:type="dxa"/>
              <w:bottom w:w="-1" w:type="dxa"/>
              <w:right w:w="-1" w:type="dxa"/>
            </w:tcMar>
            <w:vAlign w:val="center"/>
          </w:tcPr>
          <w:p w14:paraId="2DF9BDD1" w14:textId="3920407D"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&lt;</w:t>
            </w:r>
            <w:r w:rsidR="00304E85">
              <w:rPr>
                <w:rFonts w:eastAsiaTheme="minorEastAsia"/>
                <w:color w:val="231F20"/>
                <w:sz w:val="24"/>
                <w:szCs w:val="24"/>
                <w:lang w:val="en-US"/>
              </w:rPr>
              <w:t xml:space="preserve"> </w:t>
            </w:r>
            <w:r>
              <w:rPr>
                <w:rFonts w:eastAsiaTheme="minorEastAsia"/>
                <w:color w:val="231F20"/>
                <w:sz w:val="24"/>
                <w:szCs w:val="24"/>
                <w:lang w:val="en-US"/>
              </w:rPr>
              <w:t>1 year (Pertussis) / &lt;</w:t>
            </w:r>
            <w:r w:rsidR="00304E85">
              <w:rPr>
                <w:rFonts w:eastAsiaTheme="minorEastAsia"/>
                <w:color w:val="231F20"/>
                <w:sz w:val="24"/>
                <w:szCs w:val="24"/>
                <w:lang w:val="en-US"/>
              </w:rPr>
              <w:t xml:space="preserve"> </w:t>
            </w:r>
            <w:r>
              <w:rPr>
                <w:rFonts w:eastAsiaTheme="minorEastAsia"/>
                <w:color w:val="231F20"/>
                <w:sz w:val="24"/>
                <w:szCs w:val="24"/>
                <w:lang w:val="en-US"/>
              </w:rPr>
              <w:t>5 years (Meningitis)</w:t>
            </w:r>
          </w:p>
        </w:tc>
        <w:tc>
          <w:tcPr>
            <w:tcW w:w="699" w:type="pct"/>
            <w:tcBorders>
              <w:top w:val="nil"/>
              <w:left w:val="nil"/>
              <w:bottom w:val="nil"/>
              <w:right w:val="nil"/>
            </w:tcBorders>
            <w:tcMar>
              <w:top w:w="-1" w:type="dxa"/>
              <w:left w:w="-1" w:type="dxa"/>
              <w:bottom w:w="-1" w:type="dxa"/>
              <w:right w:w="-1" w:type="dxa"/>
            </w:tcMar>
            <w:vAlign w:val="center"/>
          </w:tcPr>
          <w:p w14:paraId="2DF9BDD2"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79.5</w:t>
            </w:r>
          </w:p>
        </w:tc>
        <w:tc>
          <w:tcPr>
            <w:tcW w:w="779" w:type="pct"/>
            <w:tcBorders>
              <w:top w:val="nil"/>
              <w:left w:val="nil"/>
              <w:bottom w:val="nil"/>
              <w:right w:val="nil"/>
            </w:tcBorders>
            <w:tcMar>
              <w:top w:w="-1" w:type="dxa"/>
              <w:left w:w="-1" w:type="dxa"/>
              <w:bottom w:w="-1" w:type="dxa"/>
              <w:right w:w="-1" w:type="dxa"/>
            </w:tcMar>
            <w:vAlign w:val="center"/>
          </w:tcPr>
          <w:p w14:paraId="2DF9BDD3" w14:textId="0289AA68"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3 (2</w:t>
            </w:r>
            <w:r w:rsidR="00304E85">
              <w:rPr>
                <w:rFonts w:eastAsiaTheme="minorEastAsia"/>
                <w:color w:val="231F20"/>
                <w:sz w:val="24"/>
                <w:szCs w:val="24"/>
                <w:lang w:val="en-US"/>
              </w:rPr>
              <w:t>–</w:t>
            </w:r>
            <w:r>
              <w:rPr>
                <w:rFonts w:eastAsiaTheme="minorEastAsia"/>
                <w:color w:val="231F20"/>
                <w:sz w:val="24"/>
                <w:szCs w:val="24"/>
                <w:lang w:val="en-US"/>
              </w:rPr>
              <w:t>5)</w:t>
            </w:r>
          </w:p>
        </w:tc>
        <w:tc>
          <w:tcPr>
            <w:tcW w:w="718" w:type="pct"/>
            <w:tcBorders>
              <w:top w:val="nil"/>
              <w:left w:val="nil"/>
              <w:bottom w:val="nil"/>
              <w:right w:val="nil"/>
            </w:tcBorders>
            <w:tcMar>
              <w:top w:w="-1" w:type="dxa"/>
              <w:left w:w="-1" w:type="dxa"/>
              <w:bottom w:w="-1" w:type="dxa"/>
              <w:right w:w="-1" w:type="dxa"/>
            </w:tcMar>
            <w:vAlign w:val="center"/>
          </w:tcPr>
          <w:p w14:paraId="2DF9BDD4"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86.4</w:t>
            </w:r>
          </w:p>
        </w:tc>
        <w:tc>
          <w:tcPr>
            <w:tcW w:w="872" w:type="pct"/>
            <w:tcBorders>
              <w:top w:val="nil"/>
              <w:left w:val="nil"/>
              <w:bottom w:val="nil"/>
              <w:right w:val="nil"/>
            </w:tcBorders>
            <w:tcMar>
              <w:top w:w="-1" w:type="dxa"/>
              <w:left w:w="-1" w:type="dxa"/>
              <w:bottom w:w="-1" w:type="dxa"/>
              <w:right w:w="-1" w:type="dxa"/>
            </w:tcMar>
            <w:vAlign w:val="center"/>
          </w:tcPr>
          <w:p w14:paraId="2DF9BDD5" w14:textId="765B0D80"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(3</w:t>
            </w:r>
            <w:r w:rsidR="00304E85">
              <w:rPr>
                <w:rFonts w:eastAsiaTheme="minorEastAsia"/>
                <w:color w:val="231F20"/>
                <w:sz w:val="24"/>
                <w:szCs w:val="24"/>
                <w:lang w:val="en-US"/>
              </w:rPr>
              <w:t>–</w:t>
            </w:r>
            <w:r>
              <w:rPr>
                <w:rFonts w:eastAsiaTheme="minorEastAsia"/>
                <w:color w:val="231F20"/>
                <w:sz w:val="24"/>
                <w:szCs w:val="24"/>
                <w:lang w:val="en-US"/>
              </w:rPr>
              <w:t>7)</w:t>
            </w:r>
          </w:p>
        </w:tc>
      </w:tr>
      <w:tr w:rsidR="00D505D7" w14:paraId="2DF9BDDD" w14:textId="77777777">
        <w:trPr>
          <w:tblHeader/>
          <w:jc w:val="center"/>
        </w:trPr>
        <w:tc>
          <w:tcPr>
            <w:tcW w:w="667" w:type="pct"/>
            <w:vMerge/>
            <w:tcBorders>
              <w:top w:val="nil"/>
              <w:left w:val="nil"/>
              <w:bottom w:val="nil"/>
              <w:right w:val="nil"/>
            </w:tcBorders>
            <w:tcMar>
              <w:top w:w="-1" w:type="dxa"/>
              <w:left w:w="-1" w:type="dxa"/>
              <w:bottom w:w="-1" w:type="dxa"/>
              <w:right w:w="-1" w:type="dxa"/>
            </w:tcMar>
            <w:vAlign w:val="center"/>
          </w:tcPr>
          <w:p w14:paraId="2DF9BDD7" w14:textId="77777777" w:rsidR="00D505D7" w:rsidRDefault="00D505D7" w:rsidP="00131A7E">
            <w:pPr>
              <w:pStyle w:val="BodyText"/>
              <w:snapToGrid w:val="0"/>
              <w:rPr>
                <w:rFonts w:eastAsiaTheme="minorEastAsia"/>
                <w:color w:val="231F20"/>
                <w:sz w:val="24"/>
                <w:szCs w:val="24"/>
                <w:lang w:val="en-US"/>
              </w:rPr>
            </w:pPr>
          </w:p>
        </w:tc>
        <w:tc>
          <w:tcPr>
            <w:tcW w:w="1262" w:type="pct"/>
            <w:tcBorders>
              <w:top w:val="nil"/>
              <w:left w:val="nil"/>
              <w:bottom w:val="nil"/>
              <w:right w:val="nil"/>
            </w:tcBorders>
            <w:tcMar>
              <w:top w:w="-1" w:type="dxa"/>
              <w:left w:w="-1" w:type="dxa"/>
              <w:bottom w:w="-1" w:type="dxa"/>
              <w:right w:w="-1" w:type="dxa"/>
            </w:tcMar>
            <w:vAlign w:val="center"/>
          </w:tcPr>
          <w:p w14:paraId="2DF9BDD8" w14:textId="171E9D7F"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w:t>
            </w:r>
            <w:r w:rsidR="00304E85">
              <w:rPr>
                <w:rFonts w:eastAsiaTheme="minorEastAsia"/>
                <w:color w:val="231F20"/>
                <w:sz w:val="24"/>
                <w:szCs w:val="24"/>
                <w:lang w:val="en-US"/>
              </w:rPr>
              <w:t>–</w:t>
            </w:r>
            <w:r>
              <w:rPr>
                <w:rFonts w:eastAsiaTheme="minorEastAsia"/>
                <w:color w:val="231F20"/>
                <w:sz w:val="24"/>
                <w:szCs w:val="24"/>
                <w:lang w:val="en-US"/>
              </w:rPr>
              <w:t>4 years (Pertussis) / 5</w:t>
            </w:r>
            <w:r w:rsidR="00304E85">
              <w:rPr>
                <w:rFonts w:eastAsiaTheme="minorEastAsia"/>
                <w:color w:val="231F20"/>
                <w:sz w:val="24"/>
                <w:szCs w:val="24"/>
                <w:lang w:val="en-US"/>
              </w:rPr>
              <w:t>–</w:t>
            </w:r>
            <w:r>
              <w:rPr>
                <w:rFonts w:eastAsiaTheme="minorEastAsia"/>
                <w:color w:val="231F20"/>
                <w:sz w:val="24"/>
                <w:szCs w:val="24"/>
                <w:lang w:val="en-US"/>
              </w:rPr>
              <w:t>14 years (Meningitis)</w:t>
            </w:r>
          </w:p>
        </w:tc>
        <w:tc>
          <w:tcPr>
            <w:tcW w:w="699" w:type="pct"/>
            <w:tcBorders>
              <w:top w:val="nil"/>
              <w:left w:val="nil"/>
              <w:bottom w:val="nil"/>
              <w:right w:val="nil"/>
            </w:tcBorders>
            <w:tcMar>
              <w:top w:w="-1" w:type="dxa"/>
              <w:left w:w="-1" w:type="dxa"/>
              <w:bottom w:w="-1" w:type="dxa"/>
              <w:right w:w="-1" w:type="dxa"/>
            </w:tcMar>
            <w:vAlign w:val="center"/>
          </w:tcPr>
          <w:p w14:paraId="2DF9BDD9"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71.3</w:t>
            </w:r>
          </w:p>
        </w:tc>
        <w:tc>
          <w:tcPr>
            <w:tcW w:w="779" w:type="pct"/>
            <w:tcBorders>
              <w:top w:val="nil"/>
              <w:left w:val="nil"/>
              <w:bottom w:val="nil"/>
              <w:right w:val="nil"/>
            </w:tcBorders>
            <w:tcMar>
              <w:top w:w="-1" w:type="dxa"/>
              <w:left w:w="-1" w:type="dxa"/>
              <w:bottom w:w="-1" w:type="dxa"/>
              <w:right w:w="-1" w:type="dxa"/>
            </w:tcMar>
            <w:vAlign w:val="center"/>
          </w:tcPr>
          <w:p w14:paraId="2DF9BDDA" w14:textId="0C8CC22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4 (3</w:t>
            </w:r>
            <w:r w:rsidR="00304E85">
              <w:rPr>
                <w:rFonts w:eastAsiaTheme="minorEastAsia"/>
                <w:color w:val="231F20"/>
                <w:sz w:val="24"/>
                <w:szCs w:val="24"/>
                <w:lang w:val="en-US"/>
              </w:rPr>
              <w:t>–</w:t>
            </w:r>
            <w:r>
              <w:rPr>
                <w:rFonts w:eastAsiaTheme="minorEastAsia"/>
                <w:color w:val="231F20"/>
                <w:sz w:val="24"/>
                <w:szCs w:val="24"/>
                <w:lang w:val="en-US"/>
              </w:rPr>
              <w:t>6)</w:t>
            </w:r>
          </w:p>
        </w:tc>
        <w:tc>
          <w:tcPr>
            <w:tcW w:w="718" w:type="pct"/>
            <w:tcBorders>
              <w:top w:val="nil"/>
              <w:left w:val="nil"/>
              <w:bottom w:val="nil"/>
              <w:right w:val="nil"/>
            </w:tcBorders>
            <w:tcMar>
              <w:top w:w="-1" w:type="dxa"/>
              <w:left w:w="-1" w:type="dxa"/>
              <w:bottom w:w="-1" w:type="dxa"/>
              <w:right w:w="-1" w:type="dxa"/>
            </w:tcMar>
            <w:vAlign w:val="center"/>
          </w:tcPr>
          <w:p w14:paraId="2DF9BDDB"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83.1</w:t>
            </w:r>
          </w:p>
        </w:tc>
        <w:tc>
          <w:tcPr>
            <w:tcW w:w="872" w:type="pct"/>
            <w:tcBorders>
              <w:top w:val="nil"/>
              <w:left w:val="nil"/>
              <w:bottom w:val="nil"/>
              <w:right w:val="nil"/>
            </w:tcBorders>
            <w:tcMar>
              <w:top w:w="-1" w:type="dxa"/>
              <w:left w:w="-1" w:type="dxa"/>
              <w:bottom w:w="-1" w:type="dxa"/>
              <w:right w:w="-1" w:type="dxa"/>
            </w:tcMar>
            <w:vAlign w:val="center"/>
          </w:tcPr>
          <w:p w14:paraId="2DF9BDDC" w14:textId="0F00B0FA"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 (4</w:t>
            </w:r>
            <w:r w:rsidR="00304E85">
              <w:rPr>
                <w:rFonts w:eastAsiaTheme="minorEastAsia"/>
                <w:color w:val="231F20"/>
                <w:sz w:val="24"/>
                <w:szCs w:val="24"/>
                <w:lang w:val="en-US"/>
              </w:rPr>
              <w:t>–</w:t>
            </w:r>
            <w:r>
              <w:rPr>
                <w:rFonts w:eastAsiaTheme="minorEastAsia"/>
                <w:color w:val="231F20"/>
                <w:sz w:val="24"/>
                <w:szCs w:val="24"/>
                <w:lang w:val="en-US"/>
              </w:rPr>
              <w:t>8)</w:t>
            </w:r>
          </w:p>
        </w:tc>
      </w:tr>
      <w:tr w:rsidR="00D505D7" w14:paraId="2DF9BDE4" w14:textId="77777777">
        <w:trPr>
          <w:tblHeader/>
          <w:jc w:val="center"/>
        </w:trPr>
        <w:tc>
          <w:tcPr>
            <w:tcW w:w="667" w:type="pct"/>
            <w:vMerge/>
            <w:tcBorders>
              <w:top w:val="nil"/>
              <w:left w:val="nil"/>
              <w:bottom w:val="nil"/>
              <w:right w:val="nil"/>
            </w:tcBorders>
            <w:tcMar>
              <w:top w:w="-1" w:type="dxa"/>
              <w:left w:w="-1" w:type="dxa"/>
              <w:bottom w:w="-1" w:type="dxa"/>
              <w:right w:w="-1" w:type="dxa"/>
            </w:tcMar>
            <w:vAlign w:val="center"/>
          </w:tcPr>
          <w:p w14:paraId="2DF9BDDE" w14:textId="77777777" w:rsidR="00D505D7" w:rsidRDefault="00D505D7" w:rsidP="00131A7E">
            <w:pPr>
              <w:pStyle w:val="BodyText"/>
              <w:snapToGrid w:val="0"/>
              <w:rPr>
                <w:rFonts w:eastAsiaTheme="minorEastAsia"/>
                <w:color w:val="231F20"/>
                <w:sz w:val="24"/>
                <w:szCs w:val="24"/>
                <w:lang w:val="en-US"/>
              </w:rPr>
            </w:pPr>
          </w:p>
        </w:tc>
        <w:tc>
          <w:tcPr>
            <w:tcW w:w="1262" w:type="pct"/>
            <w:tcBorders>
              <w:top w:val="nil"/>
              <w:left w:val="nil"/>
              <w:bottom w:val="nil"/>
              <w:right w:val="nil"/>
            </w:tcBorders>
            <w:tcMar>
              <w:top w:w="-1" w:type="dxa"/>
              <w:left w:w="-1" w:type="dxa"/>
              <w:bottom w:w="-1" w:type="dxa"/>
              <w:right w:w="-1" w:type="dxa"/>
            </w:tcMar>
            <w:vAlign w:val="center"/>
          </w:tcPr>
          <w:p w14:paraId="2DF9BDDF" w14:textId="0B1863FB"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w:t>
            </w:r>
            <w:r w:rsidR="00304E85">
              <w:rPr>
                <w:rFonts w:eastAsiaTheme="minorEastAsia"/>
                <w:color w:val="231F20"/>
                <w:sz w:val="24"/>
                <w:szCs w:val="24"/>
                <w:lang w:val="en-US"/>
              </w:rPr>
              <w:t>–</w:t>
            </w:r>
            <w:r>
              <w:rPr>
                <w:rFonts w:eastAsiaTheme="minorEastAsia"/>
                <w:color w:val="231F20"/>
                <w:sz w:val="24"/>
                <w:szCs w:val="24"/>
                <w:lang w:val="en-US"/>
              </w:rPr>
              <w:t>14 years (Pertussis) / 15</w:t>
            </w:r>
            <w:r w:rsidR="00304E85">
              <w:rPr>
                <w:rFonts w:eastAsiaTheme="minorEastAsia"/>
                <w:color w:val="231F20"/>
                <w:sz w:val="24"/>
                <w:szCs w:val="24"/>
                <w:lang w:val="en-US"/>
              </w:rPr>
              <w:t>–</w:t>
            </w:r>
            <w:r>
              <w:rPr>
                <w:rFonts w:eastAsiaTheme="minorEastAsia"/>
                <w:color w:val="231F20"/>
                <w:sz w:val="24"/>
                <w:szCs w:val="24"/>
                <w:lang w:val="en-US"/>
              </w:rPr>
              <w:t>24 years (Meningitis)</w:t>
            </w:r>
          </w:p>
        </w:tc>
        <w:tc>
          <w:tcPr>
            <w:tcW w:w="699" w:type="pct"/>
            <w:tcBorders>
              <w:top w:val="nil"/>
              <w:left w:val="nil"/>
              <w:bottom w:val="nil"/>
              <w:right w:val="nil"/>
            </w:tcBorders>
            <w:tcMar>
              <w:top w:w="-1" w:type="dxa"/>
              <w:left w:w="-1" w:type="dxa"/>
              <w:bottom w:w="-1" w:type="dxa"/>
              <w:right w:w="-1" w:type="dxa"/>
            </w:tcMar>
            <w:vAlign w:val="center"/>
          </w:tcPr>
          <w:p w14:paraId="2DF9BDE0"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62.8</w:t>
            </w:r>
          </w:p>
        </w:tc>
        <w:tc>
          <w:tcPr>
            <w:tcW w:w="779" w:type="pct"/>
            <w:tcBorders>
              <w:top w:val="nil"/>
              <w:left w:val="nil"/>
              <w:bottom w:val="nil"/>
              <w:right w:val="nil"/>
            </w:tcBorders>
            <w:tcMar>
              <w:top w:w="-1" w:type="dxa"/>
              <w:left w:w="-1" w:type="dxa"/>
              <w:bottom w:w="-1" w:type="dxa"/>
              <w:right w:w="-1" w:type="dxa"/>
            </w:tcMar>
            <w:vAlign w:val="center"/>
          </w:tcPr>
          <w:p w14:paraId="2DF9BDE1" w14:textId="41C03AB2"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(3</w:t>
            </w:r>
            <w:r w:rsidR="00304E85">
              <w:rPr>
                <w:rFonts w:eastAsiaTheme="minorEastAsia"/>
                <w:color w:val="231F20"/>
                <w:sz w:val="24"/>
                <w:szCs w:val="24"/>
                <w:lang w:val="en-US"/>
              </w:rPr>
              <w:t>–</w:t>
            </w:r>
            <w:r>
              <w:rPr>
                <w:rFonts w:eastAsiaTheme="minorEastAsia"/>
                <w:color w:val="231F20"/>
                <w:sz w:val="24"/>
                <w:szCs w:val="24"/>
                <w:lang w:val="en-US"/>
              </w:rPr>
              <w:t>7)</w:t>
            </w:r>
          </w:p>
        </w:tc>
        <w:tc>
          <w:tcPr>
            <w:tcW w:w="718" w:type="pct"/>
            <w:tcBorders>
              <w:top w:val="nil"/>
              <w:left w:val="nil"/>
              <w:bottom w:val="nil"/>
              <w:right w:val="nil"/>
            </w:tcBorders>
            <w:tcMar>
              <w:top w:w="-1" w:type="dxa"/>
              <w:left w:w="-1" w:type="dxa"/>
              <w:bottom w:w="-1" w:type="dxa"/>
              <w:right w:w="-1" w:type="dxa"/>
            </w:tcMar>
            <w:vAlign w:val="center"/>
          </w:tcPr>
          <w:p w14:paraId="2DF9BDE2"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81.2</w:t>
            </w:r>
          </w:p>
        </w:tc>
        <w:tc>
          <w:tcPr>
            <w:tcW w:w="872" w:type="pct"/>
            <w:tcBorders>
              <w:top w:val="nil"/>
              <w:left w:val="nil"/>
              <w:bottom w:val="nil"/>
              <w:right w:val="nil"/>
            </w:tcBorders>
            <w:tcMar>
              <w:top w:w="-1" w:type="dxa"/>
              <w:left w:w="-1" w:type="dxa"/>
              <w:bottom w:w="-1" w:type="dxa"/>
              <w:right w:w="-1" w:type="dxa"/>
            </w:tcMar>
            <w:vAlign w:val="center"/>
          </w:tcPr>
          <w:p w14:paraId="2DF9BDE3" w14:textId="0698A672"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 (5</w:t>
            </w:r>
            <w:r w:rsidR="00304E85">
              <w:rPr>
                <w:rFonts w:eastAsiaTheme="minorEastAsia"/>
                <w:color w:val="231F20"/>
                <w:sz w:val="24"/>
                <w:szCs w:val="24"/>
                <w:lang w:val="en-US"/>
              </w:rPr>
              <w:t>–</w:t>
            </w:r>
            <w:r>
              <w:rPr>
                <w:rFonts w:eastAsiaTheme="minorEastAsia"/>
                <w:color w:val="231F20"/>
                <w:sz w:val="24"/>
                <w:szCs w:val="24"/>
                <w:lang w:val="en-US"/>
              </w:rPr>
              <w:t>9)</w:t>
            </w:r>
          </w:p>
        </w:tc>
      </w:tr>
      <w:tr w:rsidR="00D505D7" w14:paraId="2DF9BDEB" w14:textId="77777777">
        <w:trPr>
          <w:tblHeader/>
          <w:jc w:val="center"/>
        </w:trPr>
        <w:tc>
          <w:tcPr>
            <w:tcW w:w="667" w:type="pct"/>
            <w:vMerge/>
            <w:tcBorders>
              <w:top w:val="nil"/>
              <w:left w:val="nil"/>
              <w:bottom w:val="nil"/>
              <w:right w:val="nil"/>
            </w:tcBorders>
            <w:tcMar>
              <w:top w:w="-1" w:type="dxa"/>
              <w:left w:w="-1" w:type="dxa"/>
              <w:bottom w:w="-1" w:type="dxa"/>
              <w:right w:w="-1" w:type="dxa"/>
            </w:tcMar>
            <w:vAlign w:val="center"/>
          </w:tcPr>
          <w:p w14:paraId="2DF9BDE5" w14:textId="77777777" w:rsidR="00D505D7" w:rsidRDefault="00D505D7" w:rsidP="00131A7E">
            <w:pPr>
              <w:pStyle w:val="BodyText"/>
              <w:snapToGrid w:val="0"/>
              <w:rPr>
                <w:rFonts w:eastAsiaTheme="minorEastAsia"/>
                <w:color w:val="231F20"/>
                <w:sz w:val="24"/>
                <w:szCs w:val="24"/>
                <w:lang w:val="en-US"/>
              </w:rPr>
            </w:pPr>
          </w:p>
        </w:tc>
        <w:tc>
          <w:tcPr>
            <w:tcW w:w="1262" w:type="pct"/>
            <w:tcBorders>
              <w:top w:val="nil"/>
              <w:left w:val="nil"/>
              <w:bottom w:val="nil"/>
              <w:right w:val="nil"/>
            </w:tcBorders>
            <w:tcMar>
              <w:top w:w="-1" w:type="dxa"/>
              <w:left w:w="-1" w:type="dxa"/>
              <w:bottom w:w="-1" w:type="dxa"/>
              <w:right w:w="-1" w:type="dxa"/>
            </w:tcMar>
            <w:vAlign w:val="center"/>
          </w:tcPr>
          <w:p w14:paraId="2DF9BDE6" w14:textId="2936067B"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10</w:t>
            </w:r>
            <w:r w:rsidR="00304E85">
              <w:rPr>
                <w:rFonts w:eastAsiaTheme="minorEastAsia"/>
                <w:color w:val="231F20"/>
                <w:sz w:val="24"/>
                <w:szCs w:val="24"/>
                <w:lang w:val="en-US"/>
              </w:rPr>
              <w:t>–</w:t>
            </w:r>
            <w:r>
              <w:rPr>
                <w:rFonts w:eastAsiaTheme="minorEastAsia"/>
                <w:color w:val="231F20"/>
                <w:sz w:val="24"/>
                <w:szCs w:val="24"/>
                <w:lang w:val="en-US"/>
              </w:rPr>
              <w:t>19 years (Pertussis) / &gt;</w:t>
            </w:r>
            <w:r w:rsidR="00304E85">
              <w:rPr>
                <w:rFonts w:eastAsiaTheme="minorEastAsia"/>
                <w:color w:val="231F20"/>
                <w:sz w:val="24"/>
                <w:szCs w:val="24"/>
                <w:lang w:val="en-US"/>
              </w:rPr>
              <w:t xml:space="preserve"> </w:t>
            </w:r>
            <w:r>
              <w:rPr>
                <w:rFonts w:eastAsiaTheme="minorEastAsia"/>
                <w:color w:val="231F20"/>
                <w:sz w:val="24"/>
                <w:szCs w:val="24"/>
                <w:lang w:val="en-US"/>
              </w:rPr>
              <w:t>40 years (Meningitis)</w:t>
            </w:r>
          </w:p>
        </w:tc>
        <w:tc>
          <w:tcPr>
            <w:tcW w:w="699" w:type="pct"/>
            <w:tcBorders>
              <w:top w:val="nil"/>
              <w:left w:val="nil"/>
              <w:bottom w:val="nil"/>
              <w:right w:val="nil"/>
            </w:tcBorders>
            <w:tcMar>
              <w:top w:w="-1" w:type="dxa"/>
              <w:left w:w="-1" w:type="dxa"/>
              <w:bottom w:w="-1" w:type="dxa"/>
              <w:right w:w="-1" w:type="dxa"/>
            </w:tcMar>
            <w:vAlign w:val="center"/>
          </w:tcPr>
          <w:p w14:paraId="2DF9BDE7"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52.3</w:t>
            </w:r>
          </w:p>
        </w:tc>
        <w:tc>
          <w:tcPr>
            <w:tcW w:w="779" w:type="pct"/>
            <w:tcBorders>
              <w:top w:val="nil"/>
              <w:left w:val="nil"/>
              <w:bottom w:val="nil"/>
              <w:right w:val="nil"/>
            </w:tcBorders>
            <w:tcMar>
              <w:top w:w="-1" w:type="dxa"/>
              <w:left w:w="-1" w:type="dxa"/>
              <w:bottom w:w="-1" w:type="dxa"/>
              <w:right w:w="-1" w:type="dxa"/>
            </w:tcMar>
            <w:vAlign w:val="center"/>
          </w:tcPr>
          <w:p w14:paraId="2DF9BDE8" w14:textId="18A376D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(4</w:t>
            </w:r>
            <w:r w:rsidR="00304E85">
              <w:rPr>
                <w:rFonts w:eastAsiaTheme="minorEastAsia"/>
                <w:color w:val="231F20"/>
                <w:sz w:val="24"/>
                <w:szCs w:val="24"/>
                <w:lang w:val="en-US"/>
              </w:rPr>
              <w:t>–</w:t>
            </w:r>
            <w:r>
              <w:rPr>
                <w:rFonts w:eastAsiaTheme="minorEastAsia"/>
                <w:color w:val="231F20"/>
                <w:sz w:val="24"/>
                <w:szCs w:val="24"/>
                <w:lang w:val="en-US"/>
              </w:rPr>
              <w:t>8)</w:t>
            </w:r>
          </w:p>
        </w:tc>
        <w:tc>
          <w:tcPr>
            <w:tcW w:w="718" w:type="pct"/>
            <w:tcBorders>
              <w:top w:val="nil"/>
              <w:left w:val="nil"/>
              <w:bottom w:val="nil"/>
              <w:right w:val="nil"/>
            </w:tcBorders>
            <w:tcMar>
              <w:top w:w="-1" w:type="dxa"/>
              <w:left w:w="-1" w:type="dxa"/>
              <w:bottom w:w="-1" w:type="dxa"/>
              <w:right w:w="-1" w:type="dxa"/>
            </w:tcMar>
            <w:vAlign w:val="center"/>
          </w:tcPr>
          <w:p w14:paraId="2DF9BDE9"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78.9</w:t>
            </w:r>
          </w:p>
        </w:tc>
        <w:tc>
          <w:tcPr>
            <w:tcW w:w="872" w:type="pct"/>
            <w:tcBorders>
              <w:top w:val="nil"/>
              <w:left w:val="nil"/>
              <w:bottom w:val="nil"/>
              <w:right w:val="nil"/>
            </w:tcBorders>
            <w:tcMar>
              <w:top w:w="-1" w:type="dxa"/>
              <w:left w:w="-1" w:type="dxa"/>
              <w:bottom w:w="-1" w:type="dxa"/>
              <w:right w:w="-1" w:type="dxa"/>
            </w:tcMar>
            <w:vAlign w:val="center"/>
          </w:tcPr>
          <w:p w14:paraId="2DF9BDEA" w14:textId="521243D5"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 (6</w:t>
            </w:r>
            <w:r w:rsidR="00304E85">
              <w:rPr>
                <w:rFonts w:eastAsiaTheme="minorEastAsia"/>
                <w:color w:val="231F20"/>
                <w:sz w:val="24"/>
                <w:szCs w:val="24"/>
                <w:lang w:val="en-US"/>
              </w:rPr>
              <w:t>–</w:t>
            </w:r>
            <w:r>
              <w:rPr>
                <w:rFonts w:eastAsiaTheme="minorEastAsia"/>
                <w:color w:val="231F20"/>
                <w:sz w:val="24"/>
                <w:szCs w:val="24"/>
                <w:lang w:val="en-US"/>
              </w:rPr>
              <w:t>13)</w:t>
            </w:r>
          </w:p>
        </w:tc>
      </w:tr>
      <w:tr w:rsidR="00D505D7" w14:paraId="2DF9BDF2" w14:textId="77777777">
        <w:trPr>
          <w:tblHeader/>
          <w:jc w:val="center"/>
        </w:trPr>
        <w:tc>
          <w:tcPr>
            <w:tcW w:w="667" w:type="pct"/>
            <w:vMerge w:val="restart"/>
            <w:tcBorders>
              <w:top w:val="nil"/>
              <w:left w:val="nil"/>
              <w:bottom w:val="single" w:sz="12" w:space="0" w:color="auto"/>
              <w:right w:val="nil"/>
            </w:tcBorders>
            <w:tcMar>
              <w:top w:w="-1" w:type="dxa"/>
              <w:left w:w="-1" w:type="dxa"/>
              <w:bottom w:w="-1" w:type="dxa"/>
              <w:right w:w="-1" w:type="dxa"/>
            </w:tcMar>
            <w:vAlign w:val="center"/>
          </w:tcPr>
          <w:p w14:paraId="2DF9BDEC" w14:textId="21C131A6" w:rsidR="00D505D7" w:rsidRDefault="00000000" w:rsidP="00131A7E">
            <w:pPr>
              <w:pStyle w:val="BodyText"/>
              <w:snapToGrid w:val="0"/>
              <w:rPr>
                <w:rFonts w:eastAsiaTheme="minorEastAsia"/>
                <w:color w:val="231F20"/>
                <w:sz w:val="24"/>
                <w:szCs w:val="24"/>
                <w:lang w:val="en-US"/>
              </w:rPr>
            </w:pPr>
            <w:r>
              <w:rPr>
                <w:rFonts w:eastAsiaTheme="minorEastAsia"/>
                <w:color w:val="231F20"/>
                <w:sz w:val="24"/>
                <w:szCs w:val="24"/>
                <w:lang w:val="en-US"/>
              </w:rPr>
              <w:t xml:space="preserve">Hospital </w:t>
            </w:r>
            <w:r w:rsidR="00304E85">
              <w:rPr>
                <w:rFonts w:eastAsiaTheme="minorEastAsia"/>
                <w:color w:val="231F20"/>
                <w:sz w:val="24"/>
                <w:szCs w:val="24"/>
                <w:lang w:val="en-US"/>
              </w:rPr>
              <w:t>l</w:t>
            </w:r>
            <w:r>
              <w:rPr>
                <w:rFonts w:eastAsiaTheme="minorEastAsia"/>
                <w:color w:val="231F20"/>
                <w:sz w:val="24"/>
                <w:szCs w:val="24"/>
                <w:lang w:val="en-US"/>
              </w:rPr>
              <w:t>evel</w:t>
            </w:r>
          </w:p>
        </w:tc>
        <w:tc>
          <w:tcPr>
            <w:tcW w:w="1262" w:type="pct"/>
            <w:tcBorders>
              <w:top w:val="nil"/>
              <w:left w:val="nil"/>
              <w:bottom w:val="nil"/>
              <w:right w:val="nil"/>
            </w:tcBorders>
            <w:tcMar>
              <w:top w:w="-1" w:type="dxa"/>
              <w:left w:w="-1" w:type="dxa"/>
              <w:bottom w:w="-1" w:type="dxa"/>
              <w:right w:w="-1" w:type="dxa"/>
            </w:tcMar>
            <w:vAlign w:val="center"/>
          </w:tcPr>
          <w:p w14:paraId="2DF9BDED"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Tertiary (Class A/B)</w:t>
            </w:r>
          </w:p>
        </w:tc>
        <w:tc>
          <w:tcPr>
            <w:tcW w:w="699" w:type="pct"/>
            <w:tcBorders>
              <w:top w:val="nil"/>
              <w:left w:val="nil"/>
              <w:bottom w:val="nil"/>
              <w:right w:val="nil"/>
            </w:tcBorders>
            <w:tcMar>
              <w:top w:w="-1" w:type="dxa"/>
              <w:left w:w="-1" w:type="dxa"/>
              <w:bottom w:w="-1" w:type="dxa"/>
              <w:right w:w="-1" w:type="dxa"/>
            </w:tcMar>
            <w:vAlign w:val="center"/>
          </w:tcPr>
          <w:p w14:paraId="2DF9BDEE"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78.9</w:t>
            </w:r>
          </w:p>
        </w:tc>
        <w:tc>
          <w:tcPr>
            <w:tcW w:w="779" w:type="pct"/>
            <w:tcBorders>
              <w:top w:val="nil"/>
              <w:left w:val="nil"/>
              <w:bottom w:val="nil"/>
              <w:right w:val="nil"/>
            </w:tcBorders>
            <w:tcMar>
              <w:top w:w="-1" w:type="dxa"/>
              <w:left w:w="-1" w:type="dxa"/>
              <w:bottom w:w="-1" w:type="dxa"/>
              <w:right w:w="-1" w:type="dxa"/>
            </w:tcMar>
            <w:vAlign w:val="center"/>
          </w:tcPr>
          <w:p w14:paraId="2DF9BDEF" w14:textId="0B9A7D08"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3 (2</w:t>
            </w:r>
            <w:r w:rsidR="00304E85">
              <w:rPr>
                <w:rFonts w:eastAsiaTheme="minorEastAsia"/>
                <w:color w:val="231F20"/>
                <w:sz w:val="24"/>
                <w:szCs w:val="24"/>
                <w:lang w:val="en-US"/>
              </w:rPr>
              <w:t>–</w:t>
            </w:r>
            <w:r>
              <w:rPr>
                <w:rFonts w:eastAsiaTheme="minorEastAsia"/>
                <w:color w:val="231F20"/>
                <w:sz w:val="24"/>
                <w:szCs w:val="24"/>
                <w:lang w:val="en-US"/>
              </w:rPr>
              <w:t>5)</w:t>
            </w:r>
          </w:p>
        </w:tc>
        <w:tc>
          <w:tcPr>
            <w:tcW w:w="718" w:type="pct"/>
            <w:tcBorders>
              <w:top w:val="nil"/>
              <w:left w:val="nil"/>
              <w:bottom w:val="nil"/>
              <w:right w:val="nil"/>
            </w:tcBorders>
            <w:tcMar>
              <w:top w:w="-1" w:type="dxa"/>
              <w:left w:w="-1" w:type="dxa"/>
              <w:bottom w:w="-1" w:type="dxa"/>
              <w:right w:w="-1" w:type="dxa"/>
            </w:tcMar>
            <w:vAlign w:val="center"/>
          </w:tcPr>
          <w:p w14:paraId="2DF9BDF0"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86.7</w:t>
            </w:r>
          </w:p>
        </w:tc>
        <w:tc>
          <w:tcPr>
            <w:tcW w:w="872" w:type="pct"/>
            <w:tcBorders>
              <w:top w:val="nil"/>
              <w:left w:val="nil"/>
              <w:bottom w:val="nil"/>
              <w:right w:val="nil"/>
            </w:tcBorders>
            <w:tcMar>
              <w:top w:w="-1" w:type="dxa"/>
              <w:left w:w="-1" w:type="dxa"/>
              <w:bottom w:w="-1" w:type="dxa"/>
              <w:right w:w="-1" w:type="dxa"/>
            </w:tcMar>
            <w:vAlign w:val="center"/>
          </w:tcPr>
          <w:p w14:paraId="2DF9BDF1" w14:textId="40BB599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5 (3</w:t>
            </w:r>
            <w:r w:rsidR="00304E85">
              <w:rPr>
                <w:rFonts w:eastAsiaTheme="minorEastAsia"/>
                <w:color w:val="231F20"/>
                <w:sz w:val="24"/>
                <w:szCs w:val="24"/>
                <w:lang w:val="en-US"/>
              </w:rPr>
              <w:t>–</w:t>
            </w:r>
            <w:r>
              <w:rPr>
                <w:rFonts w:eastAsiaTheme="minorEastAsia"/>
                <w:color w:val="231F20"/>
                <w:sz w:val="24"/>
                <w:szCs w:val="24"/>
                <w:lang w:val="en-US"/>
              </w:rPr>
              <w:t>7)</w:t>
            </w:r>
          </w:p>
        </w:tc>
      </w:tr>
      <w:tr w:rsidR="00D505D7" w14:paraId="2DF9BDF9" w14:textId="77777777">
        <w:trPr>
          <w:tblHeader/>
          <w:jc w:val="center"/>
        </w:trPr>
        <w:tc>
          <w:tcPr>
            <w:tcW w:w="667" w:type="pct"/>
            <w:vMerge/>
            <w:tcBorders>
              <w:top w:val="single" w:sz="12" w:space="0" w:color="auto"/>
              <w:left w:val="nil"/>
              <w:bottom w:val="single" w:sz="12" w:space="0" w:color="auto"/>
              <w:right w:val="nil"/>
            </w:tcBorders>
            <w:tcMar>
              <w:top w:w="-1" w:type="dxa"/>
              <w:left w:w="-1" w:type="dxa"/>
              <w:bottom w:w="-1" w:type="dxa"/>
              <w:right w:w="-1" w:type="dxa"/>
            </w:tcMar>
            <w:vAlign w:val="center"/>
          </w:tcPr>
          <w:p w14:paraId="2DF9BDF3" w14:textId="77777777" w:rsidR="00D505D7" w:rsidRDefault="00D505D7" w:rsidP="00131A7E">
            <w:pPr>
              <w:pStyle w:val="BodyText"/>
              <w:snapToGrid w:val="0"/>
              <w:rPr>
                <w:rFonts w:eastAsiaTheme="minorEastAsia"/>
                <w:color w:val="231F20"/>
                <w:sz w:val="24"/>
                <w:szCs w:val="24"/>
                <w:lang w:val="en-US"/>
              </w:rPr>
            </w:pPr>
          </w:p>
        </w:tc>
        <w:tc>
          <w:tcPr>
            <w:tcW w:w="1262" w:type="pct"/>
            <w:tcBorders>
              <w:top w:val="nil"/>
              <w:left w:val="nil"/>
              <w:bottom w:val="nil"/>
              <w:right w:val="nil"/>
            </w:tcBorders>
            <w:tcMar>
              <w:top w:w="-1" w:type="dxa"/>
              <w:left w:w="-1" w:type="dxa"/>
              <w:bottom w:w="-1" w:type="dxa"/>
              <w:right w:w="-1" w:type="dxa"/>
            </w:tcMar>
            <w:vAlign w:val="center"/>
          </w:tcPr>
          <w:p w14:paraId="2DF9BDF4"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Secondary</w:t>
            </w:r>
          </w:p>
        </w:tc>
        <w:tc>
          <w:tcPr>
            <w:tcW w:w="699" w:type="pct"/>
            <w:tcBorders>
              <w:top w:val="nil"/>
              <w:left w:val="nil"/>
              <w:bottom w:val="nil"/>
              <w:right w:val="nil"/>
            </w:tcBorders>
            <w:tcMar>
              <w:top w:w="-1" w:type="dxa"/>
              <w:left w:w="-1" w:type="dxa"/>
              <w:bottom w:w="-1" w:type="dxa"/>
              <w:right w:w="-1" w:type="dxa"/>
            </w:tcMar>
            <w:vAlign w:val="center"/>
          </w:tcPr>
          <w:p w14:paraId="2DF9BDF5"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66.4</w:t>
            </w:r>
          </w:p>
        </w:tc>
        <w:tc>
          <w:tcPr>
            <w:tcW w:w="779" w:type="pct"/>
            <w:tcBorders>
              <w:top w:val="nil"/>
              <w:left w:val="nil"/>
              <w:bottom w:val="nil"/>
              <w:right w:val="nil"/>
            </w:tcBorders>
            <w:tcMar>
              <w:top w:w="-1" w:type="dxa"/>
              <w:left w:w="-1" w:type="dxa"/>
              <w:bottom w:w="-1" w:type="dxa"/>
              <w:right w:w="-1" w:type="dxa"/>
            </w:tcMar>
            <w:vAlign w:val="center"/>
          </w:tcPr>
          <w:p w14:paraId="2DF9BDF6" w14:textId="6E6822AF"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 (4</w:t>
            </w:r>
            <w:r w:rsidR="00304E85">
              <w:rPr>
                <w:rFonts w:eastAsiaTheme="minorEastAsia"/>
                <w:color w:val="231F20"/>
                <w:sz w:val="24"/>
                <w:szCs w:val="24"/>
                <w:lang w:val="en-US"/>
              </w:rPr>
              <w:t>–</w:t>
            </w:r>
            <w:r>
              <w:rPr>
                <w:rFonts w:eastAsiaTheme="minorEastAsia"/>
                <w:color w:val="231F20"/>
                <w:sz w:val="24"/>
                <w:szCs w:val="24"/>
                <w:lang w:val="en-US"/>
              </w:rPr>
              <w:t>9)</w:t>
            </w:r>
          </w:p>
        </w:tc>
        <w:tc>
          <w:tcPr>
            <w:tcW w:w="718" w:type="pct"/>
            <w:tcBorders>
              <w:top w:val="nil"/>
              <w:left w:val="nil"/>
              <w:bottom w:val="nil"/>
              <w:right w:val="nil"/>
            </w:tcBorders>
            <w:tcMar>
              <w:top w:w="-1" w:type="dxa"/>
              <w:left w:w="-1" w:type="dxa"/>
              <w:bottom w:w="-1" w:type="dxa"/>
              <w:right w:w="-1" w:type="dxa"/>
            </w:tcMar>
            <w:vAlign w:val="center"/>
          </w:tcPr>
          <w:p w14:paraId="2DF9BDF7"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81.4</w:t>
            </w:r>
          </w:p>
        </w:tc>
        <w:tc>
          <w:tcPr>
            <w:tcW w:w="872" w:type="pct"/>
            <w:tcBorders>
              <w:top w:val="nil"/>
              <w:left w:val="nil"/>
              <w:bottom w:val="nil"/>
              <w:right w:val="nil"/>
            </w:tcBorders>
            <w:tcMar>
              <w:top w:w="-1" w:type="dxa"/>
              <w:left w:w="-1" w:type="dxa"/>
              <w:bottom w:w="-1" w:type="dxa"/>
              <w:right w:w="-1" w:type="dxa"/>
            </w:tcMar>
            <w:vAlign w:val="center"/>
          </w:tcPr>
          <w:p w14:paraId="2DF9BDF8" w14:textId="2C077BF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8 (6</w:t>
            </w:r>
            <w:r w:rsidR="00304E85">
              <w:rPr>
                <w:rFonts w:eastAsiaTheme="minorEastAsia"/>
                <w:color w:val="231F20"/>
                <w:sz w:val="24"/>
                <w:szCs w:val="24"/>
                <w:lang w:val="en-US"/>
              </w:rPr>
              <w:t>–</w:t>
            </w:r>
            <w:r>
              <w:rPr>
                <w:rFonts w:eastAsiaTheme="minorEastAsia"/>
                <w:color w:val="231F20"/>
                <w:sz w:val="24"/>
                <w:szCs w:val="24"/>
                <w:lang w:val="en-US"/>
              </w:rPr>
              <w:t>11)</w:t>
            </w:r>
          </w:p>
        </w:tc>
      </w:tr>
      <w:tr w:rsidR="00D505D7" w14:paraId="2DF9BE00" w14:textId="77777777" w:rsidTr="00131A7E">
        <w:trPr>
          <w:tblHeader/>
          <w:jc w:val="center"/>
        </w:trPr>
        <w:tc>
          <w:tcPr>
            <w:tcW w:w="667" w:type="pct"/>
            <w:vMerge/>
            <w:tcBorders>
              <w:top w:val="single" w:sz="12" w:space="0" w:color="auto"/>
              <w:bottom w:val="single" w:sz="4" w:space="0" w:color="auto"/>
            </w:tcBorders>
            <w:tcMar>
              <w:top w:w="-1" w:type="dxa"/>
              <w:left w:w="-1" w:type="dxa"/>
              <w:bottom w:w="-1" w:type="dxa"/>
              <w:right w:w="-1" w:type="dxa"/>
            </w:tcMar>
            <w:vAlign w:val="center"/>
          </w:tcPr>
          <w:p w14:paraId="2DF9BDFA" w14:textId="77777777" w:rsidR="00D505D7" w:rsidRDefault="00D505D7" w:rsidP="00131A7E">
            <w:pPr>
              <w:pStyle w:val="BodyText"/>
              <w:snapToGrid w:val="0"/>
              <w:rPr>
                <w:rFonts w:eastAsiaTheme="minorEastAsia"/>
                <w:color w:val="231F20"/>
                <w:sz w:val="24"/>
                <w:szCs w:val="24"/>
                <w:lang w:val="en-US"/>
              </w:rPr>
            </w:pPr>
          </w:p>
        </w:tc>
        <w:tc>
          <w:tcPr>
            <w:tcW w:w="1262" w:type="pct"/>
            <w:tcBorders>
              <w:top w:val="nil"/>
              <w:left w:val="nil"/>
              <w:bottom w:val="single" w:sz="4" w:space="0" w:color="auto"/>
              <w:right w:val="nil"/>
            </w:tcBorders>
            <w:tcMar>
              <w:top w:w="-1" w:type="dxa"/>
              <w:left w:w="-1" w:type="dxa"/>
              <w:bottom w:w="-1" w:type="dxa"/>
              <w:right w:w="-1" w:type="dxa"/>
            </w:tcMar>
            <w:vAlign w:val="center"/>
          </w:tcPr>
          <w:p w14:paraId="2DF9BDFB"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Primary/Community</w:t>
            </w:r>
          </w:p>
        </w:tc>
        <w:tc>
          <w:tcPr>
            <w:tcW w:w="699" w:type="pct"/>
            <w:tcBorders>
              <w:top w:val="nil"/>
              <w:left w:val="nil"/>
              <w:bottom w:val="single" w:sz="4" w:space="0" w:color="auto"/>
              <w:right w:val="nil"/>
            </w:tcBorders>
            <w:tcMar>
              <w:top w:w="-1" w:type="dxa"/>
              <w:left w:w="-1" w:type="dxa"/>
              <w:bottom w:w="-1" w:type="dxa"/>
              <w:right w:w="-1" w:type="dxa"/>
            </w:tcMar>
            <w:vAlign w:val="center"/>
          </w:tcPr>
          <w:p w14:paraId="2DF9BDFC"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60.4</w:t>
            </w:r>
          </w:p>
        </w:tc>
        <w:tc>
          <w:tcPr>
            <w:tcW w:w="779" w:type="pct"/>
            <w:tcBorders>
              <w:top w:val="nil"/>
              <w:left w:val="nil"/>
              <w:bottom w:val="single" w:sz="4" w:space="0" w:color="auto"/>
              <w:right w:val="nil"/>
            </w:tcBorders>
            <w:tcMar>
              <w:top w:w="-1" w:type="dxa"/>
              <w:left w:w="-1" w:type="dxa"/>
              <w:bottom w:w="-1" w:type="dxa"/>
              <w:right w:w="-1" w:type="dxa"/>
            </w:tcMar>
            <w:vAlign w:val="center"/>
          </w:tcPr>
          <w:p w14:paraId="2DF9BDFD" w14:textId="362AF42B"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 (5</w:t>
            </w:r>
            <w:r w:rsidR="00304E85">
              <w:rPr>
                <w:rFonts w:eastAsiaTheme="minorEastAsia"/>
                <w:color w:val="231F20"/>
                <w:sz w:val="24"/>
                <w:szCs w:val="24"/>
                <w:lang w:val="en-US"/>
              </w:rPr>
              <w:t>–</w:t>
            </w:r>
            <w:r>
              <w:rPr>
                <w:rFonts w:eastAsiaTheme="minorEastAsia"/>
                <w:color w:val="231F20"/>
                <w:sz w:val="24"/>
                <w:szCs w:val="24"/>
                <w:lang w:val="en-US"/>
              </w:rPr>
              <w:t>11)</w:t>
            </w:r>
          </w:p>
        </w:tc>
        <w:tc>
          <w:tcPr>
            <w:tcW w:w="718" w:type="pct"/>
            <w:tcBorders>
              <w:top w:val="nil"/>
              <w:left w:val="nil"/>
              <w:bottom w:val="single" w:sz="4" w:space="0" w:color="auto"/>
              <w:right w:val="nil"/>
            </w:tcBorders>
            <w:tcMar>
              <w:top w:w="-1" w:type="dxa"/>
              <w:left w:w="-1" w:type="dxa"/>
              <w:bottom w:w="-1" w:type="dxa"/>
              <w:right w:w="-1" w:type="dxa"/>
            </w:tcMar>
            <w:vAlign w:val="center"/>
          </w:tcPr>
          <w:p w14:paraId="2DF9BDFE" w14:textId="77777777"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77.5</w:t>
            </w:r>
          </w:p>
        </w:tc>
        <w:tc>
          <w:tcPr>
            <w:tcW w:w="872" w:type="pct"/>
            <w:tcBorders>
              <w:top w:val="nil"/>
              <w:left w:val="nil"/>
              <w:bottom w:val="single" w:sz="4" w:space="0" w:color="auto"/>
              <w:right w:val="nil"/>
            </w:tcBorders>
            <w:tcMar>
              <w:top w:w="-1" w:type="dxa"/>
              <w:left w:w="-1" w:type="dxa"/>
              <w:bottom w:w="-1" w:type="dxa"/>
              <w:right w:w="-1" w:type="dxa"/>
            </w:tcMar>
            <w:vAlign w:val="center"/>
          </w:tcPr>
          <w:p w14:paraId="2DF9BDFF" w14:textId="28E5D5C3" w:rsidR="00D505D7" w:rsidRDefault="00000000" w:rsidP="00131A7E">
            <w:pPr>
              <w:pStyle w:val="BodyText"/>
              <w:snapToGrid w:val="0"/>
              <w:jc w:val="center"/>
              <w:rPr>
                <w:rFonts w:eastAsiaTheme="minorEastAsia"/>
                <w:color w:val="231F20"/>
                <w:sz w:val="24"/>
                <w:szCs w:val="24"/>
                <w:lang w:val="en-US"/>
              </w:rPr>
            </w:pPr>
            <w:r>
              <w:rPr>
                <w:rFonts w:eastAsiaTheme="minorEastAsia"/>
                <w:color w:val="231F20"/>
                <w:sz w:val="24"/>
                <w:szCs w:val="24"/>
                <w:lang w:val="en-US"/>
              </w:rPr>
              <w:t>9 (7</w:t>
            </w:r>
            <w:r w:rsidR="00304E85">
              <w:rPr>
                <w:rFonts w:eastAsiaTheme="minorEastAsia"/>
                <w:color w:val="231F20"/>
                <w:sz w:val="24"/>
                <w:szCs w:val="24"/>
                <w:lang w:val="en-US"/>
              </w:rPr>
              <w:t>–</w:t>
            </w:r>
            <w:r>
              <w:rPr>
                <w:rFonts w:eastAsiaTheme="minorEastAsia"/>
                <w:color w:val="231F20"/>
                <w:sz w:val="24"/>
                <w:szCs w:val="24"/>
                <w:lang w:val="en-US"/>
              </w:rPr>
              <w:t>13)</w:t>
            </w:r>
          </w:p>
        </w:tc>
      </w:tr>
    </w:tbl>
    <w:p w14:paraId="2DF9BE01" w14:textId="77777777" w:rsidR="00D505D7" w:rsidRDefault="00D505D7" w:rsidP="00131A7E">
      <w:pPr>
        <w:pStyle w:val="BodyText"/>
        <w:snapToGrid w:val="0"/>
        <w:ind w:left="110" w:right="108" w:firstLine="400"/>
        <w:jc w:val="both"/>
        <w:rPr>
          <w:rFonts w:eastAsiaTheme="minorEastAsia"/>
          <w:color w:val="231F20"/>
          <w:sz w:val="24"/>
          <w:szCs w:val="24"/>
          <w:lang w:val="en-US"/>
        </w:rPr>
      </w:pPr>
    </w:p>
    <w:p w14:paraId="2DF9BE02" w14:textId="77777777" w:rsidR="00D505D7" w:rsidRDefault="00000000" w:rsidP="00131A7E">
      <w:pPr>
        <w:pStyle w:val="Heading1"/>
        <w:tabs>
          <w:tab w:val="left" w:pos="391"/>
        </w:tabs>
        <w:snapToGrid w:val="0"/>
        <w:ind w:left="0" w:firstLine="0"/>
        <w:rPr>
          <w:color w:val="231F20"/>
          <w:spacing w:val="-6"/>
          <w:sz w:val="24"/>
          <w:szCs w:val="24"/>
          <w:lang w:val="en-US"/>
        </w:rPr>
      </w:pPr>
      <w:r>
        <w:rPr>
          <w:rFonts w:eastAsiaTheme="minorEastAsia"/>
          <w:color w:val="231F20"/>
          <w:spacing w:val="-6"/>
          <w:sz w:val="24"/>
          <w:szCs w:val="24"/>
          <w:lang w:val="en-US"/>
        </w:rPr>
        <w:t>4</w:t>
      </w:r>
      <w:r>
        <w:rPr>
          <w:color w:val="231F20"/>
          <w:spacing w:val="-6"/>
          <w:sz w:val="24"/>
          <w:szCs w:val="24"/>
          <w:lang w:val="en-US"/>
        </w:rPr>
        <w:t>. Discussion</w:t>
      </w:r>
    </w:p>
    <w:p w14:paraId="2DF9BE03" w14:textId="14465FE7" w:rsidR="00D505D7" w:rsidRDefault="00000000" w:rsidP="00131A7E">
      <w:pPr>
        <w:pStyle w:val="BodyText"/>
        <w:snapToGrid w:val="0"/>
        <w:ind w:right="106"/>
        <w:jc w:val="both"/>
        <w:rPr>
          <w:color w:val="231F20"/>
          <w:sz w:val="24"/>
          <w:szCs w:val="24"/>
          <w:lang w:val="en-US"/>
        </w:rPr>
      </w:pPr>
      <w:r>
        <w:rPr>
          <w:color w:val="231F20"/>
          <w:sz w:val="24"/>
          <w:szCs w:val="24"/>
          <w:lang w:val="en-US"/>
        </w:rPr>
        <w:t xml:space="preserve">This evaluation illustrates distinct surveillance performance characteristics for pertussis and meningococcal meningitis in Puyang, revealing notable progress in pertussis detection alongside compromised timeliness in meningitis surveillance driven by </w:t>
      </w:r>
      <w:r w:rsidR="0015649B">
        <w:rPr>
          <w:color w:val="231F20"/>
          <w:sz w:val="24"/>
          <w:szCs w:val="24"/>
          <w:lang w:val="en-US"/>
        </w:rPr>
        <w:t xml:space="preserve">centralized </w:t>
      </w:r>
      <w:r>
        <w:rPr>
          <w:color w:val="231F20"/>
          <w:sz w:val="24"/>
          <w:szCs w:val="24"/>
          <w:lang w:val="en-US"/>
        </w:rPr>
        <w:t>laboratory policies.</w:t>
      </w:r>
      <w:r>
        <w:rPr>
          <w:rFonts w:eastAsia="SimSun"/>
          <w:color w:val="231F20"/>
          <w:sz w:val="24"/>
          <w:szCs w:val="24"/>
          <w:lang w:val="en-US"/>
        </w:rPr>
        <w:t xml:space="preserve"> </w:t>
      </w:r>
      <w:r>
        <w:rPr>
          <w:color w:val="231F20"/>
          <w:sz w:val="24"/>
          <w:szCs w:val="24"/>
          <w:lang w:val="en-US"/>
        </w:rPr>
        <w:t>Pertussis surveillance achieved an overall sensitivity of 68.4%, a substantial improvement from the 2018 Henan regional rate of 55%. Even so, over 3,000 local cases may go undetected annually, creating hidden community transmission risks, especially for unvaccinated neonates dependent on herd immunity. The post-2023 improvement in detection sensitivity correlates with county-level PCR laboratory expansion and enhanced clinical awareness following national pertussis resurgence alerts, proving coordinated policy incentives and infrastructure investment can boost disease detection. However, a persistent 17% rural-urban sensitivity gap remains. Rural surveillance is hindered by workforce shortages, limited access to PCR testing facilities, and insufficient clinician reporting awareness, requiring targeted mobile diagnostic services and grassroots outreach rather than passive facility upgrades.</w:t>
      </w:r>
    </w:p>
    <w:p w14:paraId="2DF9BE04" w14:textId="5FA4B88B" w:rsidR="00D505D7" w:rsidRDefault="00000000" w:rsidP="00131A7E">
      <w:pPr>
        <w:pStyle w:val="BodyText"/>
        <w:snapToGrid w:val="0"/>
        <w:ind w:left="110" w:right="106" w:firstLine="400"/>
        <w:jc w:val="both"/>
        <w:rPr>
          <w:color w:val="231F20"/>
          <w:sz w:val="24"/>
          <w:szCs w:val="24"/>
          <w:lang w:val="en-US"/>
        </w:rPr>
      </w:pPr>
      <w:r>
        <w:rPr>
          <w:color w:val="231F20"/>
          <w:sz w:val="24"/>
          <w:szCs w:val="24"/>
          <w:lang w:val="en-US"/>
        </w:rPr>
        <w:t xml:space="preserve">For meningococcal meningitis, the stable high sensitivity of 82.1% reflects the disease’s obvious clinical manifestations and mandatory national immediate reporting protocols. Yet, a concerning rise in reporting delay from 4 to 7 days emerged despite </w:t>
      </w:r>
      <w:r w:rsidR="0015649B">
        <w:rPr>
          <w:color w:val="231F20"/>
          <w:sz w:val="24"/>
          <w:szCs w:val="24"/>
          <w:lang w:val="en-US"/>
        </w:rPr>
        <w:t xml:space="preserve">optimized </w:t>
      </w:r>
      <w:r>
        <w:rPr>
          <w:color w:val="231F20"/>
          <w:sz w:val="24"/>
          <w:szCs w:val="24"/>
          <w:lang w:val="en-US"/>
        </w:rPr>
        <w:t xml:space="preserve">electronic reporting systems. This paradox stems from provincial </w:t>
      </w:r>
      <w:r w:rsidR="0015649B">
        <w:rPr>
          <w:color w:val="231F20"/>
          <w:sz w:val="24"/>
          <w:szCs w:val="24"/>
          <w:lang w:val="en-US"/>
        </w:rPr>
        <w:t xml:space="preserve">centralization </w:t>
      </w:r>
      <w:r>
        <w:rPr>
          <w:color w:val="231F20"/>
          <w:sz w:val="24"/>
          <w:szCs w:val="24"/>
          <w:lang w:val="en-US"/>
        </w:rPr>
        <w:t>of meningococcal PCR testing: while designed for quality control, the policy introduced a 4-day median delay in specimen transportation and batch testing, becoming the primary bottleneck in surveillance. Additionally, the 48-hour cerebrospinal fluid collection rate dropped from 88.5% to 73.2%, attributed to declining clinical proficiency in identifying classic infectious disease symptoms amid widespread empirical antibiotic use, highlighting the need for regular professional training on meningitis diagnosis and pre-antibiotic specimen collection.</w:t>
      </w:r>
      <w:r>
        <w:rPr>
          <w:rFonts w:eastAsia="SimSun"/>
          <w:color w:val="231F20"/>
          <w:sz w:val="24"/>
          <w:szCs w:val="24"/>
          <w:lang w:val="en-US"/>
        </w:rPr>
        <w:t xml:space="preserve"> </w:t>
      </w:r>
      <w:r>
        <w:rPr>
          <w:color w:val="231F20"/>
          <w:sz w:val="24"/>
          <w:szCs w:val="24"/>
          <w:lang w:val="en-US"/>
        </w:rPr>
        <w:t>Structural rural-urban inequities undermine surveillance quality for both diseases. Rural areas suffer from sparse epidemiological staffing, high staff turnover, and outdated paper-based recording systems that delay electronic data entry. Targeted bundled interventions are recommended, including grassroots rapid molecular testing, simplified automatic electronic reporting, performance-based incentives, and regular clinical supervision.</w:t>
      </w:r>
      <w:r>
        <w:rPr>
          <w:rFonts w:eastAsia="SimSun"/>
          <w:color w:val="231F20"/>
          <w:sz w:val="24"/>
          <w:szCs w:val="24"/>
          <w:lang w:val="en-US"/>
        </w:rPr>
        <w:t xml:space="preserve"> </w:t>
      </w:r>
      <w:r>
        <w:rPr>
          <w:color w:val="231F20"/>
          <w:sz w:val="24"/>
          <w:szCs w:val="24"/>
          <w:lang w:val="en-US"/>
        </w:rPr>
        <w:t xml:space="preserve">Age-specific surveillance gaps are also prominent. Adolescent pertussis sensitivity is merely 52.3%, as adolescent mild symptoms are often misdiagnosed as viral infections and low bacterial loads reduce PCR accuracy, suggesting a need to explore serological testing for older populations. Adults over 40 with meningitis face a 9-day reporting delay and higher mortality, requiring targeted clinician education and </w:t>
      </w:r>
      <w:r w:rsidR="0015649B">
        <w:rPr>
          <w:color w:val="231F20"/>
          <w:sz w:val="24"/>
          <w:szCs w:val="24"/>
          <w:lang w:val="en-US"/>
        </w:rPr>
        <w:t xml:space="preserve">standardized </w:t>
      </w:r>
      <w:r>
        <w:rPr>
          <w:color w:val="231F20"/>
          <w:sz w:val="24"/>
          <w:szCs w:val="24"/>
          <w:lang w:val="en-US"/>
        </w:rPr>
        <w:t>screening protocols.</w:t>
      </w:r>
      <w:r>
        <w:rPr>
          <w:rFonts w:eastAsia="SimSun"/>
          <w:color w:val="231F20"/>
          <w:sz w:val="24"/>
          <w:szCs w:val="24"/>
          <w:lang w:val="en-US"/>
        </w:rPr>
        <w:t xml:space="preserve"> </w:t>
      </w:r>
      <w:r>
        <w:rPr>
          <w:color w:val="231F20"/>
          <w:sz w:val="24"/>
          <w:szCs w:val="24"/>
          <w:lang w:val="en-US"/>
        </w:rPr>
        <w:t xml:space="preserve">Methodologically, the capture-recapture model’s source dependence may slightly overestimate sensitivity, though auxiliary data supplementation ensured reliable results. Minor missing case data did not alter core conclusions, </w:t>
      </w:r>
      <w:r>
        <w:rPr>
          <w:color w:val="231F20"/>
          <w:sz w:val="24"/>
          <w:szCs w:val="24"/>
          <w:lang w:val="en-US"/>
        </w:rPr>
        <w:lastRenderedPageBreak/>
        <w:t>while findings are regionally specific, with qualitative policy lessons widely applicable.</w:t>
      </w:r>
    </w:p>
    <w:p w14:paraId="2DF9BE05" w14:textId="4D488835" w:rsidR="00D505D7" w:rsidRDefault="00000000" w:rsidP="0003247A">
      <w:pPr>
        <w:pStyle w:val="BodyText"/>
        <w:snapToGrid w:val="0"/>
        <w:ind w:left="110" w:right="106" w:firstLine="400"/>
        <w:jc w:val="both"/>
        <w:rPr>
          <w:color w:val="231F20"/>
          <w:sz w:val="24"/>
          <w:szCs w:val="24"/>
          <w:lang w:val="en-US"/>
        </w:rPr>
      </w:pPr>
      <w:r>
        <w:rPr>
          <w:color w:val="231F20"/>
          <w:sz w:val="24"/>
          <w:szCs w:val="24"/>
          <w:lang w:val="en-US"/>
        </w:rPr>
        <w:t xml:space="preserve">This study’s six-year longitudinal design, dual-disease comparison, and multi-dimensional stratification provide actionable insights. High-performing tertiary hospitals confirm that strengthening primary and secondary medical facilities can effectively reduce missed diagnoses and reporting delays, with robust electronic reporting infrastructure laying a foundation for further surveillance </w:t>
      </w:r>
      <w:r w:rsidR="0015649B">
        <w:rPr>
          <w:color w:val="231F20"/>
          <w:sz w:val="24"/>
          <w:szCs w:val="24"/>
          <w:lang w:val="en-US"/>
        </w:rPr>
        <w:t>optimization</w:t>
      </w:r>
      <w:r>
        <w:rPr>
          <w:color w:val="231F20"/>
          <w:sz w:val="24"/>
          <w:szCs w:val="24"/>
          <w:lang w:val="en-US"/>
        </w:rPr>
        <w:t>.</w:t>
      </w:r>
    </w:p>
    <w:p w14:paraId="2A5E968C" w14:textId="77777777" w:rsidR="00304E85" w:rsidRDefault="00304E85" w:rsidP="00131A7E">
      <w:pPr>
        <w:pStyle w:val="BodyText"/>
        <w:snapToGrid w:val="0"/>
        <w:ind w:left="110" w:right="106" w:firstLine="400"/>
        <w:jc w:val="both"/>
        <w:rPr>
          <w:color w:val="231F20"/>
          <w:sz w:val="24"/>
          <w:szCs w:val="24"/>
          <w:lang w:val="en-US"/>
        </w:rPr>
      </w:pPr>
    </w:p>
    <w:p w14:paraId="2DF9BE06" w14:textId="77777777" w:rsidR="00D505D7" w:rsidRDefault="00000000" w:rsidP="00131A7E">
      <w:pPr>
        <w:pStyle w:val="Heading1"/>
        <w:tabs>
          <w:tab w:val="left" w:pos="391"/>
        </w:tabs>
        <w:snapToGrid w:val="0"/>
        <w:ind w:left="0" w:firstLine="0"/>
        <w:rPr>
          <w:color w:val="231F20"/>
          <w:spacing w:val="-6"/>
          <w:sz w:val="24"/>
          <w:szCs w:val="24"/>
          <w:lang w:val="en-US"/>
        </w:rPr>
      </w:pPr>
      <w:r>
        <w:rPr>
          <w:rFonts w:eastAsiaTheme="minorEastAsia"/>
          <w:color w:val="231F20"/>
          <w:spacing w:val="-6"/>
          <w:sz w:val="24"/>
          <w:szCs w:val="24"/>
          <w:lang w:val="en-US"/>
        </w:rPr>
        <w:t>5</w:t>
      </w:r>
      <w:r>
        <w:rPr>
          <w:color w:val="231F20"/>
          <w:spacing w:val="-6"/>
          <w:sz w:val="24"/>
          <w:szCs w:val="24"/>
          <w:lang w:val="en-US"/>
        </w:rPr>
        <w:t>. Conclusion</w:t>
      </w:r>
    </w:p>
    <w:p w14:paraId="2DF9BE07" w14:textId="12115CE1" w:rsidR="00D505D7" w:rsidRDefault="00000000" w:rsidP="00131A7E">
      <w:pPr>
        <w:pStyle w:val="BodyText"/>
        <w:snapToGrid w:val="0"/>
        <w:ind w:right="106"/>
        <w:jc w:val="both"/>
        <w:rPr>
          <w:color w:val="231F20"/>
          <w:sz w:val="24"/>
          <w:szCs w:val="24"/>
          <w:lang w:val="en-US"/>
        </w:rPr>
      </w:pPr>
      <w:r>
        <w:rPr>
          <w:color w:val="231F20"/>
          <w:sz w:val="24"/>
          <w:szCs w:val="24"/>
          <w:lang w:val="en-US"/>
        </w:rPr>
        <w:t xml:space="preserve">This evaluation of vaccine-preventable disease surveillance in Puyang City under the new circumstances of post-pandemic healthcare restructuring and advanced diagnostic deployment demonstrates that while electronic reporting timeliness has reached commendable levels for both pertussis and meningococcal meningitis, with over 93% of cases notified within 24 hours of diagnosis, the overall system sensitivity remains suboptimal for pertussis at 68.4%, leaving a substantial proportion of true infections undetected, and the timeliness of meningococcal meningitis has paradoxically worsened due to </w:t>
      </w:r>
      <w:r w:rsidR="0015649B">
        <w:rPr>
          <w:color w:val="231F20"/>
          <w:sz w:val="24"/>
          <w:szCs w:val="24"/>
          <w:lang w:val="en-US"/>
        </w:rPr>
        <w:t xml:space="preserve">centralized </w:t>
      </w:r>
      <w:r>
        <w:rPr>
          <w:color w:val="231F20"/>
          <w:sz w:val="24"/>
          <w:szCs w:val="24"/>
          <w:lang w:val="en-US"/>
        </w:rPr>
        <w:t xml:space="preserve">laboratory consolidation that introduced prolonged transport and batching delays. The rural-urban disparities, with rural areas exhibiting 22% lower sensitivity and 3-day longer reporting intervals for pertussis, constitute a major equity challenge that requires </w:t>
      </w:r>
      <w:r w:rsidR="0015649B">
        <w:rPr>
          <w:color w:val="231F20"/>
          <w:sz w:val="24"/>
          <w:szCs w:val="24"/>
          <w:lang w:val="en-US"/>
        </w:rPr>
        <w:t xml:space="preserve">decentralized </w:t>
      </w:r>
      <w:r>
        <w:rPr>
          <w:color w:val="231F20"/>
          <w:sz w:val="24"/>
          <w:szCs w:val="24"/>
          <w:lang w:val="en-US"/>
        </w:rPr>
        <w:t xml:space="preserve">molecular testing capacity, enhanced primary care training, and performance monitoring tailored to resource-limited settings. Age-specific vulnerabilities, particularly the low sensitivity for adolescent pertussis and the delayed reporting for adult meningitis, call for revised case definitions and heightened clinical awareness across all age strata, moving beyond the traditional </w:t>
      </w:r>
      <w:r w:rsidR="0015649B">
        <w:rPr>
          <w:color w:val="231F20"/>
          <w:sz w:val="24"/>
          <w:szCs w:val="24"/>
          <w:lang w:val="en-US"/>
        </w:rPr>
        <w:t xml:space="preserve">pediatric </w:t>
      </w:r>
      <w:r>
        <w:rPr>
          <w:color w:val="231F20"/>
          <w:sz w:val="24"/>
          <w:szCs w:val="24"/>
          <w:lang w:val="en-US"/>
        </w:rPr>
        <w:t xml:space="preserve">focus of these diseases. The divergent performance trajectories of the two pathogens underscore the necessity of disease-specific surveillance improvement strategies rather than one-size-fits-all approaches, with pertussis requiring expanded outpatient testing and reporting incentives, and meningococcal meningitis requiring restoration of rapid on-site diagnostic capabilities alongside continued quality assurance at the reference level. Moving forward, we recommend a phased action plan for Puyang that </w:t>
      </w:r>
      <w:r w:rsidR="0015649B">
        <w:rPr>
          <w:color w:val="231F20"/>
          <w:sz w:val="24"/>
          <w:szCs w:val="24"/>
          <w:lang w:val="en-US"/>
        </w:rPr>
        <w:t xml:space="preserve">prioritizes </w:t>
      </w:r>
      <w:r>
        <w:rPr>
          <w:color w:val="231F20"/>
          <w:sz w:val="24"/>
          <w:szCs w:val="24"/>
          <w:lang w:val="en-US"/>
        </w:rPr>
        <w:t>point-of-care polymerase chain reaction deployment in all county hospitals, a mobile application for rural health workers that simplifies case reporting and provides immediate feedback on test results, and a biannual audit and feedback cycle that benchmarks facility-level sensitivity and timeliness indicators, thereby fostering a culture of continuous quality improvement. Ultimately, the success of these interventions will depend on sustained political commitment, adequate budgetary allocation for laboratory supplies and transportation, and the active engagement of frontline clinicians who must be convinced that their reporting efforts directly influence disease control outcomes in their own communities. With these measures, Puyang can not only close the current surveillance gaps but also establish a resilient, equitable, and responsive system that serves as a model for other prefecture-level cities navigating the complex terrain of vaccine-preventable disease surveillance in an era of epidemiological transition and health system transformation.</w:t>
      </w:r>
    </w:p>
    <w:p w14:paraId="2DF9BE08" w14:textId="77777777" w:rsidR="00D505D7" w:rsidRDefault="00D505D7" w:rsidP="00131A7E">
      <w:pPr>
        <w:pStyle w:val="BodyText"/>
        <w:snapToGrid w:val="0"/>
        <w:ind w:right="106"/>
        <w:jc w:val="both"/>
        <w:rPr>
          <w:color w:val="231F20"/>
          <w:sz w:val="24"/>
          <w:szCs w:val="24"/>
          <w:lang w:val="en-US"/>
        </w:rPr>
      </w:pPr>
    </w:p>
    <w:p w14:paraId="2DF9BE09" w14:textId="77777777" w:rsidR="00D505D7" w:rsidRPr="00131A7E" w:rsidRDefault="00000000" w:rsidP="00131A7E">
      <w:pPr>
        <w:snapToGrid w:val="0"/>
        <w:rPr>
          <w:b/>
          <w:bCs/>
          <w:sz w:val="24"/>
          <w:lang w:val="en-MY"/>
        </w:rPr>
      </w:pPr>
      <w:bookmarkStart w:id="0" w:name="_Hlk181689731"/>
      <w:r w:rsidRPr="00131A7E">
        <w:rPr>
          <w:b/>
          <w:bCs/>
          <w:sz w:val="24"/>
          <w:lang w:val="en-MY"/>
        </w:rPr>
        <w:t>Disclosure statement</w:t>
      </w:r>
    </w:p>
    <w:p w14:paraId="2DF9BE0A" w14:textId="77777777" w:rsidR="00D505D7" w:rsidRPr="00131A7E" w:rsidRDefault="00000000" w:rsidP="00131A7E">
      <w:pPr>
        <w:snapToGrid w:val="0"/>
        <w:rPr>
          <w:sz w:val="24"/>
          <w:lang w:val="en-MY"/>
        </w:rPr>
      </w:pPr>
      <w:r w:rsidRPr="00131A7E">
        <w:rPr>
          <w:sz w:val="24"/>
          <w:lang w:val="en-MY"/>
        </w:rPr>
        <w:t xml:space="preserve">The authors declare no conflict of interest. </w:t>
      </w:r>
    </w:p>
    <w:bookmarkEnd w:id="0"/>
    <w:p w14:paraId="2DF9BE0B" w14:textId="77777777" w:rsidR="00D505D7" w:rsidRDefault="00D505D7" w:rsidP="00131A7E">
      <w:pPr>
        <w:pStyle w:val="BodyText"/>
        <w:snapToGrid w:val="0"/>
        <w:ind w:right="106"/>
        <w:jc w:val="both"/>
        <w:rPr>
          <w:color w:val="231F20"/>
          <w:sz w:val="24"/>
          <w:szCs w:val="24"/>
          <w:lang w:val="en-US"/>
        </w:rPr>
      </w:pPr>
    </w:p>
    <w:p w14:paraId="2DF9BE0C" w14:textId="77777777" w:rsidR="00D505D7" w:rsidRDefault="00000000" w:rsidP="00131A7E">
      <w:pPr>
        <w:pStyle w:val="Heading1"/>
        <w:tabs>
          <w:tab w:val="left" w:pos="391"/>
        </w:tabs>
        <w:snapToGrid w:val="0"/>
        <w:ind w:left="0" w:firstLine="0"/>
        <w:rPr>
          <w:color w:val="231F20"/>
          <w:spacing w:val="-6"/>
          <w:sz w:val="24"/>
          <w:szCs w:val="24"/>
          <w:lang w:val="en-US"/>
        </w:rPr>
      </w:pPr>
      <w:r>
        <w:rPr>
          <w:color w:val="231F20"/>
          <w:spacing w:val="-6"/>
          <w:sz w:val="24"/>
          <w:szCs w:val="24"/>
          <w:lang w:val="en-US"/>
        </w:rPr>
        <w:t>References</w:t>
      </w:r>
    </w:p>
    <w:p w14:paraId="1E6BF0A0" w14:textId="1EFD9269" w:rsidR="00D569D3" w:rsidRPr="00D569D3" w:rsidRDefault="00D569D3" w:rsidP="00131A7E">
      <w:pPr>
        <w:pStyle w:val="ListParagraph"/>
        <w:tabs>
          <w:tab w:val="left" w:pos="851"/>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[1] </w:t>
      </w:r>
      <w:r>
        <w:rPr>
          <w:color w:val="231F20"/>
          <w:spacing w:val="-1"/>
          <w:sz w:val="24"/>
          <w:szCs w:val="24"/>
          <w:lang w:val="en-MY"/>
        </w:rPr>
        <w:tab/>
      </w:r>
      <w:r w:rsidRPr="00D569D3">
        <w:rPr>
          <w:color w:val="231F20"/>
          <w:spacing w:val="-1"/>
          <w:sz w:val="24"/>
          <w:szCs w:val="24"/>
          <w:lang w:val="en-MY"/>
        </w:rPr>
        <w:t>Nie Y, Zhang Y, Yang Z, et al., 2024, Global Burden of Pertussis in 204 Countries and Territories, from 1990 to 2019: Results from the Global Burden of Disease Study 2019. BMC Public Health, 24(1): 1453.</w:t>
      </w:r>
    </w:p>
    <w:p w14:paraId="205B0EA8"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[2] </w:t>
      </w:r>
      <w:r>
        <w:rPr>
          <w:color w:val="231F20"/>
          <w:spacing w:val="-1"/>
          <w:sz w:val="24"/>
          <w:szCs w:val="24"/>
          <w:lang w:val="en-MY"/>
        </w:rPr>
        <w:tab/>
      </w:r>
      <w:r w:rsidRPr="00D569D3">
        <w:rPr>
          <w:color w:val="231F20"/>
          <w:spacing w:val="-1"/>
          <w:sz w:val="24"/>
          <w:szCs w:val="24"/>
          <w:lang w:val="en-MY"/>
        </w:rPr>
        <w:t>Ma L, Caulfield A, Dewan K, et al., 2021, Pertactin-Deficient Bordetella Pertussis, Vaccine-Driven Evolution, and Reemergence of Pertussis. Emerging Infectious Diseases, 27(6): 1561.</w:t>
      </w:r>
    </w:p>
    <w:p w14:paraId="4298495A"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[3] </w:t>
      </w:r>
      <w:r>
        <w:rPr>
          <w:color w:val="231F20"/>
          <w:spacing w:val="-1"/>
          <w:sz w:val="24"/>
          <w:szCs w:val="24"/>
          <w:lang w:val="en-MY"/>
        </w:rPr>
        <w:tab/>
      </w:r>
      <w:r w:rsidRPr="00D569D3">
        <w:rPr>
          <w:color w:val="231F20"/>
          <w:spacing w:val="-1"/>
          <w:sz w:val="24"/>
          <w:szCs w:val="24"/>
          <w:lang w:val="en-MY"/>
        </w:rPr>
        <w:t>Mengyang G, Yahong H, Qinghong M, et al., 2024, Resurgence and Atypical Patterns of Pertussis in China. Journal of Infection, 88(4): 106140.</w:t>
      </w:r>
    </w:p>
    <w:p w14:paraId="5A86AE34"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[4] </w:t>
      </w:r>
      <w:r>
        <w:rPr>
          <w:color w:val="231F20"/>
          <w:spacing w:val="-1"/>
          <w:sz w:val="24"/>
          <w:szCs w:val="24"/>
          <w:lang w:val="en-MY"/>
        </w:rPr>
        <w:tab/>
      </w:r>
      <w:r w:rsidRPr="00D569D3">
        <w:rPr>
          <w:color w:val="231F20"/>
          <w:spacing w:val="-1"/>
          <w:sz w:val="24"/>
          <w:szCs w:val="24"/>
          <w:lang w:val="en-MY"/>
        </w:rPr>
        <w:t>Xiao H, Liu F, He Y, et al., 2022, Unequal Impact of the COVID-19 Pandemic on Paediatric Cancer Care: A Population-Based Cohort Study in China. The Lancet Regional Health – Western Pacific, 19: 100347.</w:t>
      </w:r>
    </w:p>
    <w:p w14:paraId="422C6A43"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[5] </w:t>
      </w:r>
      <w:r>
        <w:rPr>
          <w:color w:val="231F20"/>
          <w:spacing w:val="-1"/>
          <w:sz w:val="24"/>
          <w:szCs w:val="24"/>
          <w:lang w:val="en-MY"/>
        </w:rPr>
        <w:tab/>
      </w:r>
      <w:r w:rsidRPr="00D569D3">
        <w:rPr>
          <w:color w:val="231F20"/>
          <w:spacing w:val="-1"/>
          <w:sz w:val="24"/>
          <w:szCs w:val="24"/>
          <w:lang w:val="en-MY"/>
        </w:rPr>
        <w:t>Abid Z, Castro Delgado R, Cernuda Martinez J, et al., 2022, The Impact of COVID-19 Pandemic Lockdown on Routine Immunization in the Province of Laghman, Afghanistan. Risk Management and Healthcare Policy, 15: 901–908.</w:t>
      </w:r>
    </w:p>
    <w:p w14:paraId="0ADC434E"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[6] </w:t>
      </w:r>
      <w:r>
        <w:rPr>
          <w:color w:val="231F20"/>
          <w:spacing w:val="-1"/>
          <w:sz w:val="24"/>
          <w:szCs w:val="24"/>
          <w:lang w:val="en-MY"/>
        </w:rPr>
        <w:tab/>
      </w:r>
      <w:r w:rsidRPr="00D569D3">
        <w:rPr>
          <w:color w:val="231F20"/>
          <w:spacing w:val="-1"/>
          <w:sz w:val="24"/>
          <w:szCs w:val="24"/>
          <w:lang w:val="en-MY"/>
        </w:rPr>
        <w:t>Stein-Zamir C, Levine H, 2021, The Measles Outbreak in Israel in 2018–19: Lessons for COVID-</w:t>
      </w:r>
      <w:r w:rsidRPr="00D569D3">
        <w:rPr>
          <w:color w:val="231F20"/>
          <w:spacing w:val="-1"/>
          <w:sz w:val="24"/>
          <w:szCs w:val="24"/>
          <w:lang w:val="en-MY"/>
        </w:rPr>
        <w:lastRenderedPageBreak/>
        <w:t>19 Pandemic. Human Vaccines &amp; Immunotherapeutics, 17(7): 2085–2089.</w:t>
      </w:r>
    </w:p>
    <w:p w14:paraId="7F507497"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[7] </w:t>
      </w:r>
      <w:r>
        <w:rPr>
          <w:color w:val="231F20"/>
          <w:spacing w:val="-1"/>
          <w:sz w:val="24"/>
          <w:szCs w:val="24"/>
          <w:lang w:val="en-MY"/>
        </w:rPr>
        <w:tab/>
      </w:r>
      <w:r w:rsidRPr="00D569D3">
        <w:rPr>
          <w:color w:val="231F20"/>
          <w:spacing w:val="-1"/>
          <w:sz w:val="24"/>
          <w:szCs w:val="24"/>
          <w:lang w:val="en-MY"/>
        </w:rPr>
        <w:t>Cohen R, Ashman M, Taha M, et al., 2021, Pediatric Infectious Disease Group (GPIP) Position Paper on the Immune Debt of the COVID-19 Pandemic in Childhood, How Can We Fill the Immunity Gap? Infectious Diseases Now, 51(5): 418–423.</w:t>
      </w:r>
    </w:p>
    <w:p w14:paraId="36CCE01E"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[8] </w:t>
      </w:r>
      <w:r>
        <w:rPr>
          <w:color w:val="231F20"/>
          <w:spacing w:val="-1"/>
          <w:sz w:val="24"/>
          <w:szCs w:val="24"/>
          <w:lang w:val="en-MY"/>
        </w:rPr>
        <w:tab/>
      </w:r>
      <w:r w:rsidRPr="00D569D3">
        <w:rPr>
          <w:color w:val="231F20"/>
          <w:spacing w:val="-1"/>
          <w:sz w:val="24"/>
          <w:szCs w:val="24"/>
          <w:lang w:val="en-MY"/>
        </w:rPr>
        <w:t>Hull B, Hendry A, Dey A, et al., 2021, The Impact of the COVID-19 Pandemic on Routine Vaccinations in Victoria. The Medical Journal of Australia, 215(2): 83–84.</w:t>
      </w:r>
    </w:p>
    <w:p w14:paraId="204FC066" w14:textId="77777777" w:rsidR="00D569D3" w:rsidRDefault="00D569D3" w:rsidP="00D569D3">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[9] </w:t>
      </w:r>
      <w:r>
        <w:rPr>
          <w:color w:val="231F20"/>
          <w:spacing w:val="-1"/>
          <w:sz w:val="24"/>
          <w:szCs w:val="24"/>
          <w:lang w:val="en-MY"/>
        </w:rPr>
        <w:tab/>
      </w:r>
      <w:r w:rsidRPr="00D569D3">
        <w:rPr>
          <w:color w:val="231F20"/>
          <w:spacing w:val="-1"/>
          <w:sz w:val="24"/>
          <w:szCs w:val="24"/>
          <w:lang w:val="en-MY"/>
        </w:rPr>
        <w:t>Spencer N, Markham W, Johnson S, et al., 2022, The Impact of COVID-19 Pandemic on Inequity in Routine Childhood Vaccination Coverage: A Systematic Review. Vaccines, 10(7): 1013.</w:t>
      </w:r>
    </w:p>
    <w:p w14:paraId="383CAFD1" w14:textId="457CA06E" w:rsidR="00D569D3" w:rsidRPr="00D569D3" w:rsidRDefault="00D569D3" w:rsidP="00131A7E">
      <w:pPr>
        <w:pStyle w:val="ListParagraph"/>
        <w:tabs>
          <w:tab w:val="left" w:pos="284"/>
        </w:tabs>
        <w:snapToGrid w:val="0"/>
        <w:spacing w:before="0"/>
        <w:ind w:left="709" w:right="107" w:hanging="709"/>
        <w:jc w:val="both"/>
        <w:rPr>
          <w:color w:val="231F20"/>
          <w:spacing w:val="-1"/>
          <w:sz w:val="24"/>
          <w:szCs w:val="24"/>
          <w:lang w:val="en-MY"/>
        </w:rPr>
      </w:pPr>
      <w:r w:rsidRPr="00D569D3">
        <w:rPr>
          <w:color w:val="231F20"/>
          <w:spacing w:val="-1"/>
          <w:sz w:val="24"/>
          <w:szCs w:val="24"/>
          <w:lang w:val="en-MY"/>
        </w:rPr>
        <w:t xml:space="preserve">[10] </w:t>
      </w:r>
      <w:r>
        <w:rPr>
          <w:color w:val="231F20"/>
          <w:spacing w:val="-1"/>
          <w:sz w:val="24"/>
          <w:szCs w:val="24"/>
          <w:lang w:val="en-MY"/>
        </w:rPr>
        <w:tab/>
      </w:r>
      <w:r w:rsidRPr="00D569D3">
        <w:rPr>
          <w:color w:val="231F20"/>
          <w:spacing w:val="-1"/>
          <w:sz w:val="24"/>
          <w:szCs w:val="24"/>
          <w:lang w:val="en-MY"/>
        </w:rPr>
        <w:t>Yeoh E, Chong K, Chiew C, et al., 2021, Assessing the Impact of Non-Pharmaceutical Interventions on the Transmissibility and Severity of COVID-19 During the First Five Months in the Western Pacific Region. One Health, 12: 100213.</w:t>
      </w:r>
    </w:p>
    <w:p w14:paraId="22EC6467" w14:textId="3BB069C6" w:rsidR="00367831" w:rsidRDefault="00367831" w:rsidP="00131A7E">
      <w:pPr>
        <w:pStyle w:val="ListParagraph"/>
        <w:tabs>
          <w:tab w:val="left" w:pos="511"/>
        </w:tabs>
        <w:snapToGrid w:val="0"/>
        <w:spacing w:before="0"/>
        <w:ind w:right="107" w:hanging="510"/>
        <w:jc w:val="both"/>
        <w:rPr>
          <w:rFonts w:eastAsiaTheme="minorEastAsia"/>
          <w:color w:val="231F20"/>
          <w:sz w:val="24"/>
          <w:szCs w:val="24"/>
          <w:lang w:val="en-US"/>
        </w:rPr>
      </w:pPr>
    </w:p>
    <w:p w14:paraId="319D6370" w14:textId="77777777" w:rsidR="00367831" w:rsidRPr="00131A7E" w:rsidRDefault="00367831" w:rsidP="00131A7E">
      <w:pPr>
        <w:pStyle w:val="ListParagraph"/>
        <w:tabs>
          <w:tab w:val="left" w:pos="142"/>
        </w:tabs>
        <w:ind w:left="0" w:right="107" w:firstLine="0"/>
        <w:rPr>
          <w:rFonts w:eastAsiaTheme="minorEastAsia"/>
          <w:b/>
          <w:bCs/>
          <w:color w:val="231F20"/>
          <w:sz w:val="20"/>
          <w:szCs w:val="20"/>
          <w:lang w:val="en-US"/>
        </w:rPr>
      </w:pPr>
      <w:r w:rsidRPr="00131A7E">
        <w:rPr>
          <w:rFonts w:eastAsiaTheme="minorEastAsia"/>
          <w:b/>
          <w:bCs/>
          <w:color w:val="231F20"/>
          <w:sz w:val="20"/>
          <w:szCs w:val="20"/>
          <w:lang w:val="en-US"/>
        </w:rPr>
        <w:t>Publisher’s note</w:t>
      </w:r>
    </w:p>
    <w:p w14:paraId="7DFC8272" w14:textId="77777777" w:rsidR="00367831" w:rsidRPr="00131A7E" w:rsidRDefault="00367831" w:rsidP="00131A7E">
      <w:pPr>
        <w:pStyle w:val="ListParagraph"/>
        <w:tabs>
          <w:tab w:val="left" w:pos="142"/>
        </w:tabs>
        <w:ind w:left="0" w:right="107" w:firstLine="0"/>
        <w:rPr>
          <w:rFonts w:eastAsiaTheme="minorEastAsia"/>
          <w:color w:val="231F20"/>
          <w:sz w:val="20"/>
          <w:szCs w:val="20"/>
          <w:lang w:val="en-US"/>
        </w:rPr>
      </w:pPr>
      <w:r w:rsidRPr="00131A7E">
        <w:rPr>
          <w:rFonts w:eastAsiaTheme="minorEastAsia"/>
          <w:color w:val="231F20"/>
          <w:sz w:val="20"/>
          <w:szCs w:val="20"/>
          <w:lang w:val="en-US"/>
        </w:rPr>
        <w:t xml:space="preserve">Bio-Byword Scientific Publishing remains neutral with regard to jurisdictional claims in published maps and institutional affiliations. </w:t>
      </w:r>
    </w:p>
    <w:p w14:paraId="232F78D8" w14:textId="77777777" w:rsidR="00367831" w:rsidRDefault="00367831" w:rsidP="00131A7E">
      <w:pPr>
        <w:pStyle w:val="ListParagraph"/>
        <w:tabs>
          <w:tab w:val="left" w:pos="511"/>
        </w:tabs>
        <w:snapToGrid w:val="0"/>
        <w:spacing w:before="0"/>
        <w:ind w:right="107" w:hanging="401"/>
        <w:jc w:val="both"/>
        <w:rPr>
          <w:rFonts w:eastAsiaTheme="minorEastAsia"/>
          <w:color w:val="231F20"/>
          <w:sz w:val="24"/>
          <w:szCs w:val="24"/>
          <w:lang w:val="en-US"/>
        </w:rPr>
      </w:pPr>
    </w:p>
    <w:sectPr w:rsidR="00367831" w:rsidSect="00131A7E">
      <w:footerReference w:type="even" r:id="rId6"/>
      <w:footerReference w:type="default" r:id="rId7"/>
      <w:pgSz w:w="12250" w:h="17180"/>
      <w:pgMar w:top="1134" w:right="1134" w:bottom="1134" w:left="1134" w:header="0" w:footer="9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97A5" w14:textId="77777777" w:rsidR="002716AA" w:rsidRDefault="002716AA">
      <w:r>
        <w:separator/>
      </w:r>
    </w:p>
  </w:endnote>
  <w:endnote w:type="continuationSeparator" w:id="0">
    <w:p w14:paraId="1C16CFF6" w14:textId="77777777" w:rsidR="002716AA" w:rsidRDefault="00271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BE17" w14:textId="77777777" w:rsidR="00D505D7" w:rsidRDefault="00D505D7">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BE18" w14:textId="77777777" w:rsidR="00D505D7" w:rsidRDefault="00D505D7">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6A777" w14:textId="77777777" w:rsidR="002716AA" w:rsidRDefault="002716AA">
      <w:r>
        <w:separator/>
      </w:r>
    </w:p>
  </w:footnote>
  <w:footnote w:type="continuationSeparator" w:id="0">
    <w:p w14:paraId="3A970470" w14:textId="77777777" w:rsidR="002716AA" w:rsidRDefault="002716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readOnly" w:enforcement="0"/>
  <w:defaultTabStop w:val="720"/>
  <w:evenAndOddHeaders/>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3165D"/>
    <w:rsid w:val="0003247A"/>
    <w:rsid w:val="000A14B9"/>
    <w:rsid w:val="000B5CC3"/>
    <w:rsid w:val="000F63C0"/>
    <w:rsid w:val="00131A7E"/>
    <w:rsid w:val="0015649B"/>
    <w:rsid w:val="00172A27"/>
    <w:rsid w:val="00197782"/>
    <w:rsid w:val="001F71C7"/>
    <w:rsid w:val="002264CD"/>
    <w:rsid w:val="00237DBF"/>
    <w:rsid w:val="002433AA"/>
    <w:rsid w:val="00270AE4"/>
    <w:rsid w:val="002716AA"/>
    <w:rsid w:val="0028083F"/>
    <w:rsid w:val="002E1C99"/>
    <w:rsid w:val="00300972"/>
    <w:rsid w:val="00304E85"/>
    <w:rsid w:val="00305C2B"/>
    <w:rsid w:val="003146E6"/>
    <w:rsid w:val="00330C53"/>
    <w:rsid w:val="00367831"/>
    <w:rsid w:val="0038365D"/>
    <w:rsid w:val="00397ED1"/>
    <w:rsid w:val="003B7202"/>
    <w:rsid w:val="003C0FBA"/>
    <w:rsid w:val="003C3485"/>
    <w:rsid w:val="00480F51"/>
    <w:rsid w:val="00482282"/>
    <w:rsid w:val="004A1D41"/>
    <w:rsid w:val="004A484E"/>
    <w:rsid w:val="004F1B88"/>
    <w:rsid w:val="0050451C"/>
    <w:rsid w:val="0053033D"/>
    <w:rsid w:val="00561813"/>
    <w:rsid w:val="005E7D8B"/>
    <w:rsid w:val="00667486"/>
    <w:rsid w:val="0067159B"/>
    <w:rsid w:val="006E639E"/>
    <w:rsid w:val="00726FB3"/>
    <w:rsid w:val="00761593"/>
    <w:rsid w:val="007D3D24"/>
    <w:rsid w:val="007E44FC"/>
    <w:rsid w:val="00926A47"/>
    <w:rsid w:val="00937F8E"/>
    <w:rsid w:val="009A31C3"/>
    <w:rsid w:val="009E2F91"/>
    <w:rsid w:val="00A55452"/>
    <w:rsid w:val="00B106AB"/>
    <w:rsid w:val="00C04FB8"/>
    <w:rsid w:val="00C25D2F"/>
    <w:rsid w:val="00C36FEF"/>
    <w:rsid w:val="00C65EC8"/>
    <w:rsid w:val="00C82B6E"/>
    <w:rsid w:val="00CA00D9"/>
    <w:rsid w:val="00CB59BE"/>
    <w:rsid w:val="00D505D7"/>
    <w:rsid w:val="00D569D3"/>
    <w:rsid w:val="00DA6BDA"/>
    <w:rsid w:val="00DB2785"/>
    <w:rsid w:val="00E17C06"/>
    <w:rsid w:val="00E62214"/>
    <w:rsid w:val="00EB755B"/>
    <w:rsid w:val="00F24871"/>
    <w:rsid w:val="00F36FEB"/>
    <w:rsid w:val="00FB194E"/>
    <w:rsid w:val="00FB5D8B"/>
    <w:rsid w:val="00FC6DDE"/>
    <w:rsid w:val="00FD6A52"/>
    <w:rsid w:val="01D474CE"/>
    <w:rsid w:val="05DF453D"/>
    <w:rsid w:val="0E3B0000"/>
    <w:rsid w:val="103548B0"/>
    <w:rsid w:val="299558B3"/>
    <w:rsid w:val="2C517A1E"/>
    <w:rsid w:val="32287A98"/>
    <w:rsid w:val="329C393D"/>
    <w:rsid w:val="3B6944CA"/>
    <w:rsid w:val="45742B37"/>
    <w:rsid w:val="46DA08F7"/>
    <w:rsid w:val="4B083EF1"/>
    <w:rsid w:val="57284198"/>
    <w:rsid w:val="5C7152A7"/>
    <w:rsid w:val="5DEA4621"/>
    <w:rsid w:val="60006DFF"/>
    <w:rsid w:val="61CA743E"/>
    <w:rsid w:val="66B67C40"/>
    <w:rsid w:val="676E6ABB"/>
    <w:rsid w:val="689723FA"/>
    <w:rsid w:val="690D012E"/>
    <w:rsid w:val="6A220CF1"/>
    <w:rsid w:val="6FA263D5"/>
    <w:rsid w:val="71110AFE"/>
    <w:rsid w:val="728B07CD"/>
    <w:rsid w:val="763145D8"/>
    <w:rsid w:val="7DA66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9BD09"/>
  <w15:docId w15:val="{99856017-8D22-4400-89E2-24843B49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zh-CN" w:bidi="zh-CN"/>
    </w:rPr>
  </w:style>
  <w:style w:type="paragraph" w:styleId="Heading1">
    <w:name w:val="heading 1"/>
    <w:basedOn w:val="Normal"/>
    <w:uiPriority w:val="1"/>
    <w:qFormat/>
    <w:pPr>
      <w:ind w:left="390" w:hanging="280"/>
      <w:outlineLvl w:val="0"/>
    </w:pPr>
    <w:rPr>
      <w:b/>
      <w:bCs/>
      <w:sz w:val="28"/>
      <w:szCs w:val="28"/>
    </w:rPr>
  </w:style>
  <w:style w:type="paragraph" w:styleId="Heading2">
    <w:name w:val="heading 2"/>
    <w:basedOn w:val="Normal"/>
    <w:uiPriority w:val="1"/>
    <w:qFormat/>
    <w:pPr>
      <w:spacing w:before="1"/>
      <w:ind w:left="470" w:hanging="360"/>
      <w:outlineLvl w:val="1"/>
    </w:pPr>
    <w:rPr>
      <w:b/>
      <w:bCs/>
      <w:sz w:val="24"/>
      <w:szCs w:val="24"/>
    </w:rPr>
  </w:style>
  <w:style w:type="paragraph" w:styleId="Heading3">
    <w:name w:val="heading 3"/>
    <w:basedOn w:val="Normal"/>
    <w:uiPriority w:val="1"/>
    <w:qFormat/>
    <w:pPr>
      <w:ind w:left="560" w:hanging="45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style>
  <w:style w:type="paragraph" w:styleId="BodyText">
    <w:name w:val="Body Text"/>
    <w:basedOn w:val="Normal"/>
    <w:uiPriority w:val="1"/>
    <w:qFormat/>
    <w:rPr>
      <w:sz w:val="20"/>
      <w:szCs w:val="20"/>
    </w:rPr>
  </w:style>
  <w:style w:type="paragraph" w:styleId="Footer">
    <w:name w:val="footer"/>
    <w:basedOn w:val="Normal"/>
    <w:link w:val="FooterChar"/>
    <w:qFormat/>
    <w:pPr>
      <w:tabs>
        <w:tab w:val="center" w:pos="4153"/>
        <w:tab w:val="right" w:pos="8306"/>
      </w:tabs>
      <w:snapToGrid w:val="0"/>
    </w:pPr>
    <w:rPr>
      <w:sz w:val="18"/>
      <w:szCs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NormalWeb">
    <w:name w:val="Normal (Web)"/>
    <w:basedOn w:val="Normal"/>
    <w:qFormat/>
    <w:rPr>
      <w:sz w:val="24"/>
      <w:szCs w:val="24"/>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
      <w:ind w:left="510" w:hanging="400"/>
    </w:pPr>
  </w:style>
  <w:style w:type="paragraph" w:customStyle="1" w:styleId="TableParagraph">
    <w:name w:val="Table Paragraph"/>
    <w:basedOn w:val="Normal"/>
    <w:uiPriority w:val="1"/>
    <w:qFormat/>
    <w:pPr>
      <w:jc w:val="center"/>
    </w:pPr>
  </w:style>
  <w:style w:type="paragraph" w:customStyle="1" w:styleId="Default">
    <w:name w:val="Default"/>
    <w:uiPriority w:val="99"/>
    <w:unhideWhenUsed/>
    <w:qFormat/>
    <w:pPr>
      <w:widowControl w:val="0"/>
      <w:autoSpaceDE w:val="0"/>
      <w:autoSpaceDN w:val="0"/>
      <w:adjustRightInd w:val="0"/>
    </w:pPr>
    <w:rPr>
      <w:rFonts w:eastAsia="Times New Roman" w:cstheme="minorBidi" w:hint="eastAsia"/>
      <w:color w:val="000000"/>
      <w:sz w:val="24"/>
      <w:szCs w:val="24"/>
      <w:lang w:val="en-US"/>
    </w:rPr>
  </w:style>
  <w:style w:type="character" w:customStyle="1" w:styleId="FooterChar">
    <w:name w:val="Footer Char"/>
    <w:basedOn w:val="DefaultParagraphFont"/>
    <w:link w:val="Footer"/>
    <w:qFormat/>
    <w:rPr>
      <w:rFonts w:eastAsia="Times New Roman"/>
      <w:sz w:val="18"/>
      <w:szCs w:val="18"/>
      <w:lang w:val="zh-CN" w:bidi="zh-CN"/>
    </w:rPr>
  </w:style>
  <w:style w:type="paragraph" w:styleId="Revision">
    <w:name w:val="Revision"/>
    <w:hidden/>
    <w:uiPriority w:val="99"/>
    <w:unhideWhenUsed/>
    <w:rsid w:val="0003247A"/>
    <w:rPr>
      <w:rFonts w:eastAsia="Times New Roman"/>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4592</Words>
  <Characters>26179</Characters>
  <Application>Microsoft Office Word</Application>
  <DocSecurity>0</DocSecurity>
  <Lines>218</Lines>
  <Paragraphs>61</Paragraphs>
  <ScaleCrop>false</ScaleCrop>
  <Company/>
  <LinksUpToDate>false</LinksUpToDate>
  <CharactersWithSpaces>30710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 NB1</cp:lastModifiedBy>
  <cp:revision>3</cp:revision>
  <cp:lastPrinted>2026-09-07T01:24:00Z</cp:lastPrinted>
  <dcterms:created xsi:type="dcterms:W3CDTF">2026-09-13T17:32:00Z</dcterms:created>
  <dcterms:modified xsi:type="dcterms:W3CDTF">2026-09-14T03:17:00Z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Adobe InDesign 15.0 (Windows)</vt:lpwstr>
  </property>
  <property fmtid="{D5CDD505-2E9C-101B-9397-08002B2CF9AE}" pid="4" name="LastSaved">
    <vt:filetime>2025-02-14T00:00:00Z</vt:filetime>
  </property>
  <property fmtid="{D5CDD505-2E9C-101B-9397-08002B2CF9AE}" pid="5" name="KSOTemplateDocerSaveRecord">
    <vt:lpwstr>eyJoZGlkIjoiZTBiYjBjMzJlZDA2ZWE2YWNmMzQyN2E2MGVlZTcxZjkiLCJ1c2VySWQiOiI2MTA5NTIyOTYifQ==</vt:lpwstr>
  </property>
  <property fmtid="{D5CDD505-2E9C-101B-9397-08002B2CF9AE}" pid="6" name="KSOProductBuildVer">
    <vt:lpwstr>2052-12.1.0.28505</vt:lpwstr>
  </property>
  <property fmtid="{D5CDD505-2E9C-101B-9397-08002B2CF9AE}" pid="7" name="ICV">
    <vt:lpwstr>24B47179BEC24CF3BF98086059C92F14_13</vt:lpwstr>
  </property>
  <property fmtid="{D5CDD505-2E9C-101B-9397-08002B2CF9AE}" pid="8" name="GrammarlyDocumentId">
    <vt:lpwstr>03deb5ce-20fa-4d97-be39-09250cb40d57</vt:lpwstr>
  </property>
</Properties>
</file>