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64A29" w14:textId="77777777" w:rsidR="009076EE" w:rsidRDefault="00000000" w:rsidP="00113A51">
      <w:pPr>
        <w:snapToGrid w:val="0"/>
        <w:jc w:val="left"/>
        <w:rPr>
          <w:rFonts w:ascii="Times New Roman" w:hAnsi="Times New Roman" w:cs="Times New Roman"/>
          <w:b/>
          <w:bCs/>
          <w:sz w:val="44"/>
          <w:szCs w:val="44"/>
        </w:rPr>
      </w:pPr>
      <w:r>
        <w:rPr>
          <w:rFonts w:ascii="Times New Roman" w:hAnsi="Times New Roman" w:cs="Times New Roman"/>
          <w:b/>
          <w:bCs/>
          <w:sz w:val="44"/>
          <w:szCs w:val="44"/>
        </w:rPr>
        <w:t>Systematic Review of Delirium Risk Prediction Models in Adult ICU Patients</w:t>
      </w:r>
    </w:p>
    <w:p w14:paraId="5B77FBDB" w14:textId="77777777" w:rsidR="009076EE" w:rsidRDefault="00000000" w:rsidP="00113A51">
      <w:pPr>
        <w:snapToGrid w:val="0"/>
        <w:rPr>
          <w:rFonts w:ascii="Times New Roman" w:hAnsi="Times New Roman" w:cs="Times New Roman"/>
          <w:b/>
          <w:bCs/>
          <w:sz w:val="24"/>
          <w:szCs w:val="24"/>
        </w:rPr>
      </w:pPr>
      <w:r>
        <w:rPr>
          <w:rFonts w:ascii="Times New Roman" w:hAnsi="Times New Roman" w:cs="Times New Roman"/>
          <w:b/>
          <w:bCs/>
          <w:sz w:val="24"/>
          <w:szCs w:val="24"/>
        </w:rPr>
        <w:t>Yiyuan Qiu</w:t>
      </w:r>
      <w:r>
        <w:rPr>
          <w:rFonts w:ascii="Times New Roman" w:hAnsi="Times New Roman" w:cs="Times New Roman" w:hint="eastAsia"/>
          <w:b/>
          <w:bCs/>
          <w:sz w:val="24"/>
          <w:szCs w:val="24"/>
          <w:vertAlign w:val="superscript"/>
        </w:rPr>
        <w:t>1</w:t>
      </w:r>
      <w:r>
        <w:rPr>
          <w:rFonts w:ascii="Times New Roman" w:hAnsi="Times New Roman" w:cs="Times New Roman"/>
          <w:b/>
          <w:bCs/>
          <w:sz w:val="24"/>
          <w:szCs w:val="24"/>
        </w:rPr>
        <w:t>, Lan Yao</w:t>
      </w:r>
      <w:r>
        <w:rPr>
          <w:rFonts w:ascii="Times New Roman" w:hAnsi="Times New Roman" w:cs="Times New Roman" w:hint="eastAsia"/>
          <w:b/>
          <w:bCs/>
          <w:sz w:val="24"/>
          <w:szCs w:val="24"/>
          <w:vertAlign w:val="superscript"/>
        </w:rPr>
        <w:t>2</w:t>
      </w:r>
      <w:r>
        <w:rPr>
          <w:rFonts w:ascii="Times New Roman" w:hAnsi="Times New Roman" w:cs="Times New Roman"/>
          <w:b/>
          <w:bCs/>
          <w:sz w:val="24"/>
          <w:szCs w:val="24"/>
        </w:rPr>
        <w:t>*</w:t>
      </w:r>
    </w:p>
    <w:p w14:paraId="2505EF28"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hint="eastAsia"/>
          <w:sz w:val="24"/>
          <w:szCs w:val="24"/>
          <w:vertAlign w:val="superscript"/>
        </w:rPr>
        <w:t>1</w:t>
      </w:r>
      <w:r>
        <w:rPr>
          <w:rFonts w:ascii="Times New Roman" w:hAnsi="Times New Roman" w:cs="Times New Roman"/>
          <w:sz w:val="24"/>
          <w:szCs w:val="24"/>
        </w:rPr>
        <w:t>Department of Thoracic Surgery, The First Affiliated Hospital of Dalian Medical University, Dalian 116011, Liaoning, China</w:t>
      </w:r>
    </w:p>
    <w:p w14:paraId="6FB488E7"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hint="eastAsia"/>
          <w:sz w:val="24"/>
          <w:szCs w:val="24"/>
          <w:vertAlign w:val="superscript"/>
        </w:rPr>
        <w:t>2</w:t>
      </w:r>
      <w:r>
        <w:rPr>
          <w:rFonts w:ascii="Times New Roman" w:hAnsi="Times New Roman" w:cs="Times New Roman"/>
          <w:sz w:val="24"/>
          <w:szCs w:val="24"/>
        </w:rPr>
        <w:t>Department of Nursing, The First Affiliated Hospital of Dalian Medical University, Dalian 116011, Liaoning, China</w:t>
      </w:r>
    </w:p>
    <w:p w14:paraId="7BF4E8AC"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w:t>
      </w:r>
      <w:r>
        <w:rPr>
          <w:rFonts w:ascii="Times New Roman" w:hAnsi="Times New Roman" w:cs="Times New Roman"/>
          <w:b/>
          <w:bCs/>
          <w:i/>
          <w:iCs/>
          <w:sz w:val="24"/>
          <w:szCs w:val="24"/>
        </w:rPr>
        <w:t>Corresponding author</w:t>
      </w:r>
      <w:r>
        <w:rPr>
          <w:rFonts w:ascii="Times New Roman" w:hAnsi="Times New Roman" w:cs="Times New Roman"/>
          <w:sz w:val="24"/>
          <w:szCs w:val="24"/>
        </w:rPr>
        <w:t>: Lan Yao, 561151512@qq.com</w:t>
      </w:r>
    </w:p>
    <w:p w14:paraId="7D8EF7E8" w14:textId="77777777" w:rsidR="009076EE" w:rsidRDefault="009076EE" w:rsidP="00943A1B">
      <w:pPr>
        <w:snapToGrid w:val="0"/>
        <w:rPr>
          <w:rFonts w:ascii="Times New Roman" w:hAnsi="Times New Roman" w:cs="Times New Roman"/>
          <w:b/>
          <w:bCs/>
          <w:sz w:val="24"/>
          <w:szCs w:val="24"/>
        </w:rPr>
      </w:pPr>
    </w:p>
    <w:p w14:paraId="4CABADF7" w14:textId="77777777" w:rsidR="00943A1B" w:rsidRPr="00113A51" w:rsidRDefault="00943A1B" w:rsidP="00943A1B">
      <w:pPr>
        <w:snapToGrid w:val="0"/>
        <w:rPr>
          <w:rFonts w:ascii="Times New Roman" w:eastAsia="DengXian" w:hAnsi="Times New Roman" w:cs="Times New Roman"/>
          <w:b/>
          <w:bCs/>
          <w:color w:val="000000" w:themeColor="text1"/>
          <w:sz w:val="20"/>
          <w:szCs w:val="20"/>
        </w:rPr>
      </w:pPr>
      <w:r w:rsidRPr="00113A51">
        <w:rPr>
          <w:rFonts w:ascii="Times New Roman" w:eastAsia="DengXian" w:hAnsi="Times New Roman" w:cs="Times New Roman"/>
          <w:b/>
          <w:bCs/>
          <w:color w:val="000000" w:themeColor="text1"/>
          <w:sz w:val="20"/>
          <w:szCs w:val="20"/>
        </w:rPr>
        <w:t xml:space="preserve">Copyright: </w:t>
      </w:r>
      <w:r w:rsidRPr="00113A51">
        <w:rPr>
          <w:rFonts w:ascii="Times New Roman" w:eastAsia="DengXian" w:hAnsi="Times New Roman" w:cs="Times New Roman"/>
          <w:color w:val="000000" w:themeColor="text1"/>
          <w:sz w:val="20"/>
          <w:szCs w:val="20"/>
        </w:rPr>
        <w:t>© 2026 Author(s). This is an open-access article distributed under the terms of the Creative Commons Attribution License (CC BY 4.0), permitting distribution and reproduction in any medium, provided the original work is cited.</w:t>
      </w:r>
    </w:p>
    <w:p w14:paraId="0B05F0F4" w14:textId="77777777" w:rsidR="00943A1B" w:rsidRDefault="00943A1B" w:rsidP="00113A51">
      <w:pPr>
        <w:snapToGrid w:val="0"/>
        <w:rPr>
          <w:rFonts w:ascii="Times New Roman" w:hAnsi="Times New Roman" w:cs="Times New Roman"/>
          <w:b/>
          <w:bCs/>
          <w:sz w:val="24"/>
          <w:szCs w:val="24"/>
        </w:rPr>
      </w:pPr>
    </w:p>
    <w:p w14:paraId="70C96EFF"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Abstract</w:t>
      </w:r>
      <w:r>
        <w:rPr>
          <w:rFonts w:ascii="Times New Roman" w:hAnsi="Times New Roman" w:cs="Times New Roman" w:hint="eastAsia"/>
          <w:b/>
          <w:bCs/>
          <w:sz w:val="24"/>
          <w:szCs w:val="24"/>
        </w:rPr>
        <w:t xml:space="preserve">: </w:t>
      </w:r>
      <w:r>
        <w:rPr>
          <w:rFonts w:ascii="Times New Roman" w:hAnsi="Times New Roman" w:cs="Times New Roman"/>
          <w:i/>
          <w:iCs/>
          <w:sz w:val="24"/>
          <w:szCs w:val="24"/>
        </w:rPr>
        <w:t>Objective</w:t>
      </w:r>
      <w:r>
        <w:rPr>
          <w:rFonts w:ascii="Times New Roman" w:hAnsi="Times New Roman" w:cs="Times New Roman"/>
          <w:sz w:val="24"/>
          <w:szCs w:val="24"/>
        </w:rPr>
        <w:t>: To systematically retrieve and evaluate delirium risk prediction models in adult intensive care unit (ICU) patients and provide evidence for model optimization and clinical practice. </w:t>
      </w:r>
      <w:r>
        <w:rPr>
          <w:rFonts w:ascii="Times New Roman" w:hAnsi="Times New Roman" w:cs="Times New Roman"/>
          <w:i/>
          <w:iCs/>
          <w:sz w:val="24"/>
          <w:szCs w:val="24"/>
        </w:rPr>
        <w:t>Methods</w:t>
      </w:r>
      <w:r>
        <w:rPr>
          <w:rFonts w:ascii="Times New Roman" w:hAnsi="Times New Roman" w:cs="Times New Roman"/>
          <w:sz w:val="24"/>
          <w:szCs w:val="24"/>
        </w:rPr>
        <w:t>: A systematic literature search was conducted in PubMed, Web of Science, Embase, Cochrane Library, CINAHL, CNKI, Wanfang Data, VIP, and CBM databases from inception to August 2025. Two independent researchers performed literature screening, data extraction, and quality assessment. </w:t>
      </w:r>
      <w:r>
        <w:rPr>
          <w:rFonts w:ascii="Times New Roman" w:hAnsi="Times New Roman" w:cs="Times New Roman"/>
          <w:i/>
          <w:iCs/>
          <w:sz w:val="24"/>
          <w:szCs w:val="24"/>
        </w:rPr>
        <w:t>Results</w:t>
      </w:r>
      <w:r>
        <w:rPr>
          <w:rFonts w:ascii="Times New Roman" w:hAnsi="Times New Roman" w:cs="Times New Roman"/>
          <w:sz w:val="24"/>
          <w:szCs w:val="24"/>
        </w:rPr>
        <w:t>: Seventeen studies involving 18 prediction models were included, with sample sizes ranging from 100 to 8,878 cases and outcome events from 21 to 4,431 cases. The area under curve (AUC) for model development ranged from 0.732 to 0.941. Twelve models reported calibration, 10 studies performed internal validation, and 6 studies conducted external validation. Overall applicability of the 17 studies was acceptable. The final models contained 3-15 predictors; however, all models exhibited high risk of bias. </w:t>
      </w:r>
      <w:r>
        <w:rPr>
          <w:rFonts w:ascii="Times New Roman" w:hAnsi="Times New Roman" w:cs="Times New Roman"/>
          <w:i/>
          <w:iCs/>
          <w:sz w:val="24"/>
          <w:szCs w:val="24"/>
        </w:rPr>
        <w:t>Conclusion</w:t>
      </w:r>
      <w:r>
        <w:rPr>
          <w:rFonts w:ascii="Times New Roman" w:hAnsi="Times New Roman" w:cs="Times New Roman"/>
          <w:sz w:val="24"/>
          <w:szCs w:val="24"/>
        </w:rPr>
        <w:t>: Existing models generally demonstrated acceptable discrimination, but were associated with high risk of bias, with insufficient evidence regarding external validation, calibration assessment, and clinical implementation. Future studies should strictly follow the PROBAST criteria, standardize procedures for model development and validation, improve model stability and clinical application value, and provide reliable evidence for clinical decision-making.</w:t>
      </w:r>
    </w:p>
    <w:p w14:paraId="7AB4263E"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Keywords:</w:t>
      </w:r>
      <w:r>
        <w:rPr>
          <w:rFonts w:ascii="Times New Roman" w:hAnsi="Times New Roman" w:cs="Times New Roman"/>
          <w:sz w:val="24"/>
          <w:szCs w:val="24"/>
        </w:rPr>
        <w:t> </w:t>
      </w:r>
      <w:r>
        <w:rPr>
          <w:rFonts w:ascii="Times New Roman" w:hAnsi="Times New Roman" w:cs="Times New Roman" w:hint="eastAsia"/>
          <w:sz w:val="24"/>
          <w:szCs w:val="24"/>
        </w:rPr>
        <w:t>I</w:t>
      </w:r>
      <w:r>
        <w:rPr>
          <w:rFonts w:ascii="Times New Roman" w:hAnsi="Times New Roman" w:cs="Times New Roman"/>
          <w:sz w:val="24"/>
          <w:szCs w:val="24"/>
        </w:rPr>
        <w:t xml:space="preserve">ntensive care unit; </w:t>
      </w:r>
      <w:r>
        <w:rPr>
          <w:rFonts w:ascii="Times New Roman" w:hAnsi="Times New Roman" w:cs="Times New Roman" w:hint="eastAsia"/>
          <w:sz w:val="24"/>
          <w:szCs w:val="24"/>
        </w:rPr>
        <w:t>D</w:t>
      </w:r>
      <w:r>
        <w:rPr>
          <w:rFonts w:ascii="Times New Roman" w:hAnsi="Times New Roman" w:cs="Times New Roman"/>
          <w:sz w:val="24"/>
          <w:szCs w:val="24"/>
        </w:rPr>
        <w:t xml:space="preserve">elirium; </w:t>
      </w:r>
      <w:r>
        <w:rPr>
          <w:rFonts w:ascii="Times New Roman" w:hAnsi="Times New Roman" w:cs="Times New Roman" w:hint="eastAsia"/>
          <w:sz w:val="24"/>
          <w:szCs w:val="24"/>
        </w:rPr>
        <w:t>P</w:t>
      </w:r>
      <w:r>
        <w:rPr>
          <w:rFonts w:ascii="Times New Roman" w:hAnsi="Times New Roman" w:cs="Times New Roman"/>
          <w:sz w:val="24"/>
          <w:szCs w:val="24"/>
        </w:rPr>
        <w:t xml:space="preserve">rediction model; </w:t>
      </w:r>
      <w:r>
        <w:rPr>
          <w:rFonts w:ascii="Times New Roman" w:hAnsi="Times New Roman" w:cs="Times New Roman" w:hint="eastAsia"/>
          <w:sz w:val="24"/>
          <w:szCs w:val="24"/>
        </w:rPr>
        <w:t>S</w:t>
      </w:r>
      <w:r>
        <w:rPr>
          <w:rFonts w:ascii="Times New Roman" w:hAnsi="Times New Roman" w:cs="Times New Roman"/>
          <w:sz w:val="24"/>
          <w:szCs w:val="24"/>
        </w:rPr>
        <w:t>ystematic review</w:t>
      </w:r>
    </w:p>
    <w:p w14:paraId="6C2C113B" w14:textId="77777777" w:rsidR="009076EE" w:rsidRDefault="009076EE" w:rsidP="00943A1B">
      <w:pPr>
        <w:snapToGrid w:val="0"/>
        <w:rPr>
          <w:rFonts w:ascii="Times New Roman" w:hAnsi="Times New Roman" w:cs="Times New Roman"/>
          <w:sz w:val="24"/>
          <w:szCs w:val="24"/>
        </w:rPr>
      </w:pPr>
    </w:p>
    <w:p w14:paraId="1BC761A9" w14:textId="3CA7AB74" w:rsidR="00943A1B" w:rsidRPr="00113A51" w:rsidRDefault="00943A1B" w:rsidP="00943A1B">
      <w:pPr>
        <w:snapToGrid w:val="0"/>
        <w:rPr>
          <w:rFonts w:ascii="Times New Roman" w:hAnsi="Times New Roman" w:cs="Times New Roman"/>
          <w:b/>
          <w:bCs/>
          <w:sz w:val="24"/>
          <w:szCs w:val="24"/>
        </w:rPr>
      </w:pPr>
      <w:r w:rsidRPr="00113A51">
        <w:rPr>
          <w:rFonts w:ascii="Times New Roman" w:hAnsi="Times New Roman" w:cs="Times New Roman"/>
          <w:b/>
          <w:bCs/>
          <w:sz w:val="24"/>
          <w:szCs w:val="24"/>
        </w:rPr>
        <w:t>Online publication:</w:t>
      </w:r>
    </w:p>
    <w:p w14:paraId="28C33788" w14:textId="77777777" w:rsidR="00943A1B" w:rsidRDefault="00943A1B" w:rsidP="00113A51">
      <w:pPr>
        <w:snapToGrid w:val="0"/>
        <w:rPr>
          <w:rFonts w:ascii="Times New Roman" w:hAnsi="Times New Roman" w:cs="Times New Roman"/>
          <w:sz w:val="24"/>
          <w:szCs w:val="24"/>
        </w:rPr>
      </w:pPr>
    </w:p>
    <w:p w14:paraId="719DF63F"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1. Introduction</w:t>
      </w:r>
    </w:p>
    <w:p w14:paraId="0BE2497F" w14:textId="2F9B38D3" w:rsidR="00943A1B" w:rsidRDefault="00000000" w:rsidP="00113A51">
      <w:pPr>
        <w:snapToGrid w:val="0"/>
        <w:rPr>
          <w:rFonts w:ascii="Times New Roman" w:hAnsi="Times New Roman" w:cs="Times New Roman"/>
          <w:sz w:val="24"/>
          <w:szCs w:val="24"/>
        </w:rPr>
      </w:pPr>
      <w:r>
        <w:rPr>
          <w:rFonts w:ascii="Times New Roman" w:hAnsi="Times New Roman" w:cs="Times New Roman"/>
          <w:sz w:val="24"/>
          <w:szCs w:val="24"/>
        </w:rPr>
        <w:t>Delirium is an acute, reversible cognitive dysfunction syndrome characterized by fluctuating disturbance of consciousness, inattention, disorganized thinking, or altered level of consciousness</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[1]</w:t>
      </w:r>
      <w:r>
        <w:rPr>
          <w:rFonts w:ascii="Times New Roman" w:hAnsi="Times New Roman" w:cs="Times New Roman"/>
          <w:sz w:val="24"/>
          <w:szCs w:val="24"/>
        </w:rPr>
        <w:t>. It is the most common acute brain dysfunction complication in intensive care unit (ICU) patients, with an incidence rate as high as 20</w:t>
      </w:r>
      <w:r w:rsidR="00943A1B">
        <w:rPr>
          <w:rFonts w:ascii="Times New Roman" w:hAnsi="Times New Roman" w:cs="Times New Roman"/>
          <w:sz w:val="24"/>
          <w:szCs w:val="24"/>
        </w:rPr>
        <w:t>–</w:t>
      </w:r>
      <w:r>
        <w:rPr>
          <w:rFonts w:ascii="Times New Roman" w:hAnsi="Times New Roman" w:cs="Times New Roman"/>
          <w:sz w:val="24"/>
          <w:szCs w:val="24"/>
        </w:rPr>
        <w:t>80%</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[2]</w:t>
      </w:r>
      <w:r>
        <w:rPr>
          <w:rFonts w:ascii="Times New Roman" w:hAnsi="Times New Roman" w:cs="Times New Roman"/>
          <w:sz w:val="24"/>
          <w:szCs w:val="24"/>
        </w:rPr>
        <w:t>. Studies have indicated that delirium impairs patients</w:t>
      </w:r>
      <w:r w:rsidR="00943A1B">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cognitive function, increases risk of complications, prolongs mechanical ventilation duration and overall hospital stay, and may lead to disability or death in severe cases, affecting patient prognosis and increasing clinical burden</w:t>
      </w:r>
      <w:r w:rsidR="00943A1B">
        <w:rPr>
          <w:rFonts w:ascii="Times New Roman" w:hAnsi="Times New Roman" w:cs="Times New Roman"/>
          <w:sz w:val="24"/>
          <w:szCs w:val="24"/>
        </w:rPr>
        <w:t xml:space="preserve"> </w:t>
      </w:r>
      <w:r w:rsidR="00943A1B">
        <w:rPr>
          <w:rFonts w:ascii="Times New Roman" w:hAnsi="Times New Roman" w:cs="Times New Roman"/>
          <w:sz w:val="24"/>
          <w:szCs w:val="24"/>
          <w:vertAlign w:val="superscript"/>
        </w:rPr>
        <w:t>[3]</w:t>
      </w:r>
      <w:r>
        <w:rPr>
          <w:rFonts w:ascii="Times New Roman" w:hAnsi="Times New Roman" w:cs="Times New Roman"/>
          <w:sz w:val="24"/>
          <w:szCs w:val="24"/>
        </w:rPr>
        <w:t>. Therefore, early identification of high-risk factors and targeted management are of great clinical significance for improving patients</w:t>
      </w:r>
      <w:r w:rsidR="00943A1B">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delirium status. As a scientific and effective risk prediction tool, risk prediction models can integrate various independent risk factors, quantify individual disease probability, accurately screen high-risk populations, and provide theoretical support for clinical medical staff to implement personalized interventions</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[4]</w:t>
      </w:r>
      <w:r>
        <w:rPr>
          <w:rFonts w:ascii="Times New Roman" w:hAnsi="Times New Roman" w:cs="Times New Roman"/>
          <w:sz w:val="24"/>
          <w:szCs w:val="24"/>
        </w:rPr>
        <w:t>. Currently, scholars worldwide have constructed and validated prediction models for delirium risk in ICU patients; however, differences exist in predictors, modeling methods, and performance indicators, and systematic evaluation of related models is still lacking. Therefore, this study systematically reviews the current status of delirium risk prediction models in ICU patients and comprehensively evaluates the included studies to provide theoretical reference for clinical practice and related research.</w:t>
      </w:r>
    </w:p>
    <w:p w14:paraId="2422FCCB" w14:textId="77777777" w:rsidR="009076EE" w:rsidRDefault="009076EE" w:rsidP="00113A51">
      <w:pPr>
        <w:snapToGrid w:val="0"/>
        <w:rPr>
          <w:rFonts w:ascii="Times New Roman" w:hAnsi="Times New Roman" w:cs="Times New Roman"/>
          <w:sz w:val="24"/>
          <w:szCs w:val="24"/>
        </w:rPr>
      </w:pPr>
    </w:p>
    <w:p w14:paraId="6D48CD9D"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lastRenderedPageBreak/>
        <w:t xml:space="preserve">2. Materials and </w:t>
      </w:r>
      <w:r>
        <w:rPr>
          <w:rFonts w:ascii="Times New Roman" w:hAnsi="Times New Roman" w:cs="Times New Roman" w:hint="eastAsia"/>
          <w:b/>
          <w:bCs/>
          <w:sz w:val="24"/>
          <w:szCs w:val="24"/>
        </w:rPr>
        <w:t>m</w:t>
      </w:r>
      <w:r>
        <w:rPr>
          <w:rFonts w:ascii="Times New Roman" w:hAnsi="Times New Roman" w:cs="Times New Roman"/>
          <w:b/>
          <w:bCs/>
          <w:sz w:val="24"/>
          <w:szCs w:val="24"/>
        </w:rPr>
        <w:t>ethods</w:t>
      </w:r>
    </w:p>
    <w:p w14:paraId="1D04E005"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2.1</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Literature </w:t>
      </w:r>
      <w:r>
        <w:rPr>
          <w:rFonts w:ascii="Times New Roman" w:hAnsi="Times New Roman" w:cs="Times New Roman" w:hint="eastAsia"/>
          <w:b/>
          <w:bCs/>
          <w:sz w:val="24"/>
          <w:szCs w:val="24"/>
        </w:rPr>
        <w:t>s</w:t>
      </w:r>
      <w:r>
        <w:rPr>
          <w:rFonts w:ascii="Times New Roman" w:hAnsi="Times New Roman" w:cs="Times New Roman"/>
          <w:b/>
          <w:bCs/>
          <w:sz w:val="24"/>
          <w:szCs w:val="24"/>
        </w:rPr>
        <w:t xml:space="preserve">earch </w:t>
      </w:r>
      <w:r>
        <w:rPr>
          <w:rFonts w:ascii="Times New Roman" w:hAnsi="Times New Roman" w:cs="Times New Roman" w:hint="eastAsia"/>
          <w:b/>
          <w:bCs/>
          <w:sz w:val="24"/>
          <w:szCs w:val="24"/>
        </w:rPr>
        <w:t>s</w:t>
      </w:r>
      <w:r>
        <w:rPr>
          <w:rFonts w:ascii="Times New Roman" w:hAnsi="Times New Roman" w:cs="Times New Roman"/>
          <w:b/>
          <w:bCs/>
          <w:sz w:val="24"/>
          <w:szCs w:val="24"/>
        </w:rPr>
        <w:t>trategy</w:t>
      </w:r>
    </w:p>
    <w:p w14:paraId="5F12ED84" w14:textId="1FA68610" w:rsidR="009076EE" w:rsidRDefault="00000000" w:rsidP="00113A51">
      <w:pPr>
        <w:snapToGrid w:val="0"/>
        <w:rPr>
          <w:rFonts w:ascii="Times New Roman" w:hAnsi="Times New Roman" w:cs="Times New Roman"/>
          <w:sz w:val="24"/>
          <w:szCs w:val="24"/>
        </w:rPr>
      </w:pPr>
      <w:r>
        <w:rPr>
          <w:rFonts w:ascii="Times New Roman" w:hAnsi="Times New Roman" w:cs="Times New Roman"/>
          <w:sz w:val="24"/>
          <w:szCs w:val="24"/>
        </w:rPr>
        <w:t>A systematic literature search was performed in PubMed, Web of Science, Embase, Cochrane Library, CINAHL, CNKI, Wanfang Data, VIP, and CBM databases for studies on delirium risk prediction models in ICU patients, from database inception to August 2025. The search combined subject terms and free-text words. For Chinese databases, taking CNKI as an example, the search strategy was: Subject = (critical care OR intensive care unit OR ICU) AND Subject = (delirium syndrome OR clinical delirium OR delirium) AND Subject = (early warning OR risk prediction OR prediction model OR diagnostic model OR risk score OR risk assessment OR risk factors OR nomogram). For English databases, taking PubMed as an example, the search strategy was: (((</w:t>
      </w:r>
      <w:r w:rsidR="00943A1B">
        <w:rPr>
          <w:rFonts w:ascii="Times New Roman" w:hAnsi="Times New Roman" w:cs="Times New Roman"/>
          <w:sz w:val="24"/>
          <w:szCs w:val="24"/>
        </w:rPr>
        <w:t>“</w:t>
      </w:r>
      <w:r>
        <w:rPr>
          <w:rFonts w:ascii="Times New Roman" w:hAnsi="Times New Roman" w:cs="Times New Roman"/>
          <w:sz w:val="24"/>
          <w:szCs w:val="24"/>
        </w:rPr>
        <w:t>critical illness</w:t>
      </w:r>
      <w:r w:rsidR="00943A1B">
        <w:rPr>
          <w:rFonts w:ascii="Times New Roman" w:hAnsi="Times New Roman" w:cs="Times New Roman"/>
          <w:sz w:val="24"/>
          <w:szCs w:val="24"/>
        </w:rPr>
        <w:t>”</w:t>
      </w:r>
      <w:r>
        <w:rPr>
          <w:rFonts w:ascii="Times New Roman" w:hAnsi="Times New Roman" w:cs="Times New Roman"/>
          <w:sz w:val="24"/>
          <w:szCs w:val="24"/>
        </w:rPr>
        <w:t>[MeSH]) OR (</w:t>
      </w:r>
      <w:r w:rsidR="00943A1B">
        <w:rPr>
          <w:rFonts w:ascii="Times New Roman" w:hAnsi="Times New Roman" w:cs="Times New Roman"/>
          <w:sz w:val="24"/>
          <w:szCs w:val="24"/>
        </w:rPr>
        <w:t>“</w:t>
      </w:r>
      <w:r>
        <w:rPr>
          <w:rFonts w:ascii="Times New Roman" w:hAnsi="Times New Roman" w:cs="Times New Roman"/>
          <w:sz w:val="24"/>
          <w:szCs w:val="24"/>
        </w:rPr>
        <w:t>intensive care units</w:t>
      </w:r>
      <w:r w:rsidR="00943A1B">
        <w:rPr>
          <w:rFonts w:ascii="Times New Roman" w:hAnsi="Times New Roman" w:cs="Times New Roman"/>
          <w:sz w:val="24"/>
          <w:szCs w:val="24"/>
        </w:rPr>
        <w:t>”</w:t>
      </w:r>
      <w:r>
        <w:rPr>
          <w:rFonts w:ascii="Times New Roman" w:hAnsi="Times New Roman" w:cs="Times New Roman"/>
          <w:sz w:val="24"/>
          <w:szCs w:val="24"/>
        </w:rPr>
        <w:t>[MeSH])) AND ((</w:t>
      </w:r>
      <w:r w:rsidR="00943A1B">
        <w:rPr>
          <w:rFonts w:ascii="Times New Roman" w:hAnsi="Times New Roman" w:cs="Times New Roman"/>
          <w:sz w:val="24"/>
          <w:szCs w:val="24"/>
        </w:rPr>
        <w:t>“</w:t>
      </w:r>
      <w:r>
        <w:rPr>
          <w:rFonts w:ascii="Times New Roman" w:hAnsi="Times New Roman" w:cs="Times New Roman"/>
          <w:sz w:val="24"/>
          <w:szCs w:val="24"/>
        </w:rPr>
        <w:t>delirium</w:t>
      </w:r>
      <w:r w:rsidR="00943A1B">
        <w:rPr>
          <w:rFonts w:ascii="Times New Roman" w:hAnsi="Times New Roman" w:cs="Times New Roman"/>
          <w:sz w:val="24"/>
          <w:szCs w:val="24"/>
        </w:rPr>
        <w:t>”</w:t>
      </w:r>
      <w:r>
        <w:rPr>
          <w:rFonts w:ascii="Times New Roman" w:hAnsi="Times New Roman" w:cs="Times New Roman"/>
          <w:sz w:val="24"/>
          <w:szCs w:val="24"/>
        </w:rPr>
        <w:t>[MeSH Terms]) OR (</w:t>
      </w:r>
      <w:r w:rsidR="00943A1B">
        <w:rPr>
          <w:rFonts w:ascii="Times New Roman" w:hAnsi="Times New Roman" w:cs="Times New Roman"/>
          <w:sz w:val="24"/>
          <w:szCs w:val="24"/>
        </w:rPr>
        <w:t>“</w:t>
      </w:r>
      <w:r>
        <w:rPr>
          <w:rFonts w:ascii="Times New Roman" w:hAnsi="Times New Roman" w:cs="Times New Roman"/>
          <w:sz w:val="24"/>
          <w:szCs w:val="24"/>
        </w:rPr>
        <w:t>delirium</w:t>
      </w:r>
      <w:r w:rsidR="00943A1B">
        <w:rPr>
          <w:rFonts w:ascii="Times New Roman" w:hAnsi="Times New Roman" w:cs="Times New Roman"/>
          <w:sz w:val="24"/>
          <w:szCs w:val="24"/>
        </w:rPr>
        <w:t>”</w:t>
      </w:r>
      <w:r>
        <w:rPr>
          <w:rFonts w:ascii="Times New Roman" w:hAnsi="Times New Roman" w:cs="Times New Roman"/>
          <w:sz w:val="24"/>
          <w:szCs w:val="24"/>
        </w:rPr>
        <w:t>[Title/Abstract])) AND ((((((((</w:t>
      </w:r>
      <w:r w:rsidR="00943A1B">
        <w:rPr>
          <w:rFonts w:ascii="Times New Roman" w:hAnsi="Times New Roman" w:cs="Times New Roman"/>
          <w:sz w:val="24"/>
          <w:szCs w:val="24"/>
        </w:rPr>
        <w:t>“</w:t>
      </w:r>
      <w:r>
        <w:rPr>
          <w:rFonts w:ascii="Times New Roman" w:hAnsi="Times New Roman" w:cs="Times New Roman"/>
          <w:sz w:val="24"/>
          <w:szCs w:val="24"/>
        </w:rPr>
        <w:t>risk assessment</w:t>
      </w:r>
      <w:r w:rsidR="00943A1B">
        <w:rPr>
          <w:rFonts w:ascii="Times New Roman" w:hAnsi="Times New Roman" w:cs="Times New Roman"/>
          <w:sz w:val="24"/>
          <w:szCs w:val="24"/>
        </w:rPr>
        <w:t>”</w:t>
      </w:r>
      <w:r>
        <w:rPr>
          <w:rFonts w:ascii="Times New Roman" w:hAnsi="Times New Roman" w:cs="Times New Roman"/>
          <w:sz w:val="24"/>
          <w:szCs w:val="24"/>
        </w:rPr>
        <w:t>[MeSH]) OR (</w:t>
      </w:r>
      <w:r w:rsidR="00943A1B">
        <w:rPr>
          <w:rFonts w:ascii="Times New Roman" w:hAnsi="Times New Roman" w:cs="Times New Roman"/>
          <w:sz w:val="24"/>
          <w:szCs w:val="24"/>
        </w:rPr>
        <w:t>“</w:t>
      </w:r>
      <w:r>
        <w:rPr>
          <w:rFonts w:ascii="Times New Roman" w:hAnsi="Times New Roman" w:cs="Times New Roman"/>
          <w:sz w:val="24"/>
          <w:szCs w:val="24"/>
        </w:rPr>
        <w:t>risk prediction</w:t>
      </w:r>
      <w:r w:rsidR="00943A1B">
        <w:rPr>
          <w:rFonts w:ascii="Times New Roman" w:hAnsi="Times New Roman" w:cs="Times New Roman"/>
          <w:sz w:val="24"/>
          <w:szCs w:val="24"/>
        </w:rPr>
        <w:t>”</w:t>
      </w:r>
      <w:r>
        <w:rPr>
          <w:rFonts w:ascii="Times New Roman" w:hAnsi="Times New Roman" w:cs="Times New Roman"/>
          <w:sz w:val="24"/>
          <w:szCs w:val="24"/>
        </w:rPr>
        <w:t>[Title/Abstract])) OR (</w:t>
      </w:r>
      <w:r w:rsidR="00943A1B">
        <w:rPr>
          <w:rFonts w:ascii="Times New Roman" w:hAnsi="Times New Roman" w:cs="Times New Roman"/>
          <w:sz w:val="24"/>
          <w:szCs w:val="24"/>
        </w:rPr>
        <w:t>“</w:t>
      </w:r>
      <w:r>
        <w:rPr>
          <w:rFonts w:ascii="Times New Roman" w:hAnsi="Times New Roman" w:cs="Times New Roman"/>
          <w:sz w:val="24"/>
          <w:szCs w:val="24"/>
        </w:rPr>
        <w:t>risk forecast model</w:t>
      </w:r>
      <w:r w:rsidR="00943A1B">
        <w:rPr>
          <w:rFonts w:ascii="Times New Roman" w:hAnsi="Times New Roman" w:cs="Times New Roman"/>
          <w:sz w:val="24"/>
          <w:szCs w:val="24"/>
        </w:rPr>
        <w:t>”</w:t>
      </w:r>
      <w:r>
        <w:rPr>
          <w:rFonts w:ascii="Times New Roman" w:hAnsi="Times New Roman" w:cs="Times New Roman"/>
          <w:sz w:val="24"/>
          <w:szCs w:val="24"/>
        </w:rPr>
        <w:t>[Title/Abstract])) OR (</w:t>
      </w:r>
      <w:r w:rsidR="00943A1B">
        <w:rPr>
          <w:rFonts w:ascii="Times New Roman" w:hAnsi="Times New Roman" w:cs="Times New Roman"/>
          <w:sz w:val="24"/>
          <w:szCs w:val="24"/>
        </w:rPr>
        <w:t>“</w:t>
      </w:r>
      <w:r>
        <w:rPr>
          <w:rFonts w:ascii="Times New Roman" w:hAnsi="Times New Roman" w:cs="Times New Roman"/>
          <w:sz w:val="24"/>
          <w:szCs w:val="24"/>
        </w:rPr>
        <w:t>risk score</w:t>
      </w:r>
      <w:r w:rsidR="00943A1B">
        <w:rPr>
          <w:rFonts w:ascii="Times New Roman" w:hAnsi="Times New Roman" w:cs="Times New Roman"/>
          <w:sz w:val="24"/>
          <w:szCs w:val="24"/>
        </w:rPr>
        <w:t>”</w:t>
      </w:r>
      <w:r>
        <w:rPr>
          <w:rFonts w:ascii="Times New Roman" w:hAnsi="Times New Roman" w:cs="Times New Roman"/>
          <w:sz w:val="24"/>
          <w:szCs w:val="24"/>
        </w:rPr>
        <w:t>[Title/Abstract])) OR (</w:t>
      </w:r>
      <w:r w:rsidR="00943A1B">
        <w:rPr>
          <w:rFonts w:ascii="Times New Roman" w:hAnsi="Times New Roman" w:cs="Times New Roman"/>
          <w:sz w:val="24"/>
          <w:szCs w:val="24"/>
        </w:rPr>
        <w:t>“</w:t>
      </w:r>
      <w:r>
        <w:rPr>
          <w:rFonts w:ascii="Times New Roman" w:hAnsi="Times New Roman" w:cs="Times New Roman"/>
          <w:sz w:val="24"/>
          <w:szCs w:val="24"/>
        </w:rPr>
        <w:t>prediction model</w:t>
      </w:r>
      <w:r w:rsidR="00943A1B">
        <w:rPr>
          <w:rFonts w:ascii="Times New Roman" w:hAnsi="Times New Roman" w:cs="Times New Roman"/>
          <w:sz w:val="24"/>
          <w:szCs w:val="24"/>
        </w:rPr>
        <w:t>”</w:t>
      </w:r>
      <w:r>
        <w:rPr>
          <w:rFonts w:ascii="Times New Roman" w:hAnsi="Times New Roman" w:cs="Times New Roman"/>
          <w:sz w:val="24"/>
          <w:szCs w:val="24"/>
        </w:rPr>
        <w:t>[Title/Abstract])) OR (</w:t>
      </w:r>
      <w:r w:rsidR="00943A1B">
        <w:rPr>
          <w:rFonts w:ascii="Times New Roman" w:hAnsi="Times New Roman" w:cs="Times New Roman"/>
          <w:sz w:val="24"/>
          <w:szCs w:val="24"/>
        </w:rPr>
        <w:t>“</w:t>
      </w:r>
      <w:r>
        <w:rPr>
          <w:rFonts w:ascii="Times New Roman" w:hAnsi="Times New Roman" w:cs="Times New Roman"/>
          <w:sz w:val="24"/>
          <w:szCs w:val="24"/>
        </w:rPr>
        <w:t>prediction tool</w:t>
      </w:r>
      <w:r w:rsidR="00943A1B">
        <w:rPr>
          <w:rFonts w:ascii="Times New Roman" w:hAnsi="Times New Roman" w:cs="Times New Roman"/>
          <w:sz w:val="24"/>
          <w:szCs w:val="24"/>
        </w:rPr>
        <w:t>”</w:t>
      </w:r>
      <w:r>
        <w:rPr>
          <w:rFonts w:ascii="Times New Roman" w:hAnsi="Times New Roman" w:cs="Times New Roman"/>
          <w:sz w:val="24"/>
          <w:szCs w:val="24"/>
        </w:rPr>
        <w:t>[Title/Abstract])) OR (</w:t>
      </w:r>
      <w:r w:rsidR="00943A1B">
        <w:rPr>
          <w:rFonts w:ascii="Times New Roman" w:hAnsi="Times New Roman" w:cs="Times New Roman"/>
          <w:sz w:val="24"/>
          <w:szCs w:val="24"/>
        </w:rPr>
        <w:t>“</w:t>
      </w:r>
      <w:r>
        <w:rPr>
          <w:rFonts w:ascii="Times New Roman" w:hAnsi="Times New Roman" w:cs="Times New Roman"/>
          <w:sz w:val="24"/>
          <w:szCs w:val="24"/>
        </w:rPr>
        <w:t>nomograms</w:t>
      </w:r>
      <w:r w:rsidR="00943A1B">
        <w:rPr>
          <w:rFonts w:ascii="Times New Roman" w:hAnsi="Times New Roman" w:cs="Times New Roman"/>
          <w:sz w:val="24"/>
          <w:szCs w:val="24"/>
        </w:rPr>
        <w:t>”</w:t>
      </w:r>
      <w:r>
        <w:rPr>
          <w:rFonts w:ascii="Times New Roman" w:hAnsi="Times New Roman" w:cs="Times New Roman"/>
          <w:sz w:val="24"/>
          <w:szCs w:val="24"/>
        </w:rPr>
        <w:t>[MeSH])) OR (</w:t>
      </w:r>
      <w:r w:rsidR="00943A1B">
        <w:rPr>
          <w:rFonts w:ascii="Times New Roman" w:hAnsi="Times New Roman" w:cs="Times New Roman"/>
          <w:sz w:val="24"/>
          <w:szCs w:val="24"/>
        </w:rPr>
        <w:t>“</w:t>
      </w:r>
      <w:r>
        <w:rPr>
          <w:rFonts w:ascii="Times New Roman" w:hAnsi="Times New Roman" w:cs="Times New Roman"/>
          <w:sz w:val="24"/>
          <w:szCs w:val="24"/>
        </w:rPr>
        <w:t>diagnostic model</w:t>
      </w:r>
      <w:r w:rsidR="00943A1B">
        <w:rPr>
          <w:rFonts w:ascii="Times New Roman" w:hAnsi="Times New Roman" w:cs="Times New Roman"/>
          <w:sz w:val="24"/>
          <w:szCs w:val="24"/>
        </w:rPr>
        <w:t>”</w:t>
      </w:r>
      <w:r>
        <w:rPr>
          <w:rFonts w:ascii="Times New Roman" w:hAnsi="Times New Roman" w:cs="Times New Roman"/>
          <w:sz w:val="24"/>
          <w:szCs w:val="24"/>
        </w:rPr>
        <w:t>[Title/Abstract])) OR (</w:t>
      </w:r>
      <w:r w:rsidR="00943A1B">
        <w:rPr>
          <w:rFonts w:ascii="Times New Roman" w:hAnsi="Times New Roman" w:cs="Times New Roman"/>
          <w:sz w:val="24"/>
          <w:szCs w:val="24"/>
        </w:rPr>
        <w:t>“</w:t>
      </w:r>
      <w:r>
        <w:rPr>
          <w:rFonts w:ascii="Times New Roman" w:hAnsi="Times New Roman" w:cs="Times New Roman"/>
          <w:sz w:val="24"/>
          <w:szCs w:val="24"/>
        </w:rPr>
        <w:t>risk factors</w:t>
      </w:r>
      <w:r w:rsidR="00943A1B">
        <w:rPr>
          <w:rFonts w:ascii="Times New Roman" w:hAnsi="Times New Roman" w:cs="Times New Roman"/>
          <w:sz w:val="24"/>
          <w:szCs w:val="24"/>
        </w:rPr>
        <w:t>”</w:t>
      </w:r>
      <w:r>
        <w:rPr>
          <w:rFonts w:ascii="Times New Roman" w:hAnsi="Times New Roman" w:cs="Times New Roman"/>
          <w:sz w:val="24"/>
          <w:szCs w:val="24"/>
        </w:rPr>
        <w:t>[MeSH]))). This study was registered on the PROSPERO platform (Registration No. CRD42024602398).</w:t>
      </w:r>
    </w:p>
    <w:p w14:paraId="742EC8A7" w14:textId="77777777" w:rsidR="009076EE" w:rsidRDefault="009076EE" w:rsidP="00113A51">
      <w:pPr>
        <w:snapToGrid w:val="0"/>
        <w:rPr>
          <w:rFonts w:ascii="Times New Roman" w:hAnsi="Times New Roman" w:cs="Times New Roman"/>
          <w:sz w:val="24"/>
          <w:szCs w:val="24"/>
        </w:rPr>
      </w:pPr>
    </w:p>
    <w:p w14:paraId="41D4977E"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2.2</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Inclusion and </w:t>
      </w:r>
      <w:r>
        <w:rPr>
          <w:rFonts w:ascii="Times New Roman" w:hAnsi="Times New Roman" w:cs="Times New Roman" w:hint="eastAsia"/>
          <w:b/>
          <w:bCs/>
          <w:sz w:val="24"/>
          <w:szCs w:val="24"/>
        </w:rPr>
        <w:t>e</w:t>
      </w:r>
      <w:r>
        <w:rPr>
          <w:rFonts w:ascii="Times New Roman" w:hAnsi="Times New Roman" w:cs="Times New Roman"/>
          <w:b/>
          <w:bCs/>
          <w:sz w:val="24"/>
          <w:szCs w:val="24"/>
        </w:rPr>
        <w:t xml:space="preserve">xclusion </w:t>
      </w:r>
      <w:r>
        <w:rPr>
          <w:rFonts w:ascii="Times New Roman" w:hAnsi="Times New Roman" w:cs="Times New Roman" w:hint="eastAsia"/>
          <w:b/>
          <w:bCs/>
          <w:sz w:val="24"/>
          <w:szCs w:val="24"/>
        </w:rPr>
        <w:t>c</w:t>
      </w:r>
      <w:r>
        <w:rPr>
          <w:rFonts w:ascii="Times New Roman" w:hAnsi="Times New Roman" w:cs="Times New Roman"/>
          <w:b/>
          <w:bCs/>
          <w:sz w:val="24"/>
          <w:szCs w:val="24"/>
        </w:rPr>
        <w:t>riteria</w:t>
      </w:r>
    </w:p>
    <w:p w14:paraId="13C49B1C"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hint="eastAsia"/>
          <w:b/>
          <w:bCs/>
          <w:sz w:val="24"/>
          <w:szCs w:val="24"/>
        </w:rPr>
        <w:t>2.2.1.</w:t>
      </w:r>
      <w:r>
        <w:rPr>
          <w:rFonts w:ascii="Times New Roman" w:hAnsi="Times New Roman" w:cs="Times New Roman"/>
          <w:sz w:val="24"/>
          <w:szCs w:val="24"/>
        </w:rPr>
        <w:t> </w:t>
      </w:r>
      <w:r>
        <w:rPr>
          <w:rFonts w:ascii="Times New Roman" w:hAnsi="Times New Roman" w:cs="Times New Roman"/>
          <w:b/>
          <w:bCs/>
          <w:sz w:val="24"/>
          <w:szCs w:val="24"/>
        </w:rPr>
        <w:t>Inclusion criteria</w:t>
      </w:r>
    </w:p>
    <w:p w14:paraId="43E5D55F" w14:textId="5271C6EA" w:rsidR="00943A1B" w:rsidRDefault="00000000" w:rsidP="00113A51">
      <w:pPr>
        <w:snapToGrid w:val="0"/>
        <w:ind w:left="709" w:hanging="709"/>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 xml:space="preserve"> </w:t>
      </w:r>
      <w:r w:rsidR="00943A1B">
        <w:rPr>
          <w:rFonts w:ascii="Times New Roman" w:hAnsi="Times New Roman" w:cs="Times New Roman"/>
          <w:sz w:val="24"/>
          <w:szCs w:val="24"/>
        </w:rPr>
        <w:tab/>
      </w:r>
      <w:r>
        <w:rPr>
          <w:rFonts w:ascii="Times New Roman" w:hAnsi="Times New Roman" w:cs="Times New Roman"/>
          <w:sz w:val="24"/>
          <w:szCs w:val="24"/>
        </w:rPr>
        <w:t xml:space="preserve">Study subjects were adult ICU patients; </w:t>
      </w:r>
    </w:p>
    <w:p w14:paraId="5CD521A4" w14:textId="71E8D433" w:rsidR="00943A1B" w:rsidRDefault="00000000" w:rsidP="00113A51">
      <w:pPr>
        <w:snapToGrid w:val="0"/>
        <w:ind w:left="709" w:hanging="709"/>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 xml:space="preserve"> </w:t>
      </w:r>
      <w:r w:rsidR="00943A1B">
        <w:rPr>
          <w:rFonts w:ascii="Times New Roman" w:hAnsi="Times New Roman" w:cs="Times New Roman"/>
          <w:sz w:val="24"/>
          <w:szCs w:val="24"/>
        </w:rPr>
        <w:tab/>
      </w:r>
      <w:r>
        <w:rPr>
          <w:rFonts w:ascii="Times New Roman" w:hAnsi="Times New Roman" w:cs="Times New Roman"/>
          <w:sz w:val="24"/>
          <w:szCs w:val="24"/>
        </w:rPr>
        <w:t xml:space="preserve">Study content was construction or validation of delirium risk prediction models in adult ICU patients; </w:t>
      </w:r>
    </w:p>
    <w:p w14:paraId="13F8A0E9" w14:textId="5D9CABE1" w:rsidR="009076EE" w:rsidRDefault="00000000" w:rsidP="00113A51">
      <w:pPr>
        <w:snapToGrid w:val="0"/>
        <w:ind w:left="709" w:hanging="709"/>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 xml:space="preserve"> </w:t>
      </w:r>
      <w:r w:rsidR="00943A1B">
        <w:rPr>
          <w:rFonts w:ascii="Times New Roman" w:hAnsi="Times New Roman" w:cs="Times New Roman"/>
          <w:sz w:val="24"/>
          <w:szCs w:val="24"/>
        </w:rPr>
        <w:tab/>
      </w:r>
      <w:r>
        <w:rPr>
          <w:rFonts w:ascii="Times New Roman" w:hAnsi="Times New Roman" w:cs="Times New Roman"/>
          <w:sz w:val="24"/>
          <w:szCs w:val="24"/>
        </w:rPr>
        <w:t xml:space="preserve">Study type was cohort study (prospective or retrospective) or cross-sectional study; </w:t>
      </w:r>
      <w:r>
        <w:rPr>
          <w:rFonts w:ascii="Times New Roman" w:hAnsi="Times New Roman" w:cs="Times New Roman" w:hint="eastAsia"/>
          <w:sz w:val="24"/>
          <w:szCs w:val="24"/>
        </w:rPr>
        <w:t>(4)</w:t>
      </w:r>
      <w:r>
        <w:rPr>
          <w:rFonts w:ascii="Times New Roman" w:hAnsi="Times New Roman" w:cs="Times New Roman"/>
          <w:sz w:val="24"/>
          <w:szCs w:val="24"/>
        </w:rPr>
        <w:t xml:space="preserve"> Outcome indicator was delirium.</w:t>
      </w:r>
    </w:p>
    <w:p w14:paraId="4441C9E2" w14:textId="77777777" w:rsidR="009076EE" w:rsidRDefault="009076EE" w:rsidP="00113A51">
      <w:pPr>
        <w:snapToGrid w:val="0"/>
        <w:rPr>
          <w:rFonts w:ascii="Times New Roman" w:hAnsi="Times New Roman" w:cs="Times New Roman"/>
          <w:sz w:val="24"/>
          <w:szCs w:val="24"/>
        </w:rPr>
      </w:pPr>
    </w:p>
    <w:p w14:paraId="2AEAC8A2"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hint="eastAsia"/>
          <w:b/>
          <w:bCs/>
          <w:sz w:val="24"/>
          <w:szCs w:val="24"/>
        </w:rPr>
        <w:t>2.2.2.</w:t>
      </w:r>
      <w:r>
        <w:rPr>
          <w:rFonts w:ascii="Times New Roman" w:hAnsi="Times New Roman" w:cs="Times New Roman"/>
          <w:sz w:val="24"/>
          <w:szCs w:val="24"/>
        </w:rPr>
        <w:t>  </w:t>
      </w:r>
      <w:r>
        <w:rPr>
          <w:rFonts w:ascii="Times New Roman" w:hAnsi="Times New Roman" w:cs="Times New Roman"/>
          <w:b/>
          <w:bCs/>
          <w:sz w:val="24"/>
          <w:szCs w:val="24"/>
        </w:rPr>
        <w:t>Exclusion criteria</w:t>
      </w:r>
    </w:p>
    <w:p w14:paraId="04710109" w14:textId="0C219687" w:rsidR="00943A1B" w:rsidRDefault="00000000" w:rsidP="00113A51">
      <w:pPr>
        <w:snapToGrid w:val="0"/>
        <w:ind w:left="709" w:hanging="709"/>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 xml:space="preserve"> </w:t>
      </w:r>
      <w:r w:rsidR="00943A1B">
        <w:rPr>
          <w:rFonts w:ascii="Times New Roman" w:hAnsi="Times New Roman" w:cs="Times New Roman"/>
          <w:sz w:val="24"/>
          <w:szCs w:val="24"/>
        </w:rPr>
        <w:tab/>
      </w:r>
      <w:r>
        <w:rPr>
          <w:rFonts w:ascii="Times New Roman" w:hAnsi="Times New Roman" w:cs="Times New Roman"/>
          <w:sz w:val="24"/>
          <w:szCs w:val="24"/>
        </w:rPr>
        <w:t xml:space="preserve">No clear model reported; </w:t>
      </w:r>
    </w:p>
    <w:p w14:paraId="3891FC82" w14:textId="7F985F07" w:rsidR="00943A1B" w:rsidRDefault="00000000" w:rsidP="00113A51">
      <w:pPr>
        <w:snapToGrid w:val="0"/>
        <w:ind w:left="709" w:hanging="709"/>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 xml:space="preserve"> </w:t>
      </w:r>
      <w:r w:rsidR="00943A1B">
        <w:rPr>
          <w:rFonts w:ascii="Times New Roman" w:hAnsi="Times New Roman" w:cs="Times New Roman"/>
          <w:sz w:val="24"/>
          <w:szCs w:val="24"/>
        </w:rPr>
        <w:tab/>
      </w:r>
      <w:r>
        <w:rPr>
          <w:rFonts w:ascii="Times New Roman" w:hAnsi="Times New Roman" w:cs="Times New Roman"/>
          <w:sz w:val="24"/>
          <w:szCs w:val="24"/>
        </w:rPr>
        <w:t xml:space="preserve">Conference abstracts, grey literature, and other informally published literature; </w:t>
      </w:r>
    </w:p>
    <w:p w14:paraId="198313F1" w14:textId="101B9C1A" w:rsidR="009076EE" w:rsidRDefault="00000000" w:rsidP="00113A51">
      <w:pPr>
        <w:snapToGrid w:val="0"/>
        <w:ind w:left="709" w:hanging="709"/>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 xml:space="preserve"> </w:t>
      </w:r>
      <w:r w:rsidR="00943A1B">
        <w:rPr>
          <w:rFonts w:ascii="Times New Roman" w:hAnsi="Times New Roman" w:cs="Times New Roman"/>
          <w:sz w:val="24"/>
          <w:szCs w:val="24"/>
        </w:rPr>
        <w:tab/>
      </w:r>
      <w:r>
        <w:rPr>
          <w:rFonts w:ascii="Times New Roman" w:hAnsi="Times New Roman" w:cs="Times New Roman"/>
          <w:sz w:val="24"/>
          <w:szCs w:val="24"/>
        </w:rPr>
        <w:t>Complete model information unavailable, such as only mentioning model name without providing formula or regression coefficients.</w:t>
      </w:r>
    </w:p>
    <w:p w14:paraId="54A0C404" w14:textId="77777777" w:rsidR="009076EE" w:rsidRDefault="009076EE" w:rsidP="00113A51">
      <w:pPr>
        <w:snapToGrid w:val="0"/>
        <w:rPr>
          <w:rFonts w:ascii="Times New Roman" w:hAnsi="Times New Roman" w:cs="Times New Roman"/>
          <w:sz w:val="24"/>
          <w:szCs w:val="24"/>
        </w:rPr>
      </w:pPr>
    </w:p>
    <w:p w14:paraId="368CA186"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2.3</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Literature </w:t>
      </w:r>
      <w:r>
        <w:rPr>
          <w:rFonts w:ascii="Times New Roman" w:hAnsi="Times New Roman" w:cs="Times New Roman" w:hint="eastAsia"/>
          <w:b/>
          <w:bCs/>
          <w:sz w:val="24"/>
          <w:szCs w:val="24"/>
        </w:rPr>
        <w:t>s</w:t>
      </w:r>
      <w:r>
        <w:rPr>
          <w:rFonts w:ascii="Times New Roman" w:hAnsi="Times New Roman" w:cs="Times New Roman"/>
          <w:b/>
          <w:bCs/>
          <w:sz w:val="24"/>
          <w:szCs w:val="24"/>
        </w:rPr>
        <w:t xml:space="preserve">creening and </w:t>
      </w:r>
      <w:r>
        <w:rPr>
          <w:rFonts w:ascii="Times New Roman" w:hAnsi="Times New Roman" w:cs="Times New Roman" w:hint="eastAsia"/>
          <w:b/>
          <w:bCs/>
          <w:sz w:val="24"/>
          <w:szCs w:val="24"/>
        </w:rPr>
        <w:t>d</w:t>
      </w:r>
      <w:r>
        <w:rPr>
          <w:rFonts w:ascii="Times New Roman" w:hAnsi="Times New Roman" w:cs="Times New Roman"/>
          <w:b/>
          <w:bCs/>
          <w:sz w:val="24"/>
          <w:szCs w:val="24"/>
        </w:rPr>
        <w:t xml:space="preserve">ata </w:t>
      </w:r>
      <w:r>
        <w:rPr>
          <w:rFonts w:ascii="Times New Roman" w:hAnsi="Times New Roman" w:cs="Times New Roman" w:hint="eastAsia"/>
          <w:b/>
          <w:bCs/>
          <w:sz w:val="24"/>
          <w:szCs w:val="24"/>
        </w:rPr>
        <w:t>e</w:t>
      </w:r>
      <w:r>
        <w:rPr>
          <w:rFonts w:ascii="Times New Roman" w:hAnsi="Times New Roman" w:cs="Times New Roman"/>
          <w:b/>
          <w:bCs/>
          <w:sz w:val="24"/>
          <w:szCs w:val="24"/>
        </w:rPr>
        <w:t>xtraction</w:t>
      </w:r>
    </w:p>
    <w:p w14:paraId="4C1D63E0"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sz w:val="24"/>
          <w:szCs w:val="24"/>
        </w:rPr>
        <w:t>Two researchers independently completed literature screening according to preset inclusion and exclusion criteria. In case of disagreement, a third researcher was consulted. After removing duplicate literature using NoteExpress software, titles and full texts were read to exclude irrelevant literature before inclusion. Two researchers independently extracted the following information using a unified form: basic study characteristics, outcome definition, candidate predictors, modeling methods, sample size and number of events, variable processing methods, validation methods, discrimination indicators, and calibration indicators.</w:t>
      </w:r>
    </w:p>
    <w:p w14:paraId="1E8D6C2F" w14:textId="77777777" w:rsidR="009076EE" w:rsidRDefault="009076EE" w:rsidP="00113A51">
      <w:pPr>
        <w:snapToGrid w:val="0"/>
        <w:rPr>
          <w:rFonts w:ascii="Times New Roman" w:hAnsi="Times New Roman" w:cs="Times New Roman"/>
          <w:sz w:val="24"/>
          <w:szCs w:val="24"/>
        </w:rPr>
      </w:pPr>
    </w:p>
    <w:p w14:paraId="327BF874"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2.4</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Risk of </w:t>
      </w:r>
      <w:r>
        <w:rPr>
          <w:rFonts w:ascii="Times New Roman" w:hAnsi="Times New Roman" w:cs="Times New Roman" w:hint="eastAsia"/>
          <w:b/>
          <w:bCs/>
          <w:sz w:val="24"/>
          <w:szCs w:val="24"/>
        </w:rPr>
        <w:t>b</w:t>
      </w:r>
      <w:r>
        <w:rPr>
          <w:rFonts w:ascii="Times New Roman" w:hAnsi="Times New Roman" w:cs="Times New Roman"/>
          <w:b/>
          <w:bCs/>
          <w:sz w:val="24"/>
          <w:szCs w:val="24"/>
        </w:rPr>
        <w:t xml:space="preserve">ias and </w:t>
      </w:r>
      <w:r>
        <w:rPr>
          <w:rFonts w:ascii="Times New Roman" w:hAnsi="Times New Roman" w:cs="Times New Roman" w:hint="eastAsia"/>
          <w:b/>
          <w:bCs/>
          <w:sz w:val="24"/>
          <w:szCs w:val="24"/>
        </w:rPr>
        <w:t>a</w:t>
      </w:r>
      <w:r>
        <w:rPr>
          <w:rFonts w:ascii="Times New Roman" w:hAnsi="Times New Roman" w:cs="Times New Roman"/>
          <w:b/>
          <w:bCs/>
          <w:sz w:val="24"/>
          <w:szCs w:val="24"/>
        </w:rPr>
        <w:t xml:space="preserve">pplicability </w:t>
      </w:r>
      <w:r>
        <w:rPr>
          <w:rFonts w:ascii="Times New Roman" w:hAnsi="Times New Roman" w:cs="Times New Roman" w:hint="eastAsia"/>
          <w:b/>
          <w:bCs/>
          <w:sz w:val="24"/>
          <w:szCs w:val="24"/>
        </w:rPr>
        <w:t>a</w:t>
      </w:r>
      <w:r>
        <w:rPr>
          <w:rFonts w:ascii="Times New Roman" w:hAnsi="Times New Roman" w:cs="Times New Roman"/>
          <w:b/>
          <w:bCs/>
          <w:sz w:val="24"/>
          <w:szCs w:val="24"/>
        </w:rPr>
        <w:t>ssessment</w:t>
      </w:r>
    </w:p>
    <w:p w14:paraId="58F74884"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2.4</w:t>
      </w:r>
      <w:r>
        <w:rPr>
          <w:rFonts w:ascii="Times New Roman" w:hAnsi="Times New Roman" w:cs="Times New Roman" w:hint="eastAsia"/>
          <w:b/>
          <w:bCs/>
          <w:sz w:val="24"/>
          <w:szCs w:val="24"/>
        </w:rPr>
        <w:t xml:space="preserve">.1. </w:t>
      </w:r>
      <w:r>
        <w:rPr>
          <w:rFonts w:ascii="Times New Roman" w:hAnsi="Times New Roman" w:cs="Times New Roman"/>
          <w:b/>
          <w:bCs/>
          <w:sz w:val="24"/>
          <w:szCs w:val="24"/>
        </w:rPr>
        <w:t>Risk of bias assessment</w:t>
      </w:r>
    </w:p>
    <w:p w14:paraId="21A5C9A5" w14:textId="728C28C4" w:rsidR="009076EE" w:rsidRDefault="00000000" w:rsidP="00113A51">
      <w:pPr>
        <w:snapToGrid w:val="0"/>
        <w:rPr>
          <w:rFonts w:ascii="Times New Roman" w:hAnsi="Times New Roman" w:cs="Times New Roman"/>
          <w:sz w:val="24"/>
          <w:szCs w:val="24"/>
        </w:rPr>
      </w:pPr>
      <w:r>
        <w:rPr>
          <w:rFonts w:ascii="Times New Roman" w:hAnsi="Times New Roman" w:cs="Times New Roman"/>
          <w:sz w:val="24"/>
          <w:szCs w:val="24"/>
        </w:rPr>
        <w:t xml:space="preserve">This study used the Prediction model Risk </w:t>
      </w:r>
      <w:r w:rsidR="00943A1B">
        <w:rPr>
          <w:rFonts w:ascii="Times New Roman" w:hAnsi="Times New Roman" w:cs="Times New Roman"/>
          <w:sz w:val="24"/>
          <w:szCs w:val="24"/>
        </w:rPr>
        <w:t>o</w:t>
      </w:r>
      <w:r w:rsidR="00943A1B">
        <w:rPr>
          <w:rFonts w:ascii="Times New Roman" w:hAnsi="Times New Roman" w:cs="Times New Roman"/>
          <w:sz w:val="24"/>
          <w:szCs w:val="24"/>
        </w:rPr>
        <w:t xml:space="preserve">f </w:t>
      </w:r>
      <w:r>
        <w:rPr>
          <w:rFonts w:ascii="Times New Roman" w:hAnsi="Times New Roman" w:cs="Times New Roman"/>
          <w:sz w:val="24"/>
          <w:szCs w:val="24"/>
        </w:rPr>
        <w:t xml:space="preserve">Bias ASsessment Tool (PROBAST) to conduct quality evaluation from four domains: participants, predictors, outcome, and analysis, covering 20 items. Each domain included 2-9 questions, judged as </w:t>
      </w:r>
      <w:r w:rsidR="00943A1B">
        <w:rPr>
          <w:rFonts w:ascii="Times New Roman" w:hAnsi="Times New Roman" w:cs="Times New Roman"/>
          <w:sz w:val="24"/>
          <w:szCs w:val="24"/>
        </w:rPr>
        <w:t>“</w:t>
      </w:r>
      <w:r>
        <w:rPr>
          <w:rFonts w:ascii="Times New Roman" w:hAnsi="Times New Roman" w:cs="Times New Roman"/>
          <w:sz w:val="24"/>
          <w:szCs w:val="24"/>
        </w:rPr>
        <w:t>yes/probably yes,</w:t>
      </w:r>
      <w:r w:rsidR="00943A1B">
        <w:rPr>
          <w:rFonts w:ascii="Times New Roman" w:hAnsi="Times New Roman" w:cs="Times New Roman"/>
          <w:sz w:val="24"/>
          <w:szCs w:val="24"/>
        </w:rPr>
        <w:t>”</w:t>
      </w:r>
      <w:r>
        <w:rPr>
          <w:rFonts w:ascii="Times New Roman" w:hAnsi="Times New Roman" w:cs="Times New Roman"/>
          <w:sz w:val="24"/>
          <w:szCs w:val="24"/>
        </w:rPr>
        <w:t xml:space="preserve"> </w:t>
      </w:r>
      <w:r w:rsidR="00943A1B">
        <w:rPr>
          <w:rFonts w:ascii="Times New Roman" w:hAnsi="Times New Roman" w:cs="Times New Roman"/>
          <w:sz w:val="24"/>
          <w:szCs w:val="24"/>
        </w:rPr>
        <w:t>“</w:t>
      </w:r>
      <w:r>
        <w:rPr>
          <w:rFonts w:ascii="Times New Roman" w:hAnsi="Times New Roman" w:cs="Times New Roman"/>
          <w:sz w:val="24"/>
          <w:szCs w:val="24"/>
        </w:rPr>
        <w:t>no/probably no,</w:t>
      </w:r>
      <w:r w:rsidR="00943A1B">
        <w:rPr>
          <w:rFonts w:ascii="Times New Roman" w:hAnsi="Times New Roman" w:cs="Times New Roman"/>
          <w:sz w:val="24"/>
          <w:szCs w:val="24"/>
        </w:rPr>
        <w:t>”</w:t>
      </w:r>
      <w:r>
        <w:rPr>
          <w:rFonts w:ascii="Times New Roman" w:hAnsi="Times New Roman" w:cs="Times New Roman"/>
          <w:sz w:val="24"/>
          <w:szCs w:val="24"/>
        </w:rPr>
        <w:t xml:space="preserve"> or </w:t>
      </w:r>
      <w:r w:rsidR="00943A1B">
        <w:rPr>
          <w:rFonts w:ascii="Times New Roman" w:hAnsi="Times New Roman" w:cs="Times New Roman"/>
          <w:sz w:val="24"/>
          <w:szCs w:val="24"/>
        </w:rPr>
        <w:t>“</w:t>
      </w:r>
      <w:r>
        <w:rPr>
          <w:rFonts w:ascii="Times New Roman" w:hAnsi="Times New Roman" w:cs="Times New Roman"/>
          <w:sz w:val="24"/>
          <w:szCs w:val="24"/>
        </w:rPr>
        <w:t>no information.</w:t>
      </w:r>
      <w:r w:rsidR="00943A1B">
        <w:rPr>
          <w:rFonts w:ascii="Times New Roman" w:hAnsi="Times New Roman" w:cs="Times New Roman"/>
          <w:sz w:val="24"/>
          <w:szCs w:val="24"/>
        </w:rPr>
        <w:t>”</w:t>
      </w:r>
      <w:r>
        <w:rPr>
          <w:rFonts w:ascii="Times New Roman" w:hAnsi="Times New Roman" w:cs="Times New Roman"/>
          <w:sz w:val="24"/>
          <w:szCs w:val="24"/>
        </w:rPr>
        <w:t xml:space="preserve"> Each dimension was individually rated as low risk, high risk, or unclear. A single domain was rated as low risk if all key questions were met, high risk if any key question was not met, and unclear if key information was missing but other items were met. Overall risk of bias was determined by combining results from the four domains: low risk if all domains were low risk, high risk if any domain was high risk, and unclear if only unclear domains existed with others being low risk</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[5,6]</w:t>
      </w:r>
      <w:r>
        <w:rPr>
          <w:rFonts w:ascii="Times New Roman" w:hAnsi="Times New Roman" w:cs="Times New Roman"/>
          <w:sz w:val="24"/>
          <w:szCs w:val="24"/>
        </w:rPr>
        <w:t>.</w:t>
      </w:r>
    </w:p>
    <w:p w14:paraId="703582AD" w14:textId="77777777" w:rsidR="009076EE" w:rsidRDefault="009076EE" w:rsidP="00113A51">
      <w:pPr>
        <w:snapToGrid w:val="0"/>
        <w:rPr>
          <w:rFonts w:ascii="Times New Roman" w:hAnsi="Times New Roman" w:cs="Times New Roman"/>
          <w:sz w:val="24"/>
          <w:szCs w:val="24"/>
        </w:rPr>
      </w:pPr>
    </w:p>
    <w:p w14:paraId="4FE3087B"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2.4</w:t>
      </w:r>
      <w:r>
        <w:rPr>
          <w:rFonts w:ascii="Times New Roman" w:hAnsi="Times New Roman" w:cs="Times New Roman" w:hint="eastAsia"/>
          <w:b/>
          <w:bCs/>
          <w:sz w:val="24"/>
          <w:szCs w:val="24"/>
        </w:rPr>
        <w:t>.2.</w:t>
      </w:r>
      <w:r>
        <w:rPr>
          <w:rFonts w:ascii="Times New Roman" w:hAnsi="Times New Roman" w:cs="Times New Roman"/>
          <w:sz w:val="24"/>
          <w:szCs w:val="24"/>
        </w:rPr>
        <w:t> </w:t>
      </w:r>
      <w:r>
        <w:rPr>
          <w:rFonts w:ascii="Times New Roman" w:hAnsi="Times New Roman" w:cs="Times New Roman"/>
          <w:b/>
          <w:bCs/>
          <w:sz w:val="24"/>
          <w:szCs w:val="24"/>
        </w:rPr>
        <w:t>Applicability assessment</w:t>
      </w:r>
    </w:p>
    <w:p w14:paraId="53C9243C" w14:textId="525072C7" w:rsidR="009076EE" w:rsidRDefault="00000000" w:rsidP="00113A51">
      <w:pPr>
        <w:snapToGrid w:val="0"/>
        <w:rPr>
          <w:rFonts w:ascii="Times New Roman" w:hAnsi="Times New Roman" w:cs="Times New Roman"/>
          <w:sz w:val="24"/>
          <w:szCs w:val="24"/>
        </w:rPr>
      </w:pPr>
      <w:r>
        <w:rPr>
          <w:rFonts w:ascii="Times New Roman" w:hAnsi="Times New Roman" w:cs="Times New Roman"/>
          <w:sz w:val="24"/>
          <w:szCs w:val="24"/>
        </w:rPr>
        <w:t>The evaluation logic for applicability risk was parallel to that of bias risk, but based on evaluation results from three domains: participants, predictors, and outcome</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[6]</w:t>
      </w:r>
      <w:r>
        <w:rPr>
          <w:rFonts w:ascii="Times New Roman" w:hAnsi="Times New Roman" w:cs="Times New Roman"/>
          <w:sz w:val="24"/>
          <w:szCs w:val="24"/>
        </w:rPr>
        <w:t xml:space="preserve">. If applicability risk results for all three domains were </w:t>
      </w:r>
      <w:r w:rsidR="00943A1B">
        <w:rPr>
          <w:rFonts w:ascii="Times New Roman" w:hAnsi="Times New Roman" w:cs="Times New Roman"/>
          <w:sz w:val="24"/>
          <w:szCs w:val="24"/>
        </w:rPr>
        <w:t>“</w:t>
      </w:r>
      <w:r>
        <w:rPr>
          <w:rFonts w:ascii="Times New Roman" w:hAnsi="Times New Roman" w:cs="Times New Roman"/>
          <w:sz w:val="24"/>
          <w:szCs w:val="24"/>
        </w:rPr>
        <w:t>low,</w:t>
      </w:r>
      <w:r w:rsidR="00943A1B">
        <w:rPr>
          <w:rFonts w:ascii="Times New Roman" w:hAnsi="Times New Roman" w:cs="Times New Roman"/>
          <w:sz w:val="24"/>
          <w:szCs w:val="24"/>
        </w:rPr>
        <w:t>”</w:t>
      </w:r>
      <w:r>
        <w:rPr>
          <w:rFonts w:ascii="Times New Roman" w:hAnsi="Times New Roman" w:cs="Times New Roman"/>
          <w:sz w:val="24"/>
          <w:szCs w:val="24"/>
        </w:rPr>
        <w:t xml:space="preserve"> overall applicability risk was rated as </w:t>
      </w:r>
      <w:r w:rsidR="00943A1B">
        <w:rPr>
          <w:rFonts w:ascii="Times New Roman" w:hAnsi="Times New Roman" w:cs="Times New Roman"/>
          <w:sz w:val="24"/>
          <w:szCs w:val="24"/>
        </w:rPr>
        <w:t>“</w:t>
      </w:r>
      <w:r>
        <w:rPr>
          <w:rFonts w:ascii="Times New Roman" w:hAnsi="Times New Roman" w:cs="Times New Roman"/>
          <w:sz w:val="24"/>
          <w:szCs w:val="24"/>
        </w:rPr>
        <w:t>low.</w:t>
      </w:r>
      <w:r w:rsidR="00943A1B">
        <w:rPr>
          <w:rFonts w:ascii="Times New Roman" w:hAnsi="Times New Roman" w:cs="Times New Roman"/>
          <w:sz w:val="24"/>
          <w:szCs w:val="24"/>
        </w:rPr>
        <w:t>”</w:t>
      </w:r>
      <w:r>
        <w:rPr>
          <w:rFonts w:ascii="Times New Roman" w:hAnsi="Times New Roman" w:cs="Times New Roman"/>
          <w:sz w:val="24"/>
          <w:szCs w:val="24"/>
        </w:rPr>
        <w:t xml:space="preserve"> If at least one domain had </w:t>
      </w:r>
      <w:r w:rsidR="00943A1B">
        <w:rPr>
          <w:rFonts w:ascii="Times New Roman" w:hAnsi="Times New Roman" w:cs="Times New Roman"/>
          <w:sz w:val="24"/>
          <w:szCs w:val="24"/>
        </w:rPr>
        <w:t>“</w:t>
      </w:r>
      <w:r>
        <w:rPr>
          <w:rFonts w:ascii="Times New Roman" w:hAnsi="Times New Roman" w:cs="Times New Roman"/>
          <w:sz w:val="24"/>
          <w:szCs w:val="24"/>
        </w:rPr>
        <w:t>high</w:t>
      </w:r>
      <w:r w:rsidR="00943A1B">
        <w:rPr>
          <w:rFonts w:ascii="Times New Roman" w:hAnsi="Times New Roman" w:cs="Times New Roman"/>
          <w:sz w:val="24"/>
          <w:szCs w:val="24"/>
        </w:rPr>
        <w:t>”</w:t>
      </w:r>
      <w:r>
        <w:rPr>
          <w:rFonts w:ascii="Times New Roman" w:hAnsi="Times New Roman" w:cs="Times New Roman"/>
          <w:sz w:val="24"/>
          <w:szCs w:val="24"/>
        </w:rPr>
        <w:t xml:space="preserve"> applicability risk, overall applicability risk was rated as </w:t>
      </w:r>
      <w:r w:rsidR="00943A1B">
        <w:rPr>
          <w:rFonts w:ascii="Times New Roman" w:hAnsi="Times New Roman" w:cs="Times New Roman"/>
          <w:sz w:val="24"/>
          <w:szCs w:val="24"/>
        </w:rPr>
        <w:t>“</w:t>
      </w:r>
      <w:r>
        <w:rPr>
          <w:rFonts w:ascii="Times New Roman" w:hAnsi="Times New Roman" w:cs="Times New Roman"/>
          <w:sz w:val="24"/>
          <w:szCs w:val="24"/>
        </w:rPr>
        <w:t>high.</w:t>
      </w:r>
      <w:r w:rsidR="00943A1B">
        <w:rPr>
          <w:rFonts w:ascii="Times New Roman" w:hAnsi="Times New Roman" w:cs="Times New Roman"/>
          <w:sz w:val="24"/>
          <w:szCs w:val="24"/>
        </w:rPr>
        <w:t>”</w:t>
      </w:r>
      <w:r>
        <w:rPr>
          <w:rFonts w:ascii="Times New Roman" w:hAnsi="Times New Roman" w:cs="Times New Roman"/>
          <w:sz w:val="24"/>
          <w:szCs w:val="24"/>
        </w:rPr>
        <w:t xml:space="preserve"> If at least one domain had </w:t>
      </w:r>
      <w:r w:rsidR="00943A1B">
        <w:rPr>
          <w:rFonts w:ascii="Times New Roman" w:hAnsi="Times New Roman" w:cs="Times New Roman"/>
          <w:sz w:val="24"/>
          <w:szCs w:val="24"/>
        </w:rPr>
        <w:t>“</w:t>
      </w:r>
      <w:r>
        <w:rPr>
          <w:rFonts w:ascii="Times New Roman" w:hAnsi="Times New Roman" w:cs="Times New Roman"/>
          <w:sz w:val="24"/>
          <w:szCs w:val="24"/>
        </w:rPr>
        <w:t>unclear</w:t>
      </w:r>
      <w:r w:rsidR="00943A1B">
        <w:rPr>
          <w:rFonts w:ascii="Times New Roman" w:hAnsi="Times New Roman" w:cs="Times New Roman"/>
          <w:sz w:val="24"/>
          <w:szCs w:val="24"/>
        </w:rPr>
        <w:t>”</w:t>
      </w:r>
      <w:r>
        <w:rPr>
          <w:rFonts w:ascii="Times New Roman" w:hAnsi="Times New Roman" w:cs="Times New Roman"/>
          <w:sz w:val="24"/>
          <w:szCs w:val="24"/>
        </w:rPr>
        <w:t xml:space="preserve"> applicability risk and other domains were </w:t>
      </w:r>
      <w:r w:rsidR="00943A1B">
        <w:rPr>
          <w:rFonts w:ascii="Times New Roman" w:hAnsi="Times New Roman" w:cs="Times New Roman"/>
          <w:sz w:val="24"/>
          <w:szCs w:val="24"/>
        </w:rPr>
        <w:t>“</w:t>
      </w:r>
      <w:r>
        <w:rPr>
          <w:rFonts w:ascii="Times New Roman" w:hAnsi="Times New Roman" w:cs="Times New Roman"/>
          <w:sz w:val="24"/>
          <w:szCs w:val="24"/>
        </w:rPr>
        <w:t>low,</w:t>
      </w:r>
      <w:r w:rsidR="00943A1B">
        <w:rPr>
          <w:rFonts w:ascii="Times New Roman" w:hAnsi="Times New Roman" w:cs="Times New Roman"/>
          <w:sz w:val="24"/>
          <w:szCs w:val="24"/>
        </w:rPr>
        <w:t>”</w:t>
      </w:r>
      <w:r>
        <w:rPr>
          <w:rFonts w:ascii="Times New Roman" w:hAnsi="Times New Roman" w:cs="Times New Roman"/>
          <w:sz w:val="24"/>
          <w:szCs w:val="24"/>
        </w:rPr>
        <w:t xml:space="preserve"> overall applicability risk was rated as </w:t>
      </w:r>
      <w:r w:rsidR="00943A1B">
        <w:rPr>
          <w:rFonts w:ascii="Times New Roman" w:hAnsi="Times New Roman" w:cs="Times New Roman"/>
          <w:sz w:val="24"/>
          <w:szCs w:val="24"/>
        </w:rPr>
        <w:t>“</w:t>
      </w:r>
      <w:r>
        <w:rPr>
          <w:rFonts w:ascii="Times New Roman" w:hAnsi="Times New Roman" w:cs="Times New Roman"/>
          <w:sz w:val="24"/>
          <w:szCs w:val="24"/>
        </w:rPr>
        <w:t>unclear.</w:t>
      </w:r>
      <w:r w:rsidR="00943A1B">
        <w:rPr>
          <w:rFonts w:ascii="Times New Roman" w:hAnsi="Times New Roman" w:cs="Times New Roman"/>
          <w:sz w:val="24"/>
          <w:szCs w:val="24"/>
        </w:rPr>
        <w:t>”</w:t>
      </w:r>
    </w:p>
    <w:p w14:paraId="667FEB8F" w14:textId="77777777" w:rsidR="009076EE" w:rsidRDefault="009076EE" w:rsidP="00113A51">
      <w:pPr>
        <w:snapToGrid w:val="0"/>
        <w:rPr>
          <w:rFonts w:ascii="Times New Roman" w:hAnsi="Times New Roman" w:cs="Times New Roman"/>
          <w:sz w:val="24"/>
          <w:szCs w:val="24"/>
        </w:rPr>
      </w:pPr>
    </w:p>
    <w:p w14:paraId="547CBE04"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3. Results</w:t>
      </w:r>
    </w:p>
    <w:p w14:paraId="50927CF7"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3.1</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Literature </w:t>
      </w:r>
      <w:r>
        <w:rPr>
          <w:rFonts w:ascii="Times New Roman" w:hAnsi="Times New Roman" w:cs="Times New Roman" w:hint="eastAsia"/>
          <w:b/>
          <w:bCs/>
          <w:sz w:val="24"/>
          <w:szCs w:val="24"/>
        </w:rPr>
        <w:t>s</w:t>
      </w:r>
      <w:r>
        <w:rPr>
          <w:rFonts w:ascii="Times New Roman" w:hAnsi="Times New Roman" w:cs="Times New Roman"/>
          <w:b/>
          <w:bCs/>
          <w:sz w:val="24"/>
          <w:szCs w:val="24"/>
        </w:rPr>
        <w:t xml:space="preserve">earch </w:t>
      </w:r>
      <w:r>
        <w:rPr>
          <w:rFonts w:ascii="Times New Roman" w:hAnsi="Times New Roman" w:cs="Times New Roman" w:hint="eastAsia"/>
          <w:b/>
          <w:bCs/>
          <w:sz w:val="24"/>
          <w:szCs w:val="24"/>
        </w:rPr>
        <w:t>p</w:t>
      </w:r>
      <w:r>
        <w:rPr>
          <w:rFonts w:ascii="Times New Roman" w:hAnsi="Times New Roman" w:cs="Times New Roman"/>
          <w:b/>
          <w:bCs/>
          <w:sz w:val="24"/>
          <w:szCs w:val="24"/>
        </w:rPr>
        <w:t xml:space="preserve">rocess and </w:t>
      </w:r>
      <w:r>
        <w:rPr>
          <w:rFonts w:ascii="Times New Roman" w:hAnsi="Times New Roman" w:cs="Times New Roman" w:hint="eastAsia"/>
          <w:b/>
          <w:bCs/>
          <w:sz w:val="24"/>
          <w:szCs w:val="24"/>
        </w:rPr>
        <w:t>r</w:t>
      </w:r>
      <w:r>
        <w:rPr>
          <w:rFonts w:ascii="Times New Roman" w:hAnsi="Times New Roman" w:cs="Times New Roman"/>
          <w:b/>
          <w:bCs/>
          <w:sz w:val="24"/>
          <w:szCs w:val="24"/>
        </w:rPr>
        <w:t>esults</w:t>
      </w:r>
    </w:p>
    <w:p w14:paraId="1ED0DD95"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sz w:val="24"/>
          <w:szCs w:val="24"/>
        </w:rPr>
        <w:t xml:space="preserve">A total of 3,037 relevant articles were retrieved through the search. After removing duplicates, 2,542 articles were obtained. After screening, 17 articles were finally included. The literature screening process is shown in </w:t>
      </w:r>
      <w:r>
        <w:rPr>
          <w:rFonts w:ascii="Times New Roman" w:hAnsi="Times New Roman" w:cs="Times New Roman"/>
          <w:b/>
          <w:bCs/>
          <w:sz w:val="24"/>
          <w:szCs w:val="24"/>
        </w:rPr>
        <w:t>Figure 1</w:t>
      </w:r>
      <w:r>
        <w:rPr>
          <w:rFonts w:ascii="Times New Roman" w:hAnsi="Times New Roman" w:cs="Times New Roman"/>
          <w:sz w:val="24"/>
          <w:szCs w:val="24"/>
        </w:rPr>
        <w:t>.</w:t>
      </w:r>
    </w:p>
    <w:p w14:paraId="4DD16C67" w14:textId="77777777" w:rsidR="009076EE" w:rsidRDefault="009076EE" w:rsidP="00113A51">
      <w:pPr>
        <w:snapToGrid w:val="0"/>
        <w:rPr>
          <w:rFonts w:ascii="Times New Roman" w:hAnsi="Times New Roman" w:cs="Times New Roman"/>
          <w:b/>
          <w:bCs/>
          <w:sz w:val="24"/>
          <w:szCs w:val="24"/>
        </w:rPr>
      </w:pPr>
    </w:p>
    <w:p w14:paraId="725FBB02" w14:textId="77777777" w:rsidR="009076EE" w:rsidRDefault="00000000" w:rsidP="00113A51">
      <w:pPr>
        <w:snapToGrid w:val="0"/>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7A64BF43" wp14:editId="060A75B7">
            <wp:extent cx="2750820" cy="4126865"/>
            <wp:effectExtent l="0" t="0" r="0" b="0"/>
            <wp:docPr id="15657480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748084" name="图片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57498" cy="4136247"/>
                    </a:xfrm>
                    <a:prstGeom prst="rect">
                      <a:avLst/>
                    </a:prstGeom>
                  </pic:spPr>
                </pic:pic>
              </a:graphicData>
            </a:graphic>
          </wp:inline>
        </w:drawing>
      </w:r>
    </w:p>
    <w:p w14:paraId="5D9621DA" w14:textId="41406AEF" w:rsidR="009076EE" w:rsidRDefault="00000000" w:rsidP="00113A51">
      <w:pPr>
        <w:snapToGrid w:val="0"/>
        <w:jc w:val="center"/>
        <w:rPr>
          <w:rFonts w:ascii="Times New Roman" w:hAnsi="Times New Roman" w:cs="Times New Roman"/>
          <w:sz w:val="24"/>
          <w:szCs w:val="24"/>
        </w:rPr>
      </w:pPr>
      <w:r w:rsidRPr="00113A51">
        <w:rPr>
          <w:rFonts w:ascii="Times New Roman" w:hAnsi="Times New Roman" w:cs="Times New Roman"/>
          <w:b/>
          <w:bCs/>
          <w:sz w:val="20"/>
          <w:szCs w:val="20"/>
        </w:rPr>
        <w:t>Figure 1.</w:t>
      </w:r>
      <w:r w:rsidRPr="00113A51">
        <w:rPr>
          <w:rFonts w:ascii="Times New Roman" w:hAnsi="Times New Roman" w:cs="Times New Roman"/>
          <w:sz w:val="20"/>
          <w:szCs w:val="20"/>
        </w:rPr>
        <w:t> Flow chart of literature search</w:t>
      </w:r>
      <w:r w:rsidR="00943A1B">
        <w:rPr>
          <w:rFonts w:ascii="Times New Roman" w:hAnsi="Times New Roman" w:cs="Times New Roman"/>
          <w:sz w:val="24"/>
          <w:szCs w:val="24"/>
        </w:rPr>
        <w:t>.</w:t>
      </w:r>
    </w:p>
    <w:p w14:paraId="639D9836" w14:textId="77777777" w:rsidR="009076EE" w:rsidRDefault="009076EE" w:rsidP="00113A51">
      <w:pPr>
        <w:snapToGrid w:val="0"/>
        <w:rPr>
          <w:rFonts w:ascii="Times New Roman" w:hAnsi="Times New Roman" w:cs="Times New Roman"/>
          <w:sz w:val="24"/>
          <w:szCs w:val="24"/>
        </w:rPr>
      </w:pPr>
    </w:p>
    <w:p w14:paraId="2FE53EAA"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3.2</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Basic </w:t>
      </w:r>
      <w:r>
        <w:rPr>
          <w:rFonts w:ascii="Times New Roman" w:hAnsi="Times New Roman" w:cs="Times New Roman" w:hint="eastAsia"/>
          <w:b/>
          <w:bCs/>
          <w:sz w:val="24"/>
          <w:szCs w:val="24"/>
        </w:rPr>
        <w:t>c</w:t>
      </w:r>
      <w:r>
        <w:rPr>
          <w:rFonts w:ascii="Times New Roman" w:hAnsi="Times New Roman" w:cs="Times New Roman"/>
          <w:b/>
          <w:bCs/>
          <w:sz w:val="24"/>
          <w:szCs w:val="24"/>
        </w:rPr>
        <w:t xml:space="preserve">haracteristics of </w:t>
      </w:r>
      <w:r>
        <w:rPr>
          <w:rFonts w:ascii="Times New Roman" w:hAnsi="Times New Roman" w:cs="Times New Roman" w:hint="eastAsia"/>
          <w:b/>
          <w:bCs/>
          <w:sz w:val="24"/>
          <w:szCs w:val="24"/>
        </w:rPr>
        <w:t>i</w:t>
      </w:r>
      <w:r>
        <w:rPr>
          <w:rFonts w:ascii="Times New Roman" w:hAnsi="Times New Roman" w:cs="Times New Roman"/>
          <w:b/>
          <w:bCs/>
          <w:sz w:val="24"/>
          <w:szCs w:val="24"/>
        </w:rPr>
        <w:t xml:space="preserve">ncluded </w:t>
      </w:r>
      <w:r>
        <w:rPr>
          <w:rFonts w:ascii="Times New Roman" w:hAnsi="Times New Roman" w:cs="Times New Roman" w:hint="eastAsia"/>
          <w:b/>
          <w:bCs/>
          <w:sz w:val="24"/>
          <w:szCs w:val="24"/>
        </w:rPr>
        <w:t>s</w:t>
      </w:r>
      <w:r>
        <w:rPr>
          <w:rFonts w:ascii="Times New Roman" w:hAnsi="Times New Roman" w:cs="Times New Roman"/>
          <w:b/>
          <w:bCs/>
          <w:sz w:val="24"/>
          <w:szCs w:val="24"/>
        </w:rPr>
        <w:t>tudies</w:t>
      </w:r>
    </w:p>
    <w:p w14:paraId="08A1BA95" w14:textId="774351C4" w:rsidR="009076EE" w:rsidRDefault="00000000" w:rsidP="00113A51">
      <w:pPr>
        <w:snapToGrid w:val="0"/>
        <w:rPr>
          <w:rFonts w:ascii="Times New Roman" w:hAnsi="Times New Roman" w:cs="Times New Roman"/>
          <w:sz w:val="24"/>
          <w:szCs w:val="24"/>
        </w:rPr>
      </w:pPr>
      <w:r>
        <w:rPr>
          <w:rFonts w:ascii="Times New Roman" w:hAnsi="Times New Roman" w:cs="Times New Roman"/>
          <w:sz w:val="24"/>
          <w:szCs w:val="24"/>
        </w:rPr>
        <w:t>Seventeen studies were finally included, published as follows: 12 from China, 1 from the Netherlands, 1 from South Korea, 1 from Canada, 1 from Argentina, and 1 joint study from 7 countries (Australia, Belgium, United Kingdom, Germany, Spain, Sweden, Netherlands)</w:t>
      </w:r>
      <w:r w:rsidR="00943A1B">
        <w:rPr>
          <w:rFonts w:ascii="Times New Roman" w:hAnsi="Times New Roman" w:cs="Times New Roman"/>
          <w:sz w:val="24"/>
          <w:szCs w:val="24"/>
        </w:rPr>
        <w:t xml:space="preserve"> </w:t>
      </w:r>
      <w:r w:rsidR="00943A1B" w:rsidRPr="00113A51">
        <w:rPr>
          <w:rFonts w:ascii="Times New Roman" w:hAnsi="Times New Roman" w:cs="Times New Roman"/>
          <w:sz w:val="24"/>
          <w:szCs w:val="24"/>
          <w:vertAlign w:val="superscript"/>
        </w:rPr>
        <w:t>[</w:t>
      </w:r>
      <w:r w:rsidR="00943A1B">
        <w:rPr>
          <w:rFonts w:ascii="Times New Roman" w:hAnsi="Times New Roman" w:cs="Times New Roman"/>
          <w:sz w:val="24"/>
          <w:szCs w:val="24"/>
          <w:vertAlign w:val="superscript"/>
        </w:rPr>
        <w:t>7–23</w:t>
      </w:r>
      <w:r>
        <w:rPr>
          <w:rFonts w:ascii="Times New Roman" w:hAnsi="Times New Roman" w:cs="Times New Roman"/>
          <w:sz w:val="24"/>
          <w:szCs w:val="24"/>
          <w:vertAlign w:val="superscript"/>
        </w:rPr>
        <w:t>]</w:t>
      </w:r>
      <w:r>
        <w:rPr>
          <w:rFonts w:ascii="Times New Roman" w:hAnsi="Times New Roman" w:cs="Times New Roman"/>
          <w:sz w:val="24"/>
          <w:szCs w:val="24"/>
        </w:rPr>
        <w:t>. Among them, 8 were Chinese-language articles and 9 were English-language articles</w:t>
      </w:r>
      <w:r>
        <w:rPr>
          <w:rFonts w:ascii="Times New Roman" w:hAnsi="Times New Roman" w:cs="Times New Roman"/>
          <w:sz w:val="24"/>
          <w:szCs w:val="24"/>
          <w:vertAlign w:val="superscript"/>
        </w:rPr>
        <w:t>[7-1</w:t>
      </w:r>
      <w:r w:rsidR="00943A1B">
        <w:rPr>
          <w:rFonts w:ascii="Times New Roman" w:hAnsi="Times New Roman" w:cs="Times New Roman"/>
          <w:sz w:val="24"/>
          <w:szCs w:val="24"/>
          <w:vertAlign w:val="superscript"/>
        </w:rPr>
        <w:t>8</w:t>
      </w:r>
      <w:r>
        <w:rPr>
          <w:rFonts w:ascii="Times New Roman" w:hAnsi="Times New Roman" w:cs="Times New Roman"/>
          <w:sz w:val="24"/>
          <w:szCs w:val="24"/>
          <w:vertAlign w:val="superscript"/>
        </w:rPr>
        <w:t>, 19</w:t>
      </w:r>
      <w:r w:rsidR="00943A1B">
        <w:rPr>
          <w:rFonts w:ascii="Times New Roman" w:hAnsi="Times New Roman" w:cs="Times New Roman"/>
          <w:sz w:val="24"/>
          <w:szCs w:val="24"/>
          <w:vertAlign w:val="superscript"/>
        </w:rPr>
        <w:t>–23</w:t>
      </w:r>
      <w:r>
        <w:rPr>
          <w:rFonts w:ascii="Times New Roman" w:hAnsi="Times New Roman" w:cs="Times New Roman"/>
          <w:sz w:val="24"/>
          <w:szCs w:val="24"/>
          <w:vertAlign w:val="superscript"/>
        </w:rPr>
        <w:t>]</w:t>
      </w:r>
      <w:r>
        <w:rPr>
          <w:rFonts w:ascii="Times New Roman" w:hAnsi="Times New Roman" w:cs="Times New Roman"/>
          <w:sz w:val="24"/>
          <w:szCs w:val="24"/>
        </w:rPr>
        <w:t>; of the 17 studies, 8 were retrospective studies</w:t>
      </w:r>
      <w:r w:rsidR="00943A1B">
        <w:rPr>
          <w:rFonts w:ascii="Times New Roman" w:hAnsi="Times New Roman" w:cs="Times New Roman"/>
          <w:sz w:val="24"/>
          <w:szCs w:val="24"/>
        </w:rPr>
        <w:t xml:space="preserve"> </w:t>
      </w:r>
      <w:r>
        <w:rPr>
          <w:rFonts w:ascii="Times New Roman" w:hAnsi="Times New Roman" w:cs="Times New Roman"/>
          <w:sz w:val="24"/>
          <w:szCs w:val="24"/>
        </w:rPr>
        <w:t>and 9 were prospective studies</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w:t>
      </w:r>
      <w:r w:rsidR="00943A1B">
        <w:rPr>
          <w:rFonts w:ascii="Times New Roman" w:hAnsi="Times New Roman" w:cs="Times New Roman"/>
          <w:sz w:val="24"/>
          <w:szCs w:val="24"/>
          <w:vertAlign w:val="superscript"/>
        </w:rPr>
        <w:t>8–23</w:t>
      </w:r>
      <w:r>
        <w:rPr>
          <w:rFonts w:ascii="Times New Roman" w:hAnsi="Times New Roman" w:cs="Times New Roman"/>
          <w:sz w:val="24"/>
          <w:szCs w:val="24"/>
          <w:vertAlign w:val="superscript"/>
        </w:rPr>
        <w:t>]</w:t>
      </w:r>
      <w:r>
        <w:rPr>
          <w:rFonts w:ascii="Times New Roman" w:hAnsi="Times New Roman" w:cs="Times New Roman"/>
          <w:sz w:val="24"/>
          <w:szCs w:val="24"/>
        </w:rPr>
        <w:t xml:space="preserve">. Basic characteristics of included studies are shown in </w:t>
      </w:r>
      <w:r>
        <w:rPr>
          <w:rFonts w:ascii="Times New Roman" w:hAnsi="Times New Roman" w:cs="Times New Roman"/>
          <w:b/>
          <w:bCs/>
          <w:sz w:val="24"/>
          <w:szCs w:val="24"/>
        </w:rPr>
        <w:t>Table 1</w:t>
      </w:r>
      <w:r>
        <w:rPr>
          <w:rFonts w:ascii="Times New Roman" w:hAnsi="Times New Roman" w:cs="Times New Roman"/>
          <w:sz w:val="24"/>
          <w:szCs w:val="24"/>
        </w:rPr>
        <w:t>.</w:t>
      </w:r>
    </w:p>
    <w:p w14:paraId="3F7F89CC" w14:textId="77777777" w:rsidR="009076EE" w:rsidRDefault="009076EE" w:rsidP="00113A51">
      <w:pPr>
        <w:snapToGrid w:val="0"/>
        <w:rPr>
          <w:rFonts w:ascii="Times New Roman" w:hAnsi="Times New Roman" w:cs="Times New Roman"/>
          <w:sz w:val="24"/>
          <w:szCs w:val="24"/>
        </w:rPr>
      </w:pPr>
    </w:p>
    <w:p w14:paraId="1AD61C45" w14:textId="18BE2C6B" w:rsidR="009076EE" w:rsidRDefault="00000000" w:rsidP="00943A1B">
      <w:pPr>
        <w:snapToGrid w:val="0"/>
        <w:rPr>
          <w:rFonts w:ascii="Times New Roman" w:hAnsi="Times New Roman" w:cs="Times New Roman"/>
          <w:sz w:val="24"/>
          <w:szCs w:val="24"/>
        </w:rPr>
      </w:pPr>
      <w:r>
        <w:rPr>
          <w:rFonts w:ascii="Times New Roman" w:hAnsi="Times New Roman" w:cs="Times New Roman"/>
          <w:b/>
          <w:bCs/>
          <w:sz w:val="24"/>
          <w:szCs w:val="24"/>
        </w:rPr>
        <w:t>Table 1.</w:t>
      </w:r>
      <w:r>
        <w:rPr>
          <w:rFonts w:ascii="Times New Roman" w:hAnsi="Times New Roman" w:cs="Times New Roman"/>
          <w:sz w:val="24"/>
          <w:szCs w:val="24"/>
        </w:rPr>
        <w:t> Basic characteristics of the included studies (n</w:t>
      </w:r>
      <w:r w:rsidR="00943A1B">
        <w:rPr>
          <w:rFonts w:ascii="Times New Roman" w:hAnsi="Times New Roman" w:cs="Times New Roman"/>
          <w:sz w:val="24"/>
          <w:szCs w:val="24"/>
        </w:rPr>
        <w:t xml:space="preserve"> </w:t>
      </w:r>
      <w:r>
        <w:rPr>
          <w:rFonts w:ascii="Times New Roman" w:hAnsi="Times New Roman" w:cs="Times New Roman"/>
          <w:sz w:val="24"/>
          <w:szCs w:val="24"/>
        </w:rPr>
        <w:t>=</w:t>
      </w:r>
      <w:r w:rsidR="00943A1B">
        <w:rPr>
          <w:rFonts w:ascii="Times New Roman" w:hAnsi="Times New Roman" w:cs="Times New Roman"/>
          <w:sz w:val="24"/>
          <w:szCs w:val="24"/>
        </w:rPr>
        <w:t xml:space="preserve"> </w:t>
      </w:r>
      <w:r>
        <w:rPr>
          <w:rFonts w:ascii="Times New Roman" w:hAnsi="Times New Roman" w:cs="Times New Roman"/>
          <w:sz w:val="24"/>
          <w:szCs w:val="24"/>
        </w:rPr>
        <w:t>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4"/>
        <w:gridCol w:w="1435"/>
        <w:gridCol w:w="1412"/>
        <w:gridCol w:w="1556"/>
        <w:gridCol w:w="1769"/>
        <w:gridCol w:w="1882"/>
      </w:tblGrid>
      <w:tr w:rsidR="00943A1B" w14:paraId="0A93EB9C" w14:textId="77777777" w:rsidTr="00113A51">
        <w:tc>
          <w:tcPr>
            <w:tcW w:w="1642" w:type="dxa"/>
            <w:tcBorders>
              <w:top w:val="single" w:sz="4" w:space="0" w:color="auto"/>
              <w:bottom w:val="single" w:sz="4" w:space="0" w:color="auto"/>
            </w:tcBorders>
            <w:vAlign w:val="center"/>
          </w:tcPr>
          <w:p w14:paraId="71F49FF4" w14:textId="4D282F29" w:rsidR="00943A1B" w:rsidRPr="00943A1B" w:rsidRDefault="00943A1B" w:rsidP="00113A51">
            <w:pPr>
              <w:snapToGrid w:val="0"/>
              <w:jc w:val="left"/>
              <w:rPr>
                <w:rFonts w:ascii="Times New Roman" w:hAnsi="Times New Roman" w:cs="Times New Roman"/>
                <w:sz w:val="24"/>
                <w:szCs w:val="24"/>
              </w:rPr>
            </w:pPr>
            <w:r w:rsidRPr="00113A51">
              <w:rPr>
                <w:rFonts w:ascii="Times New Roman" w:hAnsi="Times New Roman" w:cs="Times New Roman"/>
                <w:b/>
                <w:bCs/>
                <w:color w:val="000000" w:themeColor="text1"/>
                <w:sz w:val="24"/>
                <w:szCs w:val="24"/>
              </w:rPr>
              <w:t>Study</w:t>
            </w:r>
          </w:p>
        </w:tc>
        <w:tc>
          <w:tcPr>
            <w:tcW w:w="1443" w:type="dxa"/>
            <w:tcBorders>
              <w:top w:val="single" w:sz="4" w:space="0" w:color="auto"/>
              <w:bottom w:val="single" w:sz="4" w:space="0" w:color="auto"/>
            </w:tcBorders>
            <w:vAlign w:val="center"/>
          </w:tcPr>
          <w:p w14:paraId="50A949BA" w14:textId="50052CB0"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b/>
                <w:bCs/>
                <w:color w:val="000000" w:themeColor="text1"/>
                <w:sz w:val="24"/>
                <w:szCs w:val="24"/>
              </w:rPr>
              <w:t xml:space="preserve">Publication </w:t>
            </w:r>
            <w:r>
              <w:rPr>
                <w:rFonts w:ascii="Times New Roman" w:hAnsi="Times New Roman" w:cs="Times New Roman"/>
                <w:b/>
                <w:bCs/>
                <w:color w:val="000000" w:themeColor="text1"/>
                <w:sz w:val="24"/>
                <w:szCs w:val="24"/>
              </w:rPr>
              <w:t>y</w:t>
            </w:r>
            <w:r w:rsidRPr="00113A51">
              <w:rPr>
                <w:rFonts w:ascii="Times New Roman" w:hAnsi="Times New Roman" w:cs="Times New Roman"/>
                <w:b/>
                <w:bCs/>
                <w:color w:val="000000" w:themeColor="text1"/>
                <w:sz w:val="24"/>
                <w:szCs w:val="24"/>
              </w:rPr>
              <w:t>ear</w:t>
            </w:r>
          </w:p>
        </w:tc>
        <w:tc>
          <w:tcPr>
            <w:tcW w:w="1418" w:type="dxa"/>
            <w:tcBorders>
              <w:top w:val="single" w:sz="4" w:space="0" w:color="auto"/>
              <w:bottom w:val="single" w:sz="4" w:space="0" w:color="auto"/>
            </w:tcBorders>
            <w:vAlign w:val="center"/>
          </w:tcPr>
          <w:p w14:paraId="097E489A" w14:textId="14171E8E"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b/>
                <w:bCs/>
                <w:color w:val="000000" w:themeColor="text1"/>
                <w:sz w:val="24"/>
                <w:szCs w:val="24"/>
              </w:rPr>
              <w:t>Country</w:t>
            </w:r>
          </w:p>
        </w:tc>
        <w:tc>
          <w:tcPr>
            <w:tcW w:w="1559" w:type="dxa"/>
            <w:tcBorders>
              <w:top w:val="single" w:sz="4" w:space="0" w:color="auto"/>
              <w:bottom w:val="single" w:sz="4" w:space="0" w:color="auto"/>
            </w:tcBorders>
            <w:vAlign w:val="center"/>
          </w:tcPr>
          <w:p w14:paraId="4CB4023A" w14:textId="36AF3360"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b/>
                <w:bCs/>
                <w:color w:val="000000" w:themeColor="text1"/>
                <w:sz w:val="24"/>
                <w:szCs w:val="24"/>
              </w:rPr>
              <w:t xml:space="preserve">Study </w:t>
            </w:r>
            <w:r>
              <w:rPr>
                <w:rFonts w:ascii="Times New Roman" w:hAnsi="Times New Roman" w:cs="Times New Roman"/>
                <w:b/>
                <w:bCs/>
                <w:color w:val="000000" w:themeColor="text1"/>
                <w:sz w:val="24"/>
                <w:szCs w:val="24"/>
              </w:rPr>
              <w:t>d</w:t>
            </w:r>
            <w:r w:rsidRPr="00113A51">
              <w:rPr>
                <w:rFonts w:ascii="Times New Roman" w:hAnsi="Times New Roman" w:cs="Times New Roman"/>
                <w:b/>
                <w:bCs/>
                <w:color w:val="000000" w:themeColor="text1"/>
                <w:sz w:val="24"/>
                <w:szCs w:val="24"/>
              </w:rPr>
              <w:t>esign</w:t>
            </w:r>
          </w:p>
        </w:tc>
        <w:tc>
          <w:tcPr>
            <w:tcW w:w="1843" w:type="dxa"/>
            <w:tcBorders>
              <w:top w:val="single" w:sz="4" w:space="0" w:color="auto"/>
              <w:bottom w:val="single" w:sz="4" w:space="0" w:color="auto"/>
            </w:tcBorders>
            <w:vAlign w:val="center"/>
          </w:tcPr>
          <w:p w14:paraId="30C65372" w14:textId="5EE645FD"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b/>
                <w:bCs/>
                <w:color w:val="000000" w:themeColor="text1"/>
                <w:sz w:val="24"/>
                <w:szCs w:val="24"/>
              </w:rPr>
              <w:t xml:space="preserve">Study </w:t>
            </w:r>
            <w:r>
              <w:rPr>
                <w:rFonts w:ascii="Times New Roman" w:hAnsi="Times New Roman" w:cs="Times New Roman"/>
                <w:b/>
                <w:bCs/>
                <w:color w:val="000000" w:themeColor="text1"/>
                <w:sz w:val="24"/>
                <w:szCs w:val="24"/>
              </w:rPr>
              <w:t>p</w:t>
            </w:r>
            <w:r w:rsidRPr="00113A51">
              <w:rPr>
                <w:rFonts w:ascii="Times New Roman" w:hAnsi="Times New Roman" w:cs="Times New Roman"/>
                <w:b/>
                <w:bCs/>
                <w:color w:val="000000" w:themeColor="text1"/>
                <w:sz w:val="24"/>
                <w:szCs w:val="24"/>
              </w:rPr>
              <w:t>opulation</w:t>
            </w:r>
          </w:p>
        </w:tc>
        <w:tc>
          <w:tcPr>
            <w:tcW w:w="1949" w:type="dxa"/>
            <w:tcBorders>
              <w:top w:val="single" w:sz="4" w:space="0" w:color="auto"/>
              <w:bottom w:val="single" w:sz="4" w:space="0" w:color="auto"/>
            </w:tcBorders>
            <w:vAlign w:val="center"/>
          </w:tcPr>
          <w:p w14:paraId="437C173A" w14:textId="0A88AB57"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b/>
                <w:bCs/>
                <w:color w:val="000000" w:themeColor="text1"/>
                <w:sz w:val="24"/>
                <w:szCs w:val="24"/>
              </w:rPr>
              <w:t xml:space="preserve">Delirium </w:t>
            </w:r>
            <w:r>
              <w:rPr>
                <w:rFonts w:ascii="Times New Roman" w:hAnsi="Times New Roman" w:cs="Times New Roman"/>
                <w:b/>
                <w:bCs/>
                <w:color w:val="000000" w:themeColor="text1"/>
                <w:sz w:val="24"/>
                <w:szCs w:val="24"/>
              </w:rPr>
              <w:t>a</w:t>
            </w:r>
            <w:r w:rsidRPr="00113A51">
              <w:rPr>
                <w:rFonts w:ascii="Times New Roman" w:hAnsi="Times New Roman" w:cs="Times New Roman"/>
                <w:b/>
                <w:bCs/>
                <w:color w:val="000000" w:themeColor="text1"/>
                <w:sz w:val="24"/>
                <w:szCs w:val="24"/>
              </w:rPr>
              <w:t xml:space="preserve">ssessment </w:t>
            </w:r>
            <w:r>
              <w:rPr>
                <w:rFonts w:ascii="Times New Roman" w:hAnsi="Times New Roman" w:cs="Times New Roman"/>
                <w:b/>
                <w:bCs/>
                <w:color w:val="000000" w:themeColor="text1"/>
                <w:sz w:val="24"/>
                <w:szCs w:val="24"/>
              </w:rPr>
              <w:t>c</w:t>
            </w:r>
            <w:r w:rsidRPr="00113A51">
              <w:rPr>
                <w:rFonts w:ascii="Times New Roman" w:hAnsi="Times New Roman" w:cs="Times New Roman"/>
                <w:b/>
                <w:bCs/>
                <w:color w:val="000000" w:themeColor="text1"/>
                <w:sz w:val="24"/>
                <w:szCs w:val="24"/>
              </w:rPr>
              <w:t>riteria</w:t>
            </w:r>
          </w:p>
        </w:tc>
      </w:tr>
      <w:tr w:rsidR="00943A1B" w14:paraId="5872B091" w14:textId="77777777" w:rsidTr="00113A51">
        <w:tc>
          <w:tcPr>
            <w:tcW w:w="1642" w:type="dxa"/>
            <w:tcBorders>
              <w:top w:val="single" w:sz="4" w:space="0" w:color="auto"/>
            </w:tcBorders>
            <w:vAlign w:val="center"/>
          </w:tcPr>
          <w:p w14:paraId="67C2637C" w14:textId="25DCD4BA" w:rsidR="00943A1B" w:rsidRPr="00943A1B" w:rsidRDefault="00943A1B" w:rsidP="00113A51">
            <w:pPr>
              <w:snapToGrid w:val="0"/>
              <w:jc w:val="left"/>
              <w:rPr>
                <w:rFonts w:ascii="Times New Roman" w:hAnsi="Times New Roman" w:cs="Times New Roman"/>
                <w:sz w:val="24"/>
                <w:szCs w:val="24"/>
              </w:rPr>
            </w:pPr>
            <w:r w:rsidRPr="00113A51">
              <w:rPr>
                <w:rFonts w:ascii="Times New Roman" w:hAnsi="Times New Roman" w:cs="Times New Roman"/>
                <w:color w:val="000000" w:themeColor="text1"/>
                <w:sz w:val="24"/>
                <w:szCs w:val="24"/>
              </w:rPr>
              <w:lastRenderedPageBreak/>
              <w:t>Huang et al.</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vertAlign w:val="superscript"/>
              </w:rPr>
              <w:t>[23]</w:t>
            </w:r>
          </w:p>
        </w:tc>
        <w:tc>
          <w:tcPr>
            <w:tcW w:w="1443" w:type="dxa"/>
            <w:tcBorders>
              <w:top w:val="single" w:sz="4" w:space="0" w:color="auto"/>
            </w:tcBorders>
            <w:vAlign w:val="center"/>
          </w:tcPr>
          <w:p w14:paraId="276F8582" w14:textId="49E7926F"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2023</w:t>
            </w:r>
          </w:p>
        </w:tc>
        <w:tc>
          <w:tcPr>
            <w:tcW w:w="1418" w:type="dxa"/>
            <w:tcBorders>
              <w:top w:val="single" w:sz="4" w:space="0" w:color="auto"/>
            </w:tcBorders>
            <w:vAlign w:val="center"/>
          </w:tcPr>
          <w:p w14:paraId="7C61908F" w14:textId="53E97E72"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China</w:t>
            </w:r>
          </w:p>
        </w:tc>
        <w:tc>
          <w:tcPr>
            <w:tcW w:w="1559" w:type="dxa"/>
            <w:tcBorders>
              <w:top w:val="single" w:sz="4" w:space="0" w:color="auto"/>
            </w:tcBorders>
            <w:vAlign w:val="center"/>
          </w:tcPr>
          <w:p w14:paraId="45F3B0F7" w14:textId="3FA4C3B7"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Retrospective</w:t>
            </w:r>
          </w:p>
        </w:tc>
        <w:tc>
          <w:tcPr>
            <w:tcW w:w="1843" w:type="dxa"/>
            <w:tcBorders>
              <w:top w:val="single" w:sz="4" w:space="0" w:color="auto"/>
            </w:tcBorders>
            <w:vAlign w:val="center"/>
          </w:tcPr>
          <w:p w14:paraId="30D8C6AD" w14:textId="2EF51754"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ICU patients</w:t>
            </w:r>
          </w:p>
        </w:tc>
        <w:tc>
          <w:tcPr>
            <w:tcW w:w="1949" w:type="dxa"/>
            <w:tcBorders>
              <w:top w:val="single" w:sz="4" w:space="0" w:color="auto"/>
            </w:tcBorders>
            <w:vAlign w:val="center"/>
          </w:tcPr>
          <w:p w14:paraId="074AB79D" w14:textId="0B8CAECF"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CAM-ICU (criterion b)</w:t>
            </w:r>
          </w:p>
        </w:tc>
      </w:tr>
      <w:tr w:rsidR="00943A1B" w14:paraId="63D1F4D7" w14:textId="77777777" w:rsidTr="00113A51">
        <w:tc>
          <w:tcPr>
            <w:tcW w:w="1642" w:type="dxa"/>
            <w:vAlign w:val="center"/>
          </w:tcPr>
          <w:p w14:paraId="42EC7CCC" w14:textId="34C63EF0" w:rsidR="00943A1B" w:rsidRPr="00943A1B" w:rsidRDefault="00943A1B" w:rsidP="00113A51">
            <w:pPr>
              <w:snapToGrid w:val="0"/>
              <w:jc w:val="left"/>
              <w:rPr>
                <w:rFonts w:ascii="Times New Roman" w:hAnsi="Times New Roman" w:cs="Times New Roman"/>
                <w:sz w:val="24"/>
                <w:szCs w:val="24"/>
              </w:rPr>
            </w:pPr>
            <w:r w:rsidRPr="00113A51">
              <w:rPr>
                <w:rFonts w:ascii="Times New Roman" w:hAnsi="Times New Roman" w:cs="Times New Roman"/>
                <w:color w:val="000000" w:themeColor="text1"/>
                <w:sz w:val="24"/>
                <w:szCs w:val="24"/>
              </w:rPr>
              <w:t>Chang et al.</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vertAlign w:val="superscript"/>
              </w:rPr>
              <w:t>[22]</w:t>
            </w:r>
          </w:p>
        </w:tc>
        <w:tc>
          <w:tcPr>
            <w:tcW w:w="1443" w:type="dxa"/>
            <w:vAlign w:val="center"/>
          </w:tcPr>
          <w:p w14:paraId="057C7AF3" w14:textId="3A9BCDFB"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2024</w:t>
            </w:r>
          </w:p>
        </w:tc>
        <w:tc>
          <w:tcPr>
            <w:tcW w:w="1418" w:type="dxa"/>
            <w:vAlign w:val="center"/>
          </w:tcPr>
          <w:p w14:paraId="138571C7" w14:textId="0639EF21"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China</w:t>
            </w:r>
          </w:p>
        </w:tc>
        <w:tc>
          <w:tcPr>
            <w:tcW w:w="1559" w:type="dxa"/>
            <w:vAlign w:val="center"/>
          </w:tcPr>
          <w:p w14:paraId="016AAD4C" w14:textId="77976966"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Retrospective</w:t>
            </w:r>
          </w:p>
        </w:tc>
        <w:tc>
          <w:tcPr>
            <w:tcW w:w="1843" w:type="dxa"/>
            <w:vAlign w:val="center"/>
          </w:tcPr>
          <w:p w14:paraId="7486F374" w14:textId="06B378E7"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Elderly patients with severe pneumonia on mechanical ventilation</w:t>
            </w:r>
          </w:p>
        </w:tc>
        <w:tc>
          <w:tcPr>
            <w:tcW w:w="1949" w:type="dxa"/>
            <w:vAlign w:val="center"/>
          </w:tcPr>
          <w:p w14:paraId="7836A7D8" w14:textId="2E31D95C"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CAM-ICU (criterion a)</w:t>
            </w:r>
          </w:p>
        </w:tc>
      </w:tr>
      <w:tr w:rsidR="00943A1B" w14:paraId="3536040C" w14:textId="77777777" w:rsidTr="00113A51">
        <w:tc>
          <w:tcPr>
            <w:tcW w:w="1642" w:type="dxa"/>
            <w:vAlign w:val="center"/>
          </w:tcPr>
          <w:p w14:paraId="08AAC130" w14:textId="7DB7FC48" w:rsidR="00943A1B" w:rsidRPr="00943A1B" w:rsidRDefault="00943A1B" w:rsidP="00113A51">
            <w:pPr>
              <w:snapToGrid w:val="0"/>
              <w:jc w:val="left"/>
              <w:rPr>
                <w:rFonts w:ascii="Times New Roman" w:hAnsi="Times New Roman" w:cs="Times New Roman"/>
                <w:sz w:val="24"/>
                <w:szCs w:val="24"/>
              </w:rPr>
            </w:pPr>
            <w:r w:rsidRPr="00113A51">
              <w:rPr>
                <w:rFonts w:ascii="Times New Roman" w:hAnsi="Times New Roman" w:cs="Times New Roman"/>
                <w:color w:val="000000" w:themeColor="text1"/>
                <w:sz w:val="24"/>
                <w:szCs w:val="24"/>
              </w:rPr>
              <w:t>Zhang et al.</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vertAlign w:val="superscript"/>
              </w:rPr>
              <w:t>[21]</w:t>
            </w:r>
          </w:p>
        </w:tc>
        <w:tc>
          <w:tcPr>
            <w:tcW w:w="1443" w:type="dxa"/>
            <w:vAlign w:val="center"/>
          </w:tcPr>
          <w:p w14:paraId="19C20331" w14:textId="60D2D992"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2025</w:t>
            </w:r>
          </w:p>
        </w:tc>
        <w:tc>
          <w:tcPr>
            <w:tcW w:w="1418" w:type="dxa"/>
            <w:vAlign w:val="center"/>
          </w:tcPr>
          <w:p w14:paraId="43011D7B" w14:textId="13F1A72F"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China</w:t>
            </w:r>
          </w:p>
        </w:tc>
        <w:tc>
          <w:tcPr>
            <w:tcW w:w="1559" w:type="dxa"/>
            <w:vAlign w:val="center"/>
          </w:tcPr>
          <w:p w14:paraId="1CD4D7BE" w14:textId="38A77431"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Prospective</w:t>
            </w:r>
          </w:p>
        </w:tc>
        <w:tc>
          <w:tcPr>
            <w:tcW w:w="1843" w:type="dxa"/>
            <w:vAlign w:val="center"/>
          </w:tcPr>
          <w:p w14:paraId="2C65689E" w14:textId="0B214589"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ICU patients</w:t>
            </w:r>
          </w:p>
        </w:tc>
        <w:tc>
          <w:tcPr>
            <w:tcW w:w="1949" w:type="dxa"/>
            <w:vAlign w:val="center"/>
          </w:tcPr>
          <w:p w14:paraId="496B5202" w14:textId="1675420F"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CAM-ICU (criterion a)</w:t>
            </w:r>
          </w:p>
        </w:tc>
      </w:tr>
      <w:tr w:rsidR="00943A1B" w14:paraId="20A8FF8D" w14:textId="77777777" w:rsidTr="00113A51">
        <w:tc>
          <w:tcPr>
            <w:tcW w:w="1642" w:type="dxa"/>
            <w:vAlign w:val="center"/>
          </w:tcPr>
          <w:p w14:paraId="74461AB8" w14:textId="3F2DBB90" w:rsidR="00943A1B" w:rsidRPr="00943A1B" w:rsidRDefault="00943A1B" w:rsidP="00113A51">
            <w:pPr>
              <w:snapToGrid w:val="0"/>
              <w:jc w:val="left"/>
              <w:rPr>
                <w:rFonts w:ascii="Times New Roman" w:hAnsi="Times New Roman" w:cs="Times New Roman"/>
                <w:sz w:val="24"/>
                <w:szCs w:val="24"/>
              </w:rPr>
            </w:pPr>
            <w:r w:rsidRPr="00113A51">
              <w:rPr>
                <w:rFonts w:ascii="Times New Roman" w:hAnsi="Times New Roman" w:cs="Times New Roman"/>
                <w:color w:val="000000" w:themeColor="text1"/>
                <w:sz w:val="24"/>
                <w:szCs w:val="24"/>
              </w:rPr>
              <w:t>Cao et al.</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vertAlign w:val="superscript"/>
              </w:rPr>
              <w:t>[20]</w:t>
            </w:r>
          </w:p>
        </w:tc>
        <w:tc>
          <w:tcPr>
            <w:tcW w:w="1443" w:type="dxa"/>
            <w:vAlign w:val="center"/>
          </w:tcPr>
          <w:p w14:paraId="407C074B" w14:textId="19D0AC36"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2023</w:t>
            </w:r>
          </w:p>
        </w:tc>
        <w:tc>
          <w:tcPr>
            <w:tcW w:w="1418" w:type="dxa"/>
            <w:vAlign w:val="center"/>
          </w:tcPr>
          <w:p w14:paraId="7130AB39" w14:textId="756B5540"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China</w:t>
            </w:r>
          </w:p>
        </w:tc>
        <w:tc>
          <w:tcPr>
            <w:tcW w:w="1559" w:type="dxa"/>
            <w:vAlign w:val="center"/>
          </w:tcPr>
          <w:p w14:paraId="7325A7E2" w14:textId="31B27CF3"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Prospective</w:t>
            </w:r>
          </w:p>
        </w:tc>
        <w:tc>
          <w:tcPr>
            <w:tcW w:w="1843" w:type="dxa"/>
            <w:vAlign w:val="center"/>
          </w:tcPr>
          <w:p w14:paraId="06A684D0" w14:textId="27704421"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ICU patients</w:t>
            </w:r>
          </w:p>
        </w:tc>
        <w:tc>
          <w:tcPr>
            <w:tcW w:w="1949" w:type="dxa"/>
            <w:vAlign w:val="center"/>
          </w:tcPr>
          <w:p w14:paraId="3D41CED8" w14:textId="18F27544"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CAM-ICU, ICDSC</w:t>
            </w:r>
          </w:p>
        </w:tc>
      </w:tr>
      <w:tr w:rsidR="00943A1B" w14:paraId="421B2155" w14:textId="77777777" w:rsidTr="00113A51">
        <w:tc>
          <w:tcPr>
            <w:tcW w:w="1642" w:type="dxa"/>
            <w:vAlign w:val="center"/>
          </w:tcPr>
          <w:p w14:paraId="0E6077DA" w14:textId="657E5D04" w:rsidR="00943A1B" w:rsidRPr="00943A1B" w:rsidRDefault="00943A1B" w:rsidP="00113A51">
            <w:pPr>
              <w:snapToGrid w:val="0"/>
              <w:jc w:val="left"/>
              <w:rPr>
                <w:rFonts w:ascii="Times New Roman" w:hAnsi="Times New Roman" w:cs="Times New Roman"/>
                <w:sz w:val="24"/>
                <w:szCs w:val="24"/>
              </w:rPr>
            </w:pPr>
            <w:r w:rsidRPr="00113A51">
              <w:rPr>
                <w:rFonts w:ascii="Times New Roman" w:hAnsi="Times New Roman" w:cs="Times New Roman"/>
                <w:color w:val="000000" w:themeColor="text1"/>
                <w:sz w:val="24"/>
                <w:szCs w:val="24"/>
              </w:rPr>
              <w:t>Wassenaar et al.</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vertAlign w:val="superscript"/>
              </w:rPr>
              <w:t>[19]</w:t>
            </w:r>
          </w:p>
        </w:tc>
        <w:tc>
          <w:tcPr>
            <w:tcW w:w="1443" w:type="dxa"/>
            <w:vAlign w:val="center"/>
          </w:tcPr>
          <w:p w14:paraId="25E29F71" w14:textId="3AFE1BBE"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2015</w:t>
            </w:r>
          </w:p>
        </w:tc>
        <w:tc>
          <w:tcPr>
            <w:tcW w:w="1418" w:type="dxa"/>
            <w:vAlign w:val="center"/>
          </w:tcPr>
          <w:p w14:paraId="020B8334" w14:textId="417B2E27"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Multi-country (7 countries)</w:t>
            </w:r>
          </w:p>
        </w:tc>
        <w:tc>
          <w:tcPr>
            <w:tcW w:w="1559" w:type="dxa"/>
            <w:vAlign w:val="center"/>
          </w:tcPr>
          <w:p w14:paraId="0EB50A81" w14:textId="2DA657C0"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Prospective</w:t>
            </w:r>
          </w:p>
        </w:tc>
        <w:tc>
          <w:tcPr>
            <w:tcW w:w="1843" w:type="dxa"/>
            <w:vAlign w:val="center"/>
          </w:tcPr>
          <w:p w14:paraId="5260BB93" w14:textId="61812276"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ICU patients</w:t>
            </w:r>
          </w:p>
        </w:tc>
        <w:tc>
          <w:tcPr>
            <w:tcW w:w="1949" w:type="dxa"/>
            <w:vAlign w:val="center"/>
          </w:tcPr>
          <w:p w14:paraId="6408D689" w14:textId="3213EE2C"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CAM-ICU positive</w:t>
            </w:r>
          </w:p>
        </w:tc>
      </w:tr>
      <w:tr w:rsidR="00943A1B" w14:paraId="09E32617" w14:textId="77777777" w:rsidTr="00113A51">
        <w:tc>
          <w:tcPr>
            <w:tcW w:w="1642" w:type="dxa"/>
            <w:vAlign w:val="center"/>
          </w:tcPr>
          <w:p w14:paraId="25DA925F" w14:textId="74E078FF" w:rsidR="00943A1B" w:rsidRPr="00943A1B" w:rsidRDefault="00943A1B" w:rsidP="00113A51">
            <w:pPr>
              <w:snapToGrid w:val="0"/>
              <w:jc w:val="left"/>
              <w:rPr>
                <w:rFonts w:ascii="Times New Roman" w:hAnsi="Times New Roman" w:cs="Times New Roman"/>
                <w:sz w:val="24"/>
                <w:szCs w:val="24"/>
              </w:rPr>
            </w:pPr>
            <w:r w:rsidRPr="00113A51">
              <w:rPr>
                <w:rFonts w:ascii="Times New Roman" w:hAnsi="Times New Roman" w:cs="Times New Roman"/>
                <w:color w:val="000000" w:themeColor="text1"/>
                <w:sz w:val="24"/>
                <w:szCs w:val="24"/>
              </w:rPr>
              <w:t>Shen et al.</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vertAlign w:val="superscript"/>
              </w:rPr>
              <w:t>[18]</w:t>
            </w:r>
          </w:p>
        </w:tc>
        <w:tc>
          <w:tcPr>
            <w:tcW w:w="1443" w:type="dxa"/>
            <w:vAlign w:val="center"/>
          </w:tcPr>
          <w:p w14:paraId="4D2E0DD8" w14:textId="6BF17742"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2023</w:t>
            </w:r>
          </w:p>
        </w:tc>
        <w:tc>
          <w:tcPr>
            <w:tcW w:w="1418" w:type="dxa"/>
            <w:vAlign w:val="center"/>
          </w:tcPr>
          <w:p w14:paraId="7AD5EE4F" w14:textId="29790029"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China</w:t>
            </w:r>
          </w:p>
        </w:tc>
        <w:tc>
          <w:tcPr>
            <w:tcW w:w="1559" w:type="dxa"/>
            <w:vAlign w:val="center"/>
          </w:tcPr>
          <w:p w14:paraId="7C243A8A" w14:textId="2207EF00"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Retrospective</w:t>
            </w:r>
          </w:p>
        </w:tc>
        <w:tc>
          <w:tcPr>
            <w:tcW w:w="1843" w:type="dxa"/>
            <w:vAlign w:val="center"/>
          </w:tcPr>
          <w:p w14:paraId="14E6CB6D" w14:textId="25689F21"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ICU patients</w:t>
            </w:r>
          </w:p>
        </w:tc>
        <w:tc>
          <w:tcPr>
            <w:tcW w:w="1949" w:type="dxa"/>
            <w:vAlign w:val="center"/>
          </w:tcPr>
          <w:p w14:paraId="7516E1D9" w14:textId="39AD7D72"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CAM-ICU (criterion a)</w:t>
            </w:r>
          </w:p>
        </w:tc>
      </w:tr>
      <w:tr w:rsidR="00943A1B" w14:paraId="58C7EB22" w14:textId="77777777" w:rsidTr="00113A51">
        <w:tc>
          <w:tcPr>
            <w:tcW w:w="1642" w:type="dxa"/>
            <w:vAlign w:val="center"/>
          </w:tcPr>
          <w:p w14:paraId="6A38F554" w14:textId="274E0355" w:rsidR="00943A1B" w:rsidRPr="00943A1B" w:rsidRDefault="00943A1B" w:rsidP="00113A51">
            <w:pPr>
              <w:snapToGrid w:val="0"/>
              <w:jc w:val="left"/>
              <w:rPr>
                <w:rFonts w:ascii="Times New Roman" w:hAnsi="Times New Roman" w:cs="Times New Roman"/>
                <w:sz w:val="24"/>
                <w:szCs w:val="24"/>
              </w:rPr>
            </w:pPr>
            <w:r w:rsidRPr="00113A51">
              <w:rPr>
                <w:rFonts w:ascii="Times New Roman" w:hAnsi="Times New Roman" w:cs="Times New Roman"/>
                <w:color w:val="000000" w:themeColor="text1"/>
                <w:sz w:val="24"/>
                <w:szCs w:val="24"/>
              </w:rPr>
              <w:t>Zhu</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vertAlign w:val="superscript"/>
              </w:rPr>
              <w:t>[17]</w:t>
            </w:r>
          </w:p>
        </w:tc>
        <w:tc>
          <w:tcPr>
            <w:tcW w:w="1443" w:type="dxa"/>
            <w:vAlign w:val="center"/>
          </w:tcPr>
          <w:p w14:paraId="26288177" w14:textId="05E83EB2"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2017</w:t>
            </w:r>
          </w:p>
        </w:tc>
        <w:tc>
          <w:tcPr>
            <w:tcW w:w="1418" w:type="dxa"/>
            <w:vAlign w:val="center"/>
          </w:tcPr>
          <w:p w14:paraId="7AFB85EC" w14:textId="39B9F6B3"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China</w:t>
            </w:r>
          </w:p>
        </w:tc>
        <w:tc>
          <w:tcPr>
            <w:tcW w:w="1559" w:type="dxa"/>
            <w:vAlign w:val="center"/>
          </w:tcPr>
          <w:p w14:paraId="1E4DAAD1" w14:textId="2E3A082C"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Retrospective</w:t>
            </w:r>
          </w:p>
        </w:tc>
        <w:tc>
          <w:tcPr>
            <w:tcW w:w="1843" w:type="dxa"/>
            <w:vAlign w:val="center"/>
          </w:tcPr>
          <w:p w14:paraId="249EE5F9" w14:textId="03583CFB"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ICU patients</w:t>
            </w:r>
          </w:p>
        </w:tc>
        <w:tc>
          <w:tcPr>
            <w:tcW w:w="1949" w:type="dxa"/>
            <w:vAlign w:val="center"/>
          </w:tcPr>
          <w:p w14:paraId="7EE95752" w14:textId="6B28171D"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CAM-ICU positive</w:t>
            </w:r>
          </w:p>
        </w:tc>
      </w:tr>
      <w:tr w:rsidR="00943A1B" w14:paraId="051A7C18" w14:textId="77777777" w:rsidTr="00113A51">
        <w:tc>
          <w:tcPr>
            <w:tcW w:w="1642" w:type="dxa"/>
            <w:vAlign w:val="center"/>
          </w:tcPr>
          <w:p w14:paraId="08946B6B" w14:textId="55CA829B" w:rsidR="00943A1B" w:rsidRPr="00943A1B" w:rsidRDefault="00943A1B" w:rsidP="00113A51">
            <w:pPr>
              <w:snapToGrid w:val="0"/>
              <w:jc w:val="left"/>
              <w:rPr>
                <w:rFonts w:ascii="Times New Roman" w:hAnsi="Times New Roman" w:cs="Times New Roman"/>
                <w:sz w:val="24"/>
                <w:szCs w:val="24"/>
              </w:rPr>
            </w:pPr>
            <w:r w:rsidRPr="00113A51">
              <w:rPr>
                <w:rFonts w:ascii="Times New Roman" w:hAnsi="Times New Roman" w:cs="Times New Roman"/>
                <w:color w:val="000000" w:themeColor="text1"/>
                <w:sz w:val="24"/>
                <w:szCs w:val="24"/>
              </w:rPr>
              <w:t>Dai et al.</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vertAlign w:val="superscript"/>
              </w:rPr>
              <w:t>[15]</w:t>
            </w:r>
          </w:p>
        </w:tc>
        <w:tc>
          <w:tcPr>
            <w:tcW w:w="1443" w:type="dxa"/>
            <w:vAlign w:val="center"/>
          </w:tcPr>
          <w:p w14:paraId="40E9A935" w14:textId="643836A7"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2024</w:t>
            </w:r>
          </w:p>
        </w:tc>
        <w:tc>
          <w:tcPr>
            <w:tcW w:w="1418" w:type="dxa"/>
            <w:vAlign w:val="center"/>
          </w:tcPr>
          <w:p w14:paraId="5F0D3F14" w14:textId="5B95A3F8"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China</w:t>
            </w:r>
          </w:p>
        </w:tc>
        <w:tc>
          <w:tcPr>
            <w:tcW w:w="1559" w:type="dxa"/>
            <w:vAlign w:val="center"/>
          </w:tcPr>
          <w:p w14:paraId="1A39C087" w14:textId="16C0523D"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Retrospective</w:t>
            </w:r>
          </w:p>
        </w:tc>
        <w:tc>
          <w:tcPr>
            <w:tcW w:w="1843" w:type="dxa"/>
            <w:vAlign w:val="center"/>
          </w:tcPr>
          <w:p w14:paraId="349BC1DA" w14:textId="6B1FAC46"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ICU patients with respiratory failure on mechanical ventilation</w:t>
            </w:r>
          </w:p>
        </w:tc>
        <w:tc>
          <w:tcPr>
            <w:tcW w:w="1949" w:type="dxa"/>
            <w:vAlign w:val="center"/>
          </w:tcPr>
          <w:p w14:paraId="5668949F" w14:textId="3920E986"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CAM-ICU (criterion a)</w:t>
            </w:r>
          </w:p>
        </w:tc>
      </w:tr>
      <w:tr w:rsidR="00943A1B" w14:paraId="71C25616" w14:textId="77777777" w:rsidTr="00113A51">
        <w:tc>
          <w:tcPr>
            <w:tcW w:w="1642" w:type="dxa"/>
            <w:vAlign w:val="center"/>
          </w:tcPr>
          <w:p w14:paraId="64176082" w14:textId="26D835DF" w:rsidR="00943A1B" w:rsidRPr="00943A1B" w:rsidRDefault="00943A1B" w:rsidP="00113A51">
            <w:pPr>
              <w:snapToGrid w:val="0"/>
              <w:jc w:val="left"/>
              <w:rPr>
                <w:rFonts w:ascii="Times New Roman" w:hAnsi="Times New Roman" w:cs="Times New Roman"/>
                <w:sz w:val="24"/>
                <w:szCs w:val="24"/>
              </w:rPr>
            </w:pPr>
            <w:r w:rsidRPr="00113A51">
              <w:rPr>
                <w:rFonts w:ascii="Times New Roman" w:hAnsi="Times New Roman" w:cs="Times New Roman"/>
                <w:color w:val="000000" w:themeColor="text1"/>
                <w:sz w:val="24"/>
                <w:szCs w:val="24"/>
              </w:rPr>
              <w:t>Zhang et al.</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vertAlign w:val="superscript"/>
              </w:rPr>
              <w:t>[16]</w:t>
            </w:r>
          </w:p>
        </w:tc>
        <w:tc>
          <w:tcPr>
            <w:tcW w:w="1443" w:type="dxa"/>
            <w:vAlign w:val="center"/>
          </w:tcPr>
          <w:p w14:paraId="6FDE597A" w14:textId="55C03893"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2024</w:t>
            </w:r>
          </w:p>
        </w:tc>
        <w:tc>
          <w:tcPr>
            <w:tcW w:w="1418" w:type="dxa"/>
            <w:vAlign w:val="center"/>
          </w:tcPr>
          <w:p w14:paraId="401B9FFF" w14:textId="4A47502B"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China</w:t>
            </w:r>
          </w:p>
        </w:tc>
        <w:tc>
          <w:tcPr>
            <w:tcW w:w="1559" w:type="dxa"/>
            <w:vAlign w:val="center"/>
          </w:tcPr>
          <w:p w14:paraId="7ED5CB15" w14:textId="2CDB69A0"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Prospective</w:t>
            </w:r>
          </w:p>
        </w:tc>
        <w:tc>
          <w:tcPr>
            <w:tcW w:w="1843" w:type="dxa"/>
            <w:vAlign w:val="center"/>
          </w:tcPr>
          <w:p w14:paraId="6ADCCF79" w14:textId="786FD718"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ICU patients</w:t>
            </w:r>
          </w:p>
        </w:tc>
        <w:tc>
          <w:tcPr>
            <w:tcW w:w="1949" w:type="dxa"/>
            <w:vAlign w:val="center"/>
          </w:tcPr>
          <w:p w14:paraId="3410560F" w14:textId="759BA7DB"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CAM-ICU (criterion a) combined with RASS classification</w:t>
            </w:r>
          </w:p>
        </w:tc>
      </w:tr>
      <w:tr w:rsidR="00943A1B" w14:paraId="06A2E386" w14:textId="77777777" w:rsidTr="00113A51">
        <w:tc>
          <w:tcPr>
            <w:tcW w:w="1642" w:type="dxa"/>
            <w:vAlign w:val="center"/>
          </w:tcPr>
          <w:p w14:paraId="476D85A0" w14:textId="6F1608C7" w:rsidR="00943A1B" w:rsidRPr="00943A1B" w:rsidRDefault="00943A1B" w:rsidP="00113A51">
            <w:pPr>
              <w:snapToGrid w:val="0"/>
              <w:jc w:val="left"/>
              <w:rPr>
                <w:rFonts w:ascii="Times New Roman" w:hAnsi="Times New Roman" w:cs="Times New Roman"/>
                <w:sz w:val="24"/>
                <w:szCs w:val="24"/>
              </w:rPr>
            </w:pPr>
            <w:r w:rsidRPr="00113A51">
              <w:rPr>
                <w:rFonts w:ascii="Times New Roman" w:hAnsi="Times New Roman" w:cs="Times New Roman"/>
                <w:color w:val="000000" w:themeColor="text1"/>
                <w:sz w:val="24"/>
                <w:szCs w:val="24"/>
              </w:rPr>
              <w:t>Wang et al.</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vertAlign w:val="superscript"/>
              </w:rPr>
              <w:t>[14]</w:t>
            </w:r>
          </w:p>
        </w:tc>
        <w:tc>
          <w:tcPr>
            <w:tcW w:w="1443" w:type="dxa"/>
            <w:vAlign w:val="center"/>
          </w:tcPr>
          <w:p w14:paraId="4FAC19E0" w14:textId="1FBB3498"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2023</w:t>
            </w:r>
          </w:p>
        </w:tc>
        <w:tc>
          <w:tcPr>
            <w:tcW w:w="1418" w:type="dxa"/>
            <w:vAlign w:val="center"/>
          </w:tcPr>
          <w:p w14:paraId="18697C8C" w14:textId="6BDD624A"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China</w:t>
            </w:r>
          </w:p>
        </w:tc>
        <w:tc>
          <w:tcPr>
            <w:tcW w:w="1559" w:type="dxa"/>
            <w:vAlign w:val="center"/>
          </w:tcPr>
          <w:p w14:paraId="21DBB5FE" w14:textId="27109E21"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Retrospective</w:t>
            </w:r>
          </w:p>
        </w:tc>
        <w:tc>
          <w:tcPr>
            <w:tcW w:w="1843" w:type="dxa"/>
            <w:vAlign w:val="center"/>
          </w:tcPr>
          <w:p w14:paraId="04E18E6B" w14:textId="438F2B89"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ICU patients</w:t>
            </w:r>
          </w:p>
        </w:tc>
        <w:tc>
          <w:tcPr>
            <w:tcW w:w="1949" w:type="dxa"/>
            <w:vAlign w:val="center"/>
          </w:tcPr>
          <w:p w14:paraId="5C215ABD" w14:textId="5EC2FF9B"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ICDSC score ≥</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rPr>
              <w:t>4</w:t>
            </w:r>
          </w:p>
        </w:tc>
      </w:tr>
      <w:tr w:rsidR="00943A1B" w14:paraId="699D0388" w14:textId="77777777" w:rsidTr="00113A51">
        <w:tc>
          <w:tcPr>
            <w:tcW w:w="1642" w:type="dxa"/>
            <w:vAlign w:val="center"/>
          </w:tcPr>
          <w:p w14:paraId="31FF3D82" w14:textId="2D90E122" w:rsidR="00943A1B" w:rsidRPr="00943A1B" w:rsidRDefault="00943A1B" w:rsidP="00113A51">
            <w:pPr>
              <w:snapToGrid w:val="0"/>
              <w:jc w:val="left"/>
              <w:rPr>
                <w:rFonts w:ascii="Times New Roman" w:hAnsi="Times New Roman" w:cs="Times New Roman"/>
                <w:sz w:val="24"/>
                <w:szCs w:val="24"/>
              </w:rPr>
            </w:pPr>
            <w:r w:rsidRPr="00113A51">
              <w:rPr>
                <w:rFonts w:ascii="Times New Roman" w:hAnsi="Times New Roman" w:cs="Times New Roman"/>
                <w:color w:val="000000" w:themeColor="text1"/>
                <w:sz w:val="24"/>
                <w:szCs w:val="24"/>
              </w:rPr>
              <w:t>Chen et al.</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vertAlign w:val="superscript"/>
              </w:rPr>
              <w:t>[13]</w:t>
            </w:r>
          </w:p>
        </w:tc>
        <w:tc>
          <w:tcPr>
            <w:tcW w:w="1443" w:type="dxa"/>
            <w:vAlign w:val="center"/>
          </w:tcPr>
          <w:p w14:paraId="27E7760D" w14:textId="739883B5"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2017</w:t>
            </w:r>
          </w:p>
        </w:tc>
        <w:tc>
          <w:tcPr>
            <w:tcW w:w="1418" w:type="dxa"/>
            <w:vAlign w:val="center"/>
          </w:tcPr>
          <w:p w14:paraId="75A891AF" w14:textId="3D019DC8"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China</w:t>
            </w:r>
          </w:p>
        </w:tc>
        <w:tc>
          <w:tcPr>
            <w:tcW w:w="1559" w:type="dxa"/>
            <w:vAlign w:val="center"/>
          </w:tcPr>
          <w:p w14:paraId="5EE9D2EB" w14:textId="020ED235"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Prospective</w:t>
            </w:r>
          </w:p>
        </w:tc>
        <w:tc>
          <w:tcPr>
            <w:tcW w:w="1843" w:type="dxa"/>
            <w:vAlign w:val="center"/>
          </w:tcPr>
          <w:p w14:paraId="4B4D7463" w14:textId="0DA2F8D9"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ICU patients</w:t>
            </w:r>
          </w:p>
        </w:tc>
        <w:tc>
          <w:tcPr>
            <w:tcW w:w="1949" w:type="dxa"/>
            <w:vAlign w:val="center"/>
          </w:tcPr>
          <w:p w14:paraId="7576CCD5" w14:textId="40315C26"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CAM-ICU (criterion c)</w:t>
            </w:r>
          </w:p>
        </w:tc>
      </w:tr>
      <w:tr w:rsidR="00943A1B" w14:paraId="49BB5E23" w14:textId="77777777" w:rsidTr="00113A51">
        <w:tc>
          <w:tcPr>
            <w:tcW w:w="1642" w:type="dxa"/>
            <w:vAlign w:val="center"/>
          </w:tcPr>
          <w:p w14:paraId="479D77DC" w14:textId="0309F121" w:rsidR="00943A1B" w:rsidRPr="00943A1B" w:rsidRDefault="00943A1B" w:rsidP="00113A51">
            <w:pPr>
              <w:snapToGrid w:val="0"/>
              <w:jc w:val="left"/>
              <w:rPr>
                <w:rFonts w:ascii="Times New Roman" w:hAnsi="Times New Roman" w:cs="Times New Roman"/>
                <w:sz w:val="24"/>
                <w:szCs w:val="24"/>
              </w:rPr>
            </w:pPr>
            <w:r w:rsidRPr="00113A51">
              <w:rPr>
                <w:rFonts w:ascii="Times New Roman" w:hAnsi="Times New Roman" w:cs="Times New Roman"/>
                <w:color w:val="000000" w:themeColor="text1"/>
                <w:sz w:val="24"/>
                <w:szCs w:val="24"/>
              </w:rPr>
              <w:t>Boogaard et al.</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vertAlign w:val="superscript"/>
              </w:rPr>
              <w:t>[12]</w:t>
            </w:r>
          </w:p>
        </w:tc>
        <w:tc>
          <w:tcPr>
            <w:tcW w:w="1443" w:type="dxa"/>
            <w:vAlign w:val="center"/>
          </w:tcPr>
          <w:p w14:paraId="7F0C0BA2" w14:textId="2DAFC0ED"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2012</w:t>
            </w:r>
          </w:p>
        </w:tc>
        <w:tc>
          <w:tcPr>
            <w:tcW w:w="1418" w:type="dxa"/>
            <w:vAlign w:val="center"/>
          </w:tcPr>
          <w:p w14:paraId="0C274874" w14:textId="4A89019D"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Netherlands</w:t>
            </w:r>
          </w:p>
        </w:tc>
        <w:tc>
          <w:tcPr>
            <w:tcW w:w="1559" w:type="dxa"/>
            <w:vAlign w:val="center"/>
          </w:tcPr>
          <w:p w14:paraId="5A1354B1" w14:textId="050FC2C0"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Prospective</w:t>
            </w:r>
          </w:p>
        </w:tc>
        <w:tc>
          <w:tcPr>
            <w:tcW w:w="1843" w:type="dxa"/>
            <w:vAlign w:val="center"/>
          </w:tcPr>
          <w:p w14:paraId="32A5003D" w14:textId="48AEE3A4"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ICU patients</w:t>
            </w:r>
          </w:p>
        </w:tc>
        <w:tc>
          <w:tcPr>
            <w:tcW w:w="1949" w:type="dxa"/>
            <w:vAlign w:val="center"/>
          </w:tcPr>
          <w:p w14:paraId="7F06FA40" w14:textId="785FE4A4"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CAM-ICU (criterion c)</w:t>
            </w:r>
          </w:p>
        </w:tc>
      </w:tr>
      <w:tr w:rsidR="00943A1B" w14:paraId="46E7F0BC" w14:textId="77777777" w:rsidTr="00113A51">
        <w:tc>
          <w:tcPr>
            <w:tcW w:w="1642" w:type="dxa"/>
            <w:vAlign w:val="center"/>
          </w:tcPr>
          <w:p w14:paraId="34174C57" w14:textId="78458EF2" w:rsidR="00943A1B" w:rsidRPr="00943A1B" w:rsidRDefault="00943A1B" w:rsidP="00113A51">
            <w:pPr>
              <w:snapToGrid w:val="0"/>
              <w:jc w:val="left"/>
              <w:rPr>
                <w:rFonts w:ascii="Times New Roman" w:hAnsi="Times New Roman" w:cs="Times New Roman"/>
                <w:sz w:val="24"/>
                <w:szCs w:val="24"/>
              </w:rPr>
            </w:pPr>
            <w:r w:rsidRPr="00113A51">
              <w:rPr>
                <w:rFonts w:ascii="Times New Roman" w:hAnsi="Times New Roman" w:cs="Times New Roman"/>
                <w:color w:val="000000" w:themeColor="text1"/>
                <w:sz w:val="24"/>
                <w:szCs w:val="24"/>
              </w:rPr>
              <w:t>Moon et al.</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vertAlign w:val="superscript"/>
              </w:rPr>
              <w:t>[10]</w:t>
            </w:r>
          </w:p>
        </w:tc>
        <w:tc>
          <w:tcPr>
            <w:tcW w:w="1443" w:type="dxa"/>
            <w:vAlign w:val="center"/>
          </w:tcPr>
          <w:p w14:paraId="7CD88775" w14:textId="726A21A1"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2018</w:t>
            </w:r>
          </w:p>
        </w:tc>
        <w:tc>
          <w:tcPr>
            <w:tcW w:w="1418" w:type="dxa"/>
            <w:vAlign w:val="center"/>
          </w:tcPr>
          <w:p w14:paraId="19D19C40" w14:textId="6C991A2B"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South Korea</w:t>
            </w:r>
          </w:p>
        </w:tc>
        <w:tc>
          <w:tcPr>
            <w:tcW w:w="1559" w:type="dxa"/>
            <w:vAlign w:val="center"/>
          </w:tcPr>
          <w:p w14:paraId="196409C3" w14:textId="488DC70D"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Prospective</w:t>
            </w:r>
          </w:p>
        </w:tc>
        <w:tc>
          <w:tcPr>
            <w:tcW w:w="1843" w:type="dxa"/>
            <w:vAlign w:val="center"/>
          </w:tcPr>
          <w:p w14:paraId="2DD72E65" w14:textId="021A1910"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ICU patients</w:t>
            </w:r>
          </w:p>
        </w:tc>
        <w:tc>
          <w:tcPr>
            <w:tcW w:w="1949" w:type="dxa"/>
            <w:vAlign w:val="center"/>
          </w:tcPr>
          <w:p w14:paraId="331BA724" w14:textId="3E403E66"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CAM-ICU (criterion a)</w:t>
            </w:r>
          </w:p>
        </w:tc>
      </w:tr>
      <w:tr w:rsidR="00943A1B" w14:paraId="03385AB1" w14:textId="77777777" w:rsidTr="00113A51">
        <w:tc>
          <w:tcPr>
            <w:tcW w:w="1642" w:type="dxa"/>
            <w:vAlign w:val="center"/>
          </w:tcPr>
          <w:p w14:paraId="4B0B4246" w14:textId="621070D8" w:rsidR="00943A1B" w:rsidRPr="00943A1B" w:rsidRDefault="00943A1B" w:rsidP="00113A51">
            <w:pPr>
              <w:snapToGrid w:val="0"/>
              <w:jc w:val="left"/>
              <w:rPr>
                <w:rFonts w:ascii="Times New Roman" w:hAnsi="Times New Roman" w:cs="Times New Roman"/>
                <w:sz w:val="24"/>
                <w:szCs w:val="24"/>
              </w:rPr>
            </w:pPr>
            <w:r w:rsidRPr="00113A51">
              <w:rPr>
                <w:rFonts w:ascii="Times New Roman" w:hAnsi="Times New Roman" w:cs="Times New Roman"/>
                <w:color w:val="000000" w:themeColor="text1"/>
                <w:sz w:val="24"/>
                <w:szCs w:val="24"/>
              </w:rPr>
              <w:t>Chen et al.</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vertAlign w:val="superscript"/>
              </w:rPr>
              <w:t>[8]</w:t>
            </w:r>
          </w:p>
        </w:tc>
        <w:tc>
          <w:tcPr>
            <w:tcW w:w="1443" w:type="dxa"/>
            <w:vAlign w:val="center"/>
          </w:tcPr>
          <w:p w14:paraId="09FA5971" w14:textId="30BE8C79"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2025</w:t>
            </w:r>
          </w:p>
        </w:tc>
        <w:tc>
          <w:tcPr>
            <w:tcW w:w="1418" w:type="dxa"/>
            <w:vAlign w:val="center"/>
          </w:tcPr>
          <w:p w14:paraId="6445E7A4" w14:textId="191FC6F1"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China</w:t>
            </w:r>
          </w:p>
        </w:tc>
        <w:tc>
          <w:tcPr>
            <w:tcW w:w="1559" w:type="dxa"/>
            <w:vAlign w:val="center"/>
          </w:tcPr>
          <w:p w14:paraId="68D46321" w14:textId="731FBBE0"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Retrospective</w:t>
            </w:r>
          </w:p>
        </w:tc>
        <w:tc>
          <w:tcPr>
            <w:tcW w:w="1843" w:type="dxa"/>
            <w:vAlign w:val="center"/>
          </w:tcPr>
          <w:p w14:paraId="36EBE00D" w14:textId="237786A6"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ICU patients</w:t>
            </w:r>
          </w:p>
        </w:tc>
        <w:tc>
          <w:tcPr>
            <w:tcW w:w="1949" w:type="dxa"/>
            <w:vAlign w:val="center"/>
          </w:tcPr>
          <w:p w14:paraId="11FF1E41" w14:textId="3B7554F6"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CAM-ICU positive</w:t>
            </w:r>
          </w:p>
        </w:tc>
      </w:tr>
      <w:tr w:rsidR="00943A1B" w14:paraId="40C21DE2" w14:textId="77777777" w:rsidTr="00113A51">
        <w:tc>
          <w:tcPr>
            <w:tcW w:w="1642" w:type="dxa"/>
            <w:vAlign w:val="center"/>
          </w:tcPr>
          <w:p w14:paraId="23FBD8D2" w14:textId="2FE1F6FE" w:rsidR="00943A1B" w:rsidRPr="00943A1B" w:rsidRDefault="00943A1B" w:rsidP="00113A51">
            <w:pPr>
              <w:snapToGrid w:val="0"/>
              <w:jc w:val="left"/>
              <w:rPr>
                <w:rFonts w:ascii="Times New Roman" w:hAnsi="Times New Roman" w:cs="Times New Roman"/>
                <w:sz w:val="24"/>
                <w:szCs w:val="24"/>
              </w:rPr>
            </w:pPr>
            <w:r w:rsidRPr="00113A51">
              <w:rPr>
                <w:rFonts w:ascii="Times New Roman" w:hAnsi="Times New Roman" w:cs="Times New Roman"/>
                <w:color w:val="000000" w:themeColor="text1"/>
                <w:sz w:val="24"/>
                <w:szCs w:val="24"/>
              </w:rPr>
              <w:t>Cherak et al.</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vertAlign w:val="superscript"/>
              </w:rPr>
              <w:t>[11]</w:t>
            </w:r>
          </w:p>
        </w:tc>
        <w:tc>
          <w:tcPr>
            <w:tcW w:w="1443" w:type="dxa"/>
            <w:vAlign w:val="center"/>
          </w:tcPr>
          <w:p w14:paraId="0FB9C3B1" w14:textId="5917BEEA"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2020</w:t>
            </w:r>
          </w:p>
        </w:tc>
        <w:tc>
          <w:tcPr>
            <w:tcW w:w="1418" w:type="dxa"/>
            <w:vAlign w:val="center"/>
          </w:tcPr>
          <w:p w14:paraId="649507C9" w14:textId="7F03F869"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Canada</w:t>
            </w:r>
          </w:p>
        </w:tc>
        <w:tc>
          <w:tcPr>
            <w:tcW w:w="1559" w:type="dxa"/>
            <w:vAlign w:val="center"/>
          </w:tcPr>
          <w:p w14:paraId="4458837C" w14:textId="565DD971"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Retrospective</w:t>
            </w:r>
          </w:p>
        </w:tc>
        <w:tc>
          <w:tcPr>
            <w:tcW w:w="1843" w:type="dxa"/>
            <w:vAlign w:val="center"/>
          </w:tcPr>
          <w:p w14:paraId="12B9013E" w14:textId="696BA348"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ICU patients</w:t>
            </w:r>
          </w:p>
        </w:tc>
        <w:tc>
          <w:tcPr>
            <w:tcW w:w="1949" w:type="dxa"/>
            <w:vAlign w:val="center"/>
          </w:tcPr>
          <w:p w14:paraId="5E716F27" w14:textId="1E931856"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ICDSC score ≥</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rPr>
              <w:t>4</w:t>
            </w:r>
          </w:p>
        </w:tc>
      </w:tr>
      <w:tr w:rsidR="00943A1B" w14:paraId="3B5E2E48" w14:textId="77777777" w:rsidTr="00113A51">
        <w:tc>
          <w:tcPr>
            <w:tcW w:w="1642" w:type="dxa"/>
            <w:vAlign w:val="center"/>
          </w:tcPr>
          <w:p w14:paraId="72014476" w14:textId="5C563521" w:rsidR="00943A1B" w:rsidRPr="00943A1B" w:rsidRDefault="00943A1B" w:rsidP="00113A51">
            <w:pPr>
              <w:snapToGrid w:val="0"/>
              <w:jc w:val="left"/>
              <w:rPr>
                <w:rFonts w:ascii="Times New Roman" w:hAnsi="Times New Roman" w:cs="Times New Roman"/>
                <w:sz w:val="24"/>
                <w:szCs w:val="24"/>
              </w:rPr>
            </w:pPr>
            <w:r w:rsidRPr="00113A51">
              <w:rPr>
                <w:rFonts w:ascii="Times New Roman" w:hAnsi="Times New Roman" w:cs="Times New Roman"/>
                <w:color w:val="000000" w:themeColor="text1"/>
                <w:sz w:val="24"/>
                <w:szCs w:val="24"/>
              </w:rPr>
              <w:t>Fan et al.</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vertAlign w:val="superscript"/>
              </w:rPr>
              <w:t>[9]</w:t>
            </w:r>
          </w:p>
        </w:tc>
        <w:tc>
          <w:tcPr>
            <w:tcW w:w="1443" w:type="dxa"/>
            <w:vAlign w:val="center"/>
          </w:tcPr>
          <w:p w14:paraId="35AC4925" w14:textId="3903FFA7"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2019</w:t>
            </w:r>
          </w:p>
        </w:tc>
        <w:tc>
          <w:tcPr>
            <w:tcW w:w="1418" w:type="dxa"/>
            <w:vAlign w:val="center"/>
          </w:tcPr>
          <w:p w14:paraId="2D7EE809" w14:textId="69738467"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China</w:t>
            </w:r>
          </w:p>
        </w:tc>
        <w:tc>
          <w:tcPr>
            <w:tcW w:w="1559" w:type="dxa"/>
            <w:vAlign w:val="center"/>
          </w:tcPr>
          <w:p w14:paraId="789861B4" w14:textId="0FAB625A"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Prospective</w:t>
            </w:r>
          </w:p>
        </w:tc>
        <w:tc>
          <w:tcPr>
            <w:tcW w:w="1843" w:type="dxa"/>
            <w:vAlign w:val="center"/>
          </w:tcPr>
          <w:p w14:paraId="08E93EB0" w14:textId="3CE8BEA2"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ICU patients</w:t>
            </w:r>
          </w:p>
        </w:tc>
        <w:tc>
          <w:tcPr>
            <w:tcW w:w="1949" w:type="dxa"/>
            <w:vAlign w:val="center"/>
          </w:tcPr>
          <w:p w14:paraId="7716A8FF" w14:textId="47E61F92"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CAM-ICU (criterion a)</w:t>
            </w:r>
          </w:p>
        </w:tc>
      </w:tr>
      <w:tr w:rsidR="00943A1B" w14:paraId="55A35EA4" w14:textId="77777777" w:rsidTr="00113A51">
        <w:tc>
          <w:tcPr>
            <w:tcW w:w="1642" w:type="dxa"/>
            <w:tcBorders>
              <w:bottom w:val="single" w:sz="4" w:space="0" w:color="auto"/>
            </w:tcBorders>
            <w:vAlign w:val="center"/>
          </w:tcPr>
          <w:p w14:paraId="27224C83" w14:textId="4FA5225F" w:rsidR="00943A1B" w:rsidRPr="00943A1B" w:rsidRDefault="00943A1B" w:rsidP="00113A51">
            <w:pPr>
              <w:snapToGrid w:val="0"/>
              <w:jc w:val="left"/>
              <w:rPr>
                <w:rFonts w:ascii="Times New Roman" w:hAnsi="Times New Roman" w:cs="Times New Roman"/>
                <w:sz w:val="24"/>
                <w:szCs w:val="24"/>
              </w:rPr>
            </w:pPr>
            <w:r w:rsidRPr="00113A51">
              <w:rPr>
                <w:rFonts w:ascii="Times New Roman" w:hAnsi="Times New Roman" w:cs="Times New Roman"/>
                <w:color w:val="000000" w:themeColor="text1"/>
                <w:sz w:val="24"/>
                <w:szCs w:val="24"/>
              </w:rPr>
              <w:t>Sosa et al.</w:t>
            </w:r>
            <w:r>
              <w:rPr>
                <w:rFonts w:ascii="Times New Roman" w:hAnsi="Times New Roman" w:cs="Times New Roman"/>
                <w:color w:val="000000" w:themeColor="text1"/>
                <w:sz w:val="24"/>
                <w:szCs w:val="24"/>
              </w:rPr>
              <w:t xml:space="preserve"> </w:t>
            </w:r>
            <w:r w:rsidRPr="00113A51">
              <w:rPr>
                <w:rFonts w:ascii="Times New Roman" w:hAnsi="Times New Roman" w:cs="Times New Roman"/>
                <w:color w:val="000000" w:themeColor="text1"/>
                <w:sz w:val="24"/>
                <w:szCs w:val="24"/>
                <w:vertAlign w:val="superscript"/>
              </w:rPr>
              <w:t>[7]</w:t>
            </w:r>
          </w:p>
        </w:tc>
        <w:tc>
          <w:tcPr>
            <w:tcW w:w="1443" w:type="dxa"/>
            <w:tcBorders>
              <w:bottom w:val="single" w:sz="4" w:space="0" w:color="auto"/>
            </w:tcBorders>
            <w:vAlign w:val="center"/>
          </w:tcPr>
          <w:p w14:paraId="69DDF496" w14:textId="1B074F3C"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2018</w:t>
            </w:r>
          </w:p>
        </w:tc>
        <w:tc>
          <w:tcPr>
            <w:tcW w:w="1418" w:type="dxa"/>
            <w:tcBorders>
              <w:bottom w:val="single" w:sz="4" w:space="0" w:color="auto"/>
            </w:tcBorders>
            <w:vAlign w:val="center"/>
          </w:tcPr>
          <w:p w14:paraId="02FD04C6" w14:textId="027781CC"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Argentina</w:t>
            </w:r>
          </w:p>
        </w:tc>
        <w:tc>
          <w:tcPr>
            <w:tcW w:w="1559" w:type="dxa"/>
            <w:tcBorders>
              <w:bottom w:val="single" w:sz="4" w:space="0" w:color="auto"/>
            </w:tcBorders>
            <w:vAlign w:val="center"/>
          </w:tcPr>
          <w:p w14:paraId="3FACD115" w14:textId="3DBB3026"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Prospective</w:t>
            </w:r>
          </w:p>
        </w:tc>
        <w:tc>
          <w:tcPr>
            <w:tcW w:w="1843" w:type="dxa"/>
            <w:tcBorders>
              <w:bottom w:val="single" w:sz="4" w:space="0" w:color="auto"/>
            </w:tcBorders>
            <w:vAlign w:val="center"/>
          </w:tcPr>
          <w:p w14:paraId="63DDF276" w14:textId="5132EEC2"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ICU patients</w:t>
            </w:r>
          </w:p>
        </w:tc>
        <w:tc>
          <w:tcPr>
            <w:tcW w:w="1949" w:type="dxa"/>
            <w:tcBorders>
              <w:bottom w:val="single" w:sz="4" w:space="0" w:color="auto"/>
            </w:tcBorders>
            <w:vAlign w:val="center"/>
          </w:tcPr>
          <w:p w14:paraId="54AB95EC" w14:textId="29FE67DD" w:rsidR="00943A1B" w:rsidRPr="00943A1B" w:rsidRDefault="00943A1B" w:rsidP="00113A51">
            <w:pPr>
              <w:snapToGrid w:val="0"/>
              <w:jc w:val="center"/>
              <w:rPr>
                <w:rFonts w:ascii="Times New Roman" w:hAnsi="Times New Roman" w:cs="Times New Roman"/>
                <w:sz w:val="24"/>
                <w:szCs w:val="24"/>
              </w:rPr>
            </w:pPr>
            <w:r w:rsidRPr="00113A51">
              <w:rPr>
                <w:rFonts w:ascii="Times New Roman" w:hAnsi="Times New Roman" w:cs="Times New Roman"/>
                <w:color w:val="000000" w:themeColor="text1"/>
                <w:sz w:val="24"/>
                <w:szCs w:val="24"/>
              </w:rPr>
              <w:t>CAM-ICU positive</w:t>
            </w:r>
          </w:p>
        </w:tc>
      </w:tr>
    </w:tbl>
    <w:p w14:paraId="1AF86989"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sz w:val="24"/>
          <w:szCs w:val="24"/>
        </w:rPr>
        <w:t>Note: ICDSC: Intensive Care Delirium Screening Checklist; CAM-ICU: Confusion Assessment Method for the ICU; Criterion a: CAM-ICU positive when meeting criteria (1)+(2)+(3) or (4) among four criteria; Criterion b: CAM-ICU single positive when only one positive symptom present; Criterion c: CAM-ICU screening positive when at least one positive screening result during observation period.</w:t>
      </w:r>
    </w:p>
    <w:p w14:paraId="46F56E08" w14:textId="77777777" w:rsidR="009076EE" w:rsidRDefault="009076EE" w:rsidP="00113A51">
      <w:pPr>
        <w:snapToGrid w:val="0"/>
        <w:rPr>
          <w:rFonts w:ascii="Times New Roman" w:hAnsi="Times New Roman" w:cs="Times New Roman"/>
          <w:sz w:val="24"/>
          <w:szCs w:val="24"/>
        </w:rPr>
      </w:pPr>
    </w:p>
    <w:p w14:paraId="508B0AC3"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3.3</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Model </w:t>
      </w:r>
      <w:r>
        <w:rPr>
          <w:rFonts w:ascii="Times New Roman" w:hAnsi="Times New Roman" w:cs="Times New Roman" w:hint="eastAsia"/>
          <w:b/>
          <w:bCs/>
          <w:sz w:val="24"/>
          <w:szCs w:val="24"/>
        </w:rPr>
        <w:t>d</w:t>
      </w:r>
      <w:r>
        <w:rPr>
          <w:rFonts w:ascii="Times New Roman" w:hAnsi="Times New Roman" w:cs="Times New Roman"/>
          <w:b/>
          <w:bCs/>
          <w:sz w:val="24"/>
          <w:szCs w:val="24"/>
        </w:rPr>
        <w:t>evelopment</w:t>
      </w:r>
    </w:p>
    <w:p w14:paraId="0128BD3A" w14:textId="6C6F526D" w:rsidR="009076EE" w:rsidRDefault="00000000" w:rsidP="00113A51">
      <w:pPr>
        <w:snapToGrid w:val="0"/>
        <w:rPr>
          <w:rFonts w:ascii="Times New Roman" w:hAnsi="Times New Roman" w:cs="Times New Roman"/>
          <w:sz w:val="24"/>
          <w:szCs w:val="24"/>
        </w:rPr>
      </w:pPr>
      <w:r>
        <w:rPr>
          <w:rFonts w:ascii="Times New Roman" w:hAnsi="Times New Roman" w:cs="Times New Roman"/>
          <w:sz w:val="24"/>
          <w:szCs w:val="24"/>
        </w:rPr>
        <w:t xml:space="preserve">The included studies had 7 to 4,211 candidate predictors, sample sizes of 100 to 8,878 cases, and </w:t>
      </w:r>
      <w:r>
        <w:rPr>
          <w:rFonts w:ascii="Times New Roman" w:hAnsi="Times New Roman" w:cs="Times New Roman"/>
          <w:sz w:val="24"/>
          <w:szCs w:val="24"/>
        </w:rPr>
        <w:lastRenderedPageBreak/>
        <w:t>outcome events of 21 to 4,431 cases. Regarding modeling methods, 14 studies used logistic regression as the primary modeling metho</w:t>
      </w:r>
      <w:r w:rsidR="00943A1B">
        <w:rPr>
          <w:rFonts w:ascii="Times New Roman" w:hAnsi="Times New Roman" w:cs="Times New Roman"/>
          <w:sz w:val="24"/>
          <w:szCs w:val="24"/>
        </w:rPr>
        <w:t>d</w:t>
      </w:r>
      <w:r>
        <w:rPr>
          <w:rFonts w:ascii="Times New Roman" w:hAnsi="Times New Roman" w:cs="Times New Roman"/>
          <w:sz w:val="24"/>
          <w:szCs w:val="24"/>
        </w:rPr>
        <w:t>, 1 study combined logistic regression with random forest algorithm, and 1 study applied machine learning (GBT, LR, DL)</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w:t>
      </w:r>
      <w:r w:rsidR="00943A1B">
        <w:rPr>
          <w:rFonts w:ascii="Times New Roman" w:hAnsi="Times New Roman" w:cs="Times New Roman"/>
          <w:sz w:val="24"/>
          <w:szCs w:val="24"/>
          <w:vertAlign w:val="superscript"/>
        </w:rPr>
        <w:t>7–23</w:t>
      </w:r>
      <w:r>
        <w:rPr>
          <w:rFonts w:ascii="Times New Roman" w:hAnsi="Times New Roman" w:cs="Times New Roman"/>
          <w:sz w:val="24"/>
          <w:szCs w:val="24"/>
          <w:vertAlign w:val="superscript"/>
        </w:rPr>
        <w:t>]</w:t>
      </w:r>
      <w:r>
        <w:rPr>
          <w:rFonts w:ascii="Times New Roman" w:hAnsi="Times New Roman" w:cs="Times New Roman"/>
          <w:sz w:val="24"/>
          <w:szCs w:val="24"/>
        </w:rPr>
        <w:t>. The 17 included studies involved 18 prediction models, of which 13 models constructed risk assessment formulas based on logistic regression coefficients, 2 studies presented prediction models in nomogram form, 1 study presented machine learning models (including models at admission and 24 hours), and 1 study combined logistic regression with random forest algorithm to construct models</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w:t>
      </w:r>
      <w:r w:rsidR="00943A1B">
        <w:rPr>
          <w:rFonts w:ascii="Times New Roman" w:hAnsi="Times New Roman" w:cs="Times New Roman"/>
          <w:sz w:val="24"/>
          <w:szCs w:val="24"/>
          <w:vertAlign w:val="superscript"/>
        </w:rPr>
        <w:t>7–23</w:t>
      </w:r>
      <w:r>
        <w:rPr>
          <w:rFonts w:ascii="Times New Roman" w:hAnsi="Times New Roman" w:cs="Times New Roman"/>
          <w:sz w:val="24"/>
          <w:szCs w:val="24"/>
          <w:vertAlign w:val="superscript"/>
        </w:rPr>
        <w:t>]</w:t>
      </w:r>
      <w:r>
        <w:rPr>
          <w:rFonts w:ascii="Times New Roman" w:hAnsi="Times New Roman" w:cs="Times New Roman"/>
          <w:sz w:val="24"/>
          <w:szCs w:val="24"/>
        </w:rPr>
        <w:t>.</w:t>
      </w:r>
    </w:p>
    <w:p w14:paraId="12EFFA25" w14:textId="77777777" w:rsidR="009076EE" w:rsidRDefault="009076EE" w:rsidP="00113A51">
      <w:pPr>
        <w:snapToGrid w:val="0"/>
        <w:rPr>
          <w:rFonts w:ascii="Times New Roman" w:hAnsi="Times New Roman" w:cs="Times New Roman"/>
          <w:sz w:val="24"/>
          <w:szCs w:val="24"/>
        </w:rPr>
      </w:pPr>
    </w:p>
    <w:p w14:paraId="1B5C0708"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3.4</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Model </w:t>
      </w:r>
      <w:r>
        <w:rPr>
          <w:rFonts w:ascii="Times New Roman" w:hAnsi="Times New Roman" w:cs="Times New Roman" w:hint="eastAsia"/>
          <w:b/>
          <w:bCs/>
          <w:sz w:val="24"/>
          <w:szCs w:val="24"/>
        </w:rPr>
        <w:t>p</w:t>
      </w:r>
      <w:r>
        <w:rPr>
          <w:rFonts w:ascii="Times New Roman" w:hAnsi="Times New Roman" w:cs="Times New Roman"/>
          <w:b/>
          <w:bCs/>
          <w:sz w:val="24"/>
          <w:szCs w:val="24"/>
        </w:rPr>
        <w:t xml:space="preserve">erformance and </w:t>
      </w:r>
      <w:r>
        <w:rPr>
          <w:rFonts w:ascii="Times New Roman" w:hAnsi="Times New Roman" w:cs="Times New Roman" w:hint="eastAsia"/>
          <w:b/>
          <w:bCs/>
          <w:sz w:val="24"/>
          <w:szCs w:val="24"/>
        </w:rPr>
        <w:t>p</w:t>
      </w:r>
      <w:r>
        <w:rPr>
          <w:rFonts w:ascii="Times New Roman" w:hAnsi="Times New Roman" w:cs="Times New Roman"/>
          <w:b/>
          <w:bCs/>
          <w:sz w:val="24"/>
          <w:szCs w:val="24"/>
        </w:rPr>
        <w:t>redictors</w:t>
      </w:r>
    </w:p>
    <w:p w14:paraId="3486759E" w14:textId="23189DDF" w:rsidR="009076EE" w:rsidRDefault="00000000" w:rsidP="00113A51">
      <w:pPr>
        <w:snapToGrid w:val="0"/>
        <w:rPr>
          <w:rFonts w:ascii="Times New Roman" w:hAnsi="Times New Roman" w:cs="Times New Roman"/>
          <w:sz w:val="24"/>
          <w:szCs w:val="24"/>
        </w:rPr>
      </w:pPr>
      <w:r>
        <w:rPr>
          <w:rFonts w:ascii="Times New Roman" w:hAnsi="Times New Roman" w:cs="Times New Roman"/>
          <w:sz w:val="24"/>
          <w:szCs w:val="24"/>
        </w:rPr>
        <w:t>All included studies reported discrimination assessment indicators during model development or validation, with area under the curve (AUC) ranging from 0.732 to 0.941, indicating overall good model discrimination. Regarding model validation, 10 studies performed internal validation (including cross-validation, Bootstrap method, and random split validation), and 6 studies conducted external validation</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[7,</w:t>
      </w:r>
      <w:r w:rsidR="00943A1B">
        <w:rPr>
          <w:rFonts w:ascii="Times New Roman" w:hAnsi="Times New Roman" w:cs="Times New Roman"/>
          <w:sz w:val="24"/>
          <w:szCs w:val="24"/>
          <w:vertAlign w:val="superscript"/>
        </w:rPr>
        <w:t>8–14</w:t>
      </w:r>
      <w:r>
        <w:rPr>
          <w:rFonts w:ascii="Times New Roman" w:hAnsi="Times New Roman" w:cs="Times New Roman"/>
          <w:sz w:val="24"/>
          <w:szCs w:val="24"/>
          <w:vertAlign w:val="superscript"/>
        </w:rPr>
        <w:t>,16,18</w:t>
      </w:r>
      <w:r w:rsidR="00943A1B">
        <w:rPr>
          <w:rFonts w:ascii="Times New Roman" w:hAnsi="Times New Roman" w:cs="Times New Roman"/>
          <w:sz w:val="24"/>
          <w:szCs w:val="24"/>
          <w:vertAlign w:val="superscript"/>
        </w:rPr>
        <w:t>,19,21,23</w:t>
      </w:r>
      <w:r>
        <w:rPr>
          <w:rFonts w:ascii="Times New Roman" w:hAnsi="Times New Roman" w:cs="Times New Roman"/>
          <w:sz w:val="24"/>
          <w:szCs w:val="24"/>
          <w:vertAlign w:val="superscript"/>
        </w:rPr>
        <w:t>]</w:t>
      </w:r>
      <w:r>
        <w:rPr>
          <w:rFonts w:ascii="Times New Roman" w:hAnsi="Times New Roman" w:cs="Times New Roman"/>
          <w:sz w:val="24"/>
          <w:szCs w:val="24"/>
        </w:rPr>
        <w:t>. Final models contained 3</w:t>
      </w:r>
      <w:r w:rsidR="00943A1B">
        <w:rPr>
          <w:rFonts w:ascii="Times New Roman" w:hAnsi="Times New Roman" w:cs="Times New Roman"/>
          <w:sz w:val="24"/>
          <w:szCs w:val="24"/>
        </w:rPr>
        <w:t>–</w:t>
      </w:r>
      <w:r>
        <w:rPr>
          <w:rFonts w:ascii="Times New Roman" w:hAnsi="Times New Roman" w:cs="Times New Roman"/>
          <w:sz w:val="24"/>
          <w:szCs w:val="24"/>
        </w:rPr>
        <w:t xml:space="preserve">15 predictors, with frequently appearing predictors including age, APACHE II score, GCS score, blood urea nitrogen (BUN), mechanical ventilation, hypertension history, diabetes history, and infection. See </w:t>
      </w:r>
      <w:r>
        <w:rPr>
          <w:rFonts w:ascii="Times New Roman" w:hAnsi="Times New Roman" w:cs="Times New Roman"/>
          <w:b/>
          <w:bCs/>
          <w:sz w:val="24"/>
          <w:szCs w:val="24"/>
        </w:rPr>
        <w:t>Table 2</w:t>
      </w:r>
      <w:r>
        <w:rPr>
          <w:rFonts w:ascii="Times New Roman" w:hAnsi="Times New Roman" w:cs="Times New Roman"/>
          <w:sz w:val="24"/>
          <w:szCs w:val="24"/>
        </w:rPr>
        <w:t>.</w:t>
      </w:r>
    </w:p>
    <w:p w14:paraId="255AF6F8" w14:textId="77777777" w:rsidR="009076EE" w:rsidRDefault="009076EE" w:rsidP="00113A51">
      <w:pPr>
        <w:snapToGrid w:val="0"/>
        <w:rPr>
          <w:rFonts w:ascii="Times New Roman" w:hAnsi="Times New Roman" w:cs="Times New Roman"/>
          <w:sz w:val="24"/>
          <w:szCs w:val="24"/>
        </w:rPr>
      </w:pPr>
    </w:p>
    <w:p w14:paraId="2DC14BA5" w14:textId="7B798EE9" w:rsidR="009076EE" w:rsidRDefault="00000000" w:rsidP="00943A1B">
      <w:pPr>
        <w:snapToGrid w:val="0"/>
        <w:rPr>
          <w:rFonts w:ascii="Times New Roman" w:hAnsi="Times New Roman" w:cs="Times New Roman"/>
          <w:sz w:val="24"/>
          <w:szCs w:val="24"/>
        </w:rPr>
      </w:pPr>
      <w:r>
        <w:rPr>
          <w:rFonts w:ascii="Times New Roman" w:hAnsi="Times New Roman" w:cs="Times New Roman"/>
          <w:b/>
          <w:bCs/>
          <w:sz w:val="24"/>
          <w:szCs w:val="24"/>
        </w:rPr>
        <w:t>Table 2.</w:t>
      </w:r>
      <w:r>
        <w:rPr>
          <w:rFonts w:ascii="Times New Roman" w:hAnsi="Times New Roman" w:cs="Times New Roman"/>
          <w:sz w:val="24"/>
          <w:szCs w:val="24"/>
        </w:rPr>
        <w:t> Establishment of delirium risk prediction models for adult ICU patients (n</w:t>
      </w:r>
      <w:r w:rsidR="00943A1B">
        <w:rPr>
          <w:rFonts w:ascii="Times New Roman" w:hAnsi="Times New Roman" w:cs="Times New Roman"/>
          <w:sz w:val="24"/>
          <w:szCs w:val="24"/>
        </w:rPr>
        <w:t xml:space="preserve"> </w:t>
      </w:r>
      <w:r>
        <w:rPr>
          <w:rFonts w:ascii="Times New Roman" w:hAnsi="Times New Roman" w:cs="Times New Roman"/>
          <w:sz w:val="24"/>
          <w:szCs w:val="24"/>
        </w:rPr>
        <w:t>=</w:t>
      </w:r>
      <w:r w:rsidR="00943A1B">
        <w:rPr>
          <w:rFonts w:ascii="Times New Roman" w:hAnsi="Times New Roman" w:cs="Times New Roman"/>
          <w:sz w:val="24"/>
          <w:szCs w:val="24"/>
        </w:rPr>
        <w:t xml:space="preserve"> </w:t>
      </w:r>
      <w:r>
        <w:rPr>
          <w:rFonts w:ascii="Times New Roman" w:hAnsi="Times New Roman" w:cs="Times New Roman"/>
          <w:sz w:val="24"/>
          <w:szCs w:val="24"/>
        </w:rPr>
        <w:t>17)</w:t>
      </w:r>
    </w:p>
    <w:tbl>
      <w:tblPr>
        <w:tblStyle w:val="ListTable6Colorful1"/>
        <w:tblW w:w="5000" w:type="pct"/>
        <w:jc w:val="center"/>
        <w:tblLook w:val="04A0" w:firstRow="1" w:lastRow="0" w:firstColumn="1" w:lastColumn="0" w:noHBand="0" w:noVBand="1"/>
      </w:tblPr>
      <w:tblGrid>
        <w:gridCol w:w="800"/>
        <w:gridCol w:w="826"/>
        <w:gridCol w:w="895"/>
        <w:gridCol w:w="773"/>
        <w:gridCol w:w="750"/>
        <w:gridCol w:w="815"/>
        <w:gridCol w:w="821"/>
        <w:gridCol w:w="895"/>
        <w:gridCol w:w="986"/>
        <w:gridCol w:w="821"/>
        <w:gridCol w:w="1256"/>
      </w:tblGrid>
      <w:tr w:rsidR="009076EE" w14:paraId="5EA1C601" w14:textId="77777777" w:rsidTr="009076EE">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416" w:type="pct"/>
            <w:vAlign w:val="center"/>
          </w:tcPr>
          <w:p w14:paraId="6B7FB5F8" w14:textId="77777777" w:rsidR="009076EE" w:rsidRPr="00113A51" w:rsidRDefault="00000000" w:rsidP="00943A1B">
            <w:pPr>
              <w:keepNext/>
              <w:snapToGrid w:val="0"/>
              <w:jc w:val="center"/>
              <w:rPr>
                <w:rFonts w:ascii="Times New Roman" w:hAnsi="Times New Roman" w:cs="Times New Roman"/>
                <w:b w:val="0"/>
                <w:bCs w:val="0"/>
                <w:sz w:val="24"/>
                <w:szCs w:val="24"/>
              </w:rPr>
            </w:pPr>
            <w:r w:rsidRPr="00113A51">
              <w:rPr>
                <w:rFonts w:ascii="Times New Roman" w:hAnsi="Times New Roman" w:cs="Times New Roman"/>
                <w:sz w:val="24"/>
                <w:szCs w:val="24"/>
              </w:rPr>
              <w:lastRenderedPageBreak/>
              <w:t>Study</w:t>
            </w:r>
          </w:p>
        </w:tc>
        <w:tc>
          <w:tcPr>
            <w:tcW w:w="429" w:type="pct"/>
            <w:vAlign w:val="center"/>
          </w:tcPr>
          <w:p w14:paraId="1D74D60E" w14:textId="77777777" w:rsidR="009076EE" w:rsidRPr="00113A51" w:rsidRDefault="00000000" w:rsidP="00943A1B">
            <w:pPr>
              <w:keepNext/>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13A51">
              <w:rPr>
                <w:rFonts w:ascii="Times New Roman" w:hAnsi="Times New Roman" w:cs="Times New Roman"/>
                <w:sz w:val="24"/>
                <w:szCs w:val="24"/>
              </w:rPr>
              <w:t>Candidate Variables (n)</w:t>
            </w:r>
          </w:p>
        </w:tc>
        <w:tc>
          <w:tcPr>
            <w:tcW w:w="464" w:type="pct"/>
            <w:vAlign w:val="center"/>
          </w:tcPr>
          <w:p w14:paraId="2644A8FC" w14:textId="77777777" w:rsidR="009076EE" w:rsidRPr="00113A51" w:rsidRDefault="00000000" w:rsidP="00943A1B">
            <w:pPr>
              <w:keepNext/>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13A51">
              <w:rPr>
                <w:rFonts w:ascii="Times New Roman" w:hAnsi="Times New Roman" w:cs="Times New Roman"/>
                <w:sz w:val="24"/>
                <w:szCs w:val="24"/>
              </w:rPr>
              <w:t>Continuous Variable Processing</w:t>
            </w:r>
          </w:p>
        </w:tc>
        <w:tc>
          <w:tcPr>
            <w:tcW w:w="403" w:type="pct"/>
            <w:vAlign w:val="center"/>
          </w:tcPr>
          <w:p w14:paraId="3313937B" w14:textId="77777777" w:rsidR="009076EE" w:rsidRPr="00113A51" w:rsidRDefault="00000000" w:rsidP="00943A1B">
            <w:pPr>
              <w:keepNext/>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13A51">
              <w:rPr>
                <w:rFonts w:ascii="Times New Roman" w:hAnsi="Times New Roman" w:cs="Times New Roman"/>
                <w:sz w:val="24"/>
                <w:szCs w:val="24"/>
              </w:rPr>
              <w:t>Modeling Sample Size (n)</w:t>
            </w:r>
          </w:p>
        </w:tc>
        <w:tc>
          <w:tcPr>
            <w:tcW w:w="391" w:type="pct"/>
            <w:vAlign w:val="center"/>
          </w:tcPr>
          <w:p w14:paraId="110D978C" w14:textId="77777777" w:rsidR="009076EE" w:rsidRPr="00113A51" w:rsidRDefault="00000000" w:rsidP="00943A1B">
            <w:pPr>
              <w:keepNext/>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13A51">
              <w:rPr>
                <w:rFonts w:ascii="Times New Roman" w:hAnsi="Times New Roman" w:cs="Times New Roman"/>
                <w:sz w:val="24"/>
                <w:szCs w:val="24"/>
              </w:rPr>
              <w:t>Outcome Events (n)</w:t>
            </w:r>
          </w:p>
        </w:tc>
        <w:tc>
          <w:tcPr>
            <w:tcW w:w="424" w:type="pct"/>
            <w:vAlign w:val="center"/>
          </w:tcPr>
          <w:p w14:paraId="517BA2BC" w14:textId="77777777" w:rsidR="009076EE" w:rsidRPr="00113A51" w:rsidRDefault="00000000" w:rsidP="00943A1B">
            <w:pPr>
              <w:keepNext/>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13A51">
              <w:rPr>
                <w:rFonts w:ascii="Times New Roman" w:hAnsi="Times New Roman" w:cs="Times New Roman"/>
                <w:sz w:val="24"/>
                <w:szCs w:val="24"/>
              </w:rPr>
              <w:t>Primary Modeling Method</w:t>
            </w:r>
          </w:p>
        </w:tc>
        <w:tc>
          <w:tcPr>
            <w:tcW w:w="427" w:type="pct"/>
            <w:vAlign w:val="center"/>
          </w:tcPr>
          <w:p w14:paraId="0F1EEE13" w14:textId="77777777" w:rsidR="009076EE" w:rsidRPr="00113A51" w:rsidRDefault="00000000" w:rsidP="00943A1B">
            <w:pPr>
              <w:keepNext/>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13A51">
              <w:rPr>
                <w:rFonts w:ascii="Times New Roman" w:hAnsi="Times New Roman" w:cs="Times New Roman"/>
                <w:sz w:val="24"/>
                <w:szCs w:val="24"/>
              </w:rPr>
              <w:t>Model Validation Method</w:t>
            </w:r>
          </w:p>
        </w:tc>
        <w:tc>
          <w:tcPr>
            <w:tcW w:w="463" w:type="pct"/>
            <w:vAlign w:val="center"/>
          </w:tcPr>
          <w:p w14:paraId="30A01855" w14:textId="77777777" w:rsidR="009076EE" w:rsidRPr="00113A51" w:rsidRDefault="00000000" w:rsidP="00943A1B">
            <w:pPr>
              <w:keepNext/>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13A51">
              <w:rPr>
                <w:rFonts w:ascii="Times New Roman" w:hAnsi="Times New Roman" w:cs="Times New Roman"/>
                <w:sz w:val="24"/>
                <w:szCs w:val="24"/>
              </w:rPr>
              <w:t>Calibration Method</w:t>
            </w:r>
          </w:p>
        </w:tc>
        <w:tc>
          <w:tcPr>
            <w:tcW w:w="509" w:type="pct"/>
            <w:vAlign w:val="center"/>
          </w:tcPr>
          <w:p w14:paraId="08D24F05" w14:textId="77777777" w:rsidR="009076EE" w:rsidRPr="00113A51" w:rsidRDefault="00000000" w:rsidP="00943A1B">
            <w:pPr>
              <w:keepNext/>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13A51">
              <w:rPr>
                <w:rFonts w:ascii="Times New Roman" w:hAnsi="Times New Roman" w:cs="Times New Roman"/>
                <w:sz w:val="24"/>
                <w:szCs w:val="24"/>
              </w:rPr>
              <w:t>Development AUC</w:t>
            </w:r>
          </w:p>
        </w:tc>
        <w:tc>
          <w:tcPr>
            <w:tcW w:w="427" w:type="pct"/>
            <w:vAlign w:val="center"/>
          </w:tcPr>
          <w:p w14:paraId="072E3A01" w14:textId="77777777" w:rsidR="009076EE" w:rsidRPr="00113A51" w:rsidRDefault="00000000" w:rsidP="00943A1B">
            <w:pPr>
              <w:keepNext/>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13A51">
              <w:rPr>
                <w:rFonts w:ascii="Times New Roman" w:hAnsi="Times New Roman" w:cs="Times New Roman"/>
                <w:sz w:val="24"/>
                <w:szCs w:val="24"/>
              </w:rPr>
              <w:t>Validation AUC</w:t>
            </w:r>
          </w:p>
        </w:tc>
        <w:tc>
          <w:tcPr>
            <w:tcW w:w="643" w:type="pct"/>
            <w:vAlign w:val="center"/>
          </w:tcPr>
          <w:p w14:paraId="1373DAE9" w14:textId="77777777" w:rsidR="009076EE" w:rsidRPr="00113A51" w:rsidRDefault="00000000" w:rsidP="00943A1B">
            <w:pPr>
              <w:keepNext/>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13A51">
              <w:rPr>
                <w:rFonts w:ascii="Times New Roman" w:hAnsi="Times New Roman" w:cs="Times New Roman"/>
                <w:sz w:val="24"/>
                <w:szCs w:val="24"/>
              </w:rPr>
              <w:t>Predictors</w:t>
            </w:r>
          </w:p>
        </w:tc>
      </w:tr>
      <w:tr w:rsidR="009076EE" w14:paraId="74BD4910" w14:textId="77777777" w:rsidTr="009076EE">
        <w:trPr>
          <w:jc w:val="center"/>
        </w:trPr>
        <w:tc>
          <w:tcPr>
            <w:cnfStyle w:val="001000000000" w:firstRow="0" w:lastRow="0" w:firstColumn="1" w:lastColumn="0" w:oddVBand="0" w:evenVBand="0" w:oddHBand="0" w:evenHBand="0" w:firstRowFirstColumn="0" w:firstRowLastColumn="0" w:lastRowFirstColumn="0" w:lastRowLastColumn="0"/>
            <w:tcW w:w="416" w:type="pct"/>
            <w:vAlign w:val="center"/>
          </w:tcPr>
          <w:p w14:paraId="7F35F864" w14:textId="62113AC9" w:rsidR="009076EE" w:rsidRPr="00113A51" w:rsidRDefault="00000000" w:rsidP="00943A1B">
            <w:pPr>
              <w:keepNext/>
              <w:snapToGrid w:val="0"/>
              <w:jc w:val="center"/>
              <w:rPr>
                <w:rFonts w:ascii="Times New Roman" w:hAnsi="Times New Roman" w:cs="Times New Roman"/>
                <w:sz w:val="24"/>
                <w:szCs w:val="24"/>
              </w:rPr>
            </w:pPr>
            <w:r w:rsidRPr="00113A51">
              <w:rPr>
                <w:rFonts w:ascii="Times New Roman" w:hAnsi="Times New Roman" w:cs="Times New Roman"/>
                <w:b w:val="0"/>
                <w:bCs w:val="0"/>
                <w:sz w:val="24"/>
                <w:szCs w:val="24"/>
              </w:rPr>
              <w:t>Huang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[23]</w:t>
            </w:r>
          </w:p>
        </w:tc>
        <w:tc>
          <w:tcPr>
            <w:tcW w:w="429" w:type="pct"/>
            <w:vAlign w:val="center"/>
          </w:tcPr>
          <w:p w14:paraId="548700F9"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28</w:t>
            </w:r>
          </w:p>
        </w:tc>
        <w:tc>
          <w:tcPr>
            <w:tcW w:w="464" w:type="pct"/>
            <w:vAlign w:val="center"/>
          </w:tcPr>
          <w:p w14:paraId="5A3D38FB"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Partially converted to categorical</w:t>
            </w:r>
          </w:p>
        </w:tc>
        <w:tc>
          <w:tcPr>
            <w:tcW w:w="403" w:type="pct"/>
            <w:vAlign w:val="center"/>
          </w:tcPr>
          <w:p w14:paraId="79BFDDEE"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247</w:t>
            </w:r>
          </w:p>
        </w:tc>
        <w:tc>
          <w:tcPr>
            <w:tcW w:w="391" w:type="pct"/>
            <w:vAlign w:val="center"/>
          </w:tcPr>
          <w:p w14:paraId="50B1F11D"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73</w:t>
            </w:r>
          </w:p>
        </w:tc>
        <w:tc>
          <w:tcPr>
            <w:tcW w:w="424" w:type="pct"/>
            <w:vAlign w:val="center"/>
          </w:tcPr>
          <w:p w14:paraId="557BD6E7"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Logistic regression</w:t>
            </w:r>
          </w:p>
        </w:tc>
        <w:tc>
          <w:tcPr>
            <w:tcW w:w="427" w:type="pct"/>
            <w:vAlign w:val="center"/>
          </w:tcPr>
          <w:p w14:paraId="0AF02EF1"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Ten-fold cross-validation</w:t>
            </w:r>
          </w:p>
        </w:tc>
        <w:tc>
          <w:tcPr>
            <w:tcW w:w="463" w:type="pct"/>
            <w:vAlign w:val="center"/>
          </w:tcPr>
          <w:p w14:paraId="3B4590EB"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Calibration curve</w:t>
            </w:r>
          </w:p>
        </w:tc>
        <w:tc>
          <w:tcPr>
            <w:tcW w:w="509" w:type="pct"/>
            <w:vAlign w:val="center"/>
          </w:tcPr>
          <w:p w14:paraId="76D55824"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0.799</w:t>
            </w:r>
          </w:p>
        </w:tc>
        <w:tc>
          <w:tcPr>
            <w:tcW w:w="427" w:type="pct"/>
            <w:vAlign w:val="center"/>
          </w:tcPr>
          <w:p w14:paraId="71A355EF"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643" w:type="pct"/>
            <w:vAlign w:val="center"/>
          </w:tcPr>
          <w:p w14:paraId="2224B194"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Age, hypertension history, APACHE II score, benzodiazepine sedatives, mechanical ventilation</w:t>
            </w:r>
          </w:p>
        </w:tc>
      </w:tr>
      <w:tr w:rsidR="009076EE" w14:paraId="2934E9CA" w14:textId="77777777" w:rsidTr="009076EE">
        <w:trPr>
          <w:jc w:val="center"/>
        </w:trPr>
        <w:tc>
          <w:tcPr>
            <w:cnfStyle w:val="001000000000" w:firstRow="0" w:lastRow="0" w:firstColumn="1" w:lastColumn="0" w:oddVBand="0" w:evenVBand="0" w:oddHBand="0" w:evenHBand="0" w:firstRowFirstColumn="0" w:firstRowLastColumn="0" w:lastRowFirstColumn="0" w:lastRowLastColumn="0"/>
            <w:tcW w:w="416" w:type="pct"/>
            <w:vAlign w:val="center"/>
          </w:tcPr>
          <w:p w14:paraId="1CA8E3E6" w14:textId="12AB0897" w:rsidR="009076EE" w:rsidRPr="00113A51" w:rsidRDefault="00000000" w:rsidP="00943A1B">
            <w:pPr>
              <w:keepNext/>
              <w:snapToGrid w:val="0"/>
              <w:jc w:val="center"/>
              <w:rPr>
                <w:rFonts w:ascii="Times New Roman" w:hAnsi="Times New Roman" w:cs="Times New Roman"/>
                <w:sz w:val="24"/>
                <w:szCs w:val="24"/>
              </w:rPr>
            </w:pPr>
            <w:r w:rsidRPr="00113A51">
              <w:rPr>
                <w:rFonts w:ascii="Times New Roman" w:hAnsi="Times New Roman" w:cs="Times New Roman"/>
                <w:b w:val="0"/>
                <w:bCs w:val="0"/>
                <w:sz w:val="24"/>
                <w:szCs w:val="24"/>
              </w:rPr>
              <w:t>Chang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[22]</w:t>
            </w:r>
          </w:p>
        </w:tc>
        <w:tc>
          <w:tcPr>
            <w:tcW w:w="429" w:type="pct"/>
            <w:vAlign w:val="center"/>
          </w:tcPr>
          <w:p w14:paraId="163BB66A"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464" w:type="pct"/>
            <w:vAlign w:val="center"/>
          </w:tcPr>
          <w:p w14:paraId="0BD1BB68"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Kept continuous</w:t>
            </w:r>
          </w:p>
        </w:tc>
        <w:tc>
          <w:tcPr>
            <w:tcW w:w="403" w:type="pct"/>
            <w:vAlign w:val="center"/>
          </w:tcPr>
          <w:p w14:paraId="080F2F6B"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397</w:t>
            </w:r>
          </w:p>
        </w:tc>
        <w:tc>
          <w:tcPr>
            <w:tcW w:w="391" w:type="pct"/>
            <w:vAlign w:val="center"/>
          </w:tcPr>
          <w:p w14:paraId="499ADCE9"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80</w:t>
            </w:r>
          </w:p>
        </w:tc>
        <w:tc>
          <w:tcPr>
            <w:tcW w:w="424" w:type="pct"/>
            <w:vAlign w:val="center"/>
          </w:tcPr>
          <w:p w14:paraId="5519A398"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Logistic regression</w:t>
            </w:r>
          </w:p>
        </w:tc>
        <w:tc>
          <w:tcPr>
            <w:tcW w:w="427" w:type="pct"/>
            <w:vAlign w:val="center"/>
          </w:tcPr>
          <w:p w14:paraId="53A5ECF6"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463" w:type="pct"/>
            <w:vAlign w:val="center"/>
          </w:tcPr>
          <w:p w14:paraId="1F80850B"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H-L goodness-of-fit test</w:t>
            </w:r>
          </w:p>
        </w:tc>
        <w:tc>
          <w:tcPr>
            <w:tcW w:w="509" w:type="pct"/>
            <w:vAlign w:val="center"/>
          </w:tcPr>
          <w:p w14:paraId="207CAB26"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0.929</w:t>
            </w:r>
          </w:p>
        </w:tc>
        <w:tc>
          <w:tcPr>
            <w:tcW w:w="427" w:type="pct"/>
            <w:vAlign w:val="center"/>
          </w:tcPr>
          <w:p w14:paraId="69BE9476"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643" w:type="pct"/>
            <w:vAlign w:val="center"/>
          </w:tcPr>
          <w:p w14:paraId="4F5273E5"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Critical condition, cerebrovascular disease, diabetes, prolonged mechanical ventilation, prolonged awakening time after drug withdrawal, elevated blood lactate, elevated CRP, elevated PCT</w:t>
            </w:r>
          </w:p>
        </w:tc>
      </w:tr>
      <w:tr w:rsidR="009076EE" w14:paraId="033F10E2" w14:textId="77777777" w:rsidTr="009076EE">
        <w:trPr>
          <w:jc w:val="center"/>
        </w:trPr>
        <w:tc>
          <w:tcPr>
            <w:cnfStyle w:val="001000000000" w:firstRow="0" w:lastRow="0" w:firstColumn="1" w:lastColumn="0" w:oddVBand="0" w:evenVBand="0" w:oddHBand="0" w:evenHBand="0" w:firstRowFirstColumn="0" w:firstRowLastColumn="0" w:lastRowFirstColumn="0" w:lastRowLastColumn="0"/>
            <w:tcW w:w="416" w:type="pct"/>
            <w:vAlign w:val="center"/>
          </w:tcPr>
          <w:p w14:paraId="6DF9BCCD" w14:textId="3A1449B0" w:rsidR="009076EE" w:rsidRPr="00113A51" w:rsidRDefault="00000000" w:rsidP="00943A1B">
            <w:pPr>
              <w:keepNext/>
              <w:snapToGrid w:val="0"/>
              <w:jc w:val="center"/>
              <w:rPr>
                <w:rFonts w:ascii="Times New Roman" w:hAnsi="Times New Roman" w:cs="Times New Roman"/>
                <w:sz w:val="24"/>
                <w:szCs w:val="24"/>
              </w:rPr>
            </w:pPr>
            <w:r w:rsidRPr="00113A51">
              <w:rPr>
                <w:rFonts w:ascii="Times New Roman" w:hAnsi="Times New Roman" w:cs="Times New Roman"/>
                <w:b w:val="0"/>
                <w:bCs w:val="0"/>
                <w:sz w:val="24"/>
                <w:szCs w:val="24"/>
              </w:rPr>
              <w:lastRenderedPageBreak/>
              <w:t>Zhang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[21]</w:t>
            </w:r>
          </w:p>
        </w:tc>
        <w:tc>
          <w:tcPr>
            <w:tcW w:w="429" w:type="pct"/>
            <w:vAlign w:val="center"/>
          </w:tcPr>
          <w:p w14:paraId="20CCFD2F"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464" w:type="pct"/>
            <w:vAlign w:val="center"/>
          </w:tcPr>
          <w:p w14:paraId="7319BF86"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Partially converted to categorical</w:t>
            </w:r>
          </w:p>
        </w:tc>
        <w:tc>
          <w:tcPr>
            <w:tcW w:w="403" w:type="pct"/>
            <w:vAlign w:val="center"/>
          </w:tcPr>
          <w:p w14:paraId="3DD57483"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436</w:t>
            </w:r>
          </w:p>
        </w:tc>
        <w:tc>
          <w:tcPr>
            <w:tcW w:w="391" w:type="pct"/>
            <w:vAlign w:val="center"/>
          </w:tcPr>
          <w:p w14:paraId="40E390BE"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59</w:t>
            </w:r>
          </w:p>
        </w:tc>
        <w:tc>
          <w:tcPr>
            <w:tcW w:w="424" w:type="pct"/>
            <w:vAlign w:val="center"/>
          </w:tcPr>
          <w:p w14:paraId="7534A9FA"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Logistic regression, Random forest</w:t>
            </w:r>
          </w:p>
        </w:tc>
        <w:tc>
          <w:tcPr>
            <w:tcW w:w="427" w:type="pct"/>
            <w:vAlign w:val="center"/>
          </w:tcPr>
          <w:p w14:paraId="0069DDAD"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Ten-fold cross-validation</w:t>
            </w:r>
          </w:p>
        </w:tc>
        <w:tc>
          <w:tcPr>
            <w:tcW w:w="463" w:type="pct"/>
            <w:vAlign w:val="center"/>
          </w:tcPr>
          <w:p w14:paraId="7869E114"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Calibration curve</w:t>
            </w:r>
          </w:p>
        </w:tc>
        <w:tc>
          <w:tcPr>
            <w:tcW w:w="509" w:type="pct"/>
            <w:vAlign w:val="center"/>
          </w:tcPr>
          <w:p w14:paraId="10ECB50E"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0.832/0.871</w:t>
            </w:r>
          </w:p>
        </w:tc>
        <w:tc>
          <w:tcPr>
            <w:tcW w:w="427" w:type="pct"/>
            <w:vAlign w:val="center"/>
          </w:tcPr>
          <w:p w14:paraId="63EA9474"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0.849</w:t>
            </w:r>
          </w:p>
        </w:tc>
        <w:tc>
          <w:tcPr>
            <w:tcW w:w="643" w:type="pct"/>
            <w:vAlign w:val="center"/>
          </w:tcPr>
          <w:p w14:paraId="394E1316"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Age, APACHE-II, BMI, Barthel index, sleep, combined medication, emergency admission, etc.</w:t>
            </w:r>
          </w:p>
        </w:tc>
      </w:tr>
      <w:tr w:rsidR="009076EE" w14:paraId="719A5F17" w14:textId="77777777" w:rsidTr="009076EE">
        <w:trPr>
          <w:jc w:val="center"/>
        </w:trPr>
        <w:tc>
          <w:tcPr>
            <w:cnfStyle w:val="001000000000" w:firstRow="0" w:lastRow="0" w:firstColumn="1" w:lastColumn="0" w:oddVBand="0" w:evenVBand="0" w:oddHBand="0" w:evenHBand="0" w:firstRowFirstColumn="0" w:firstRowLastColumn="0" w:lastRowFirstColumn="0" w:lastRowLastColumn="0"/>
            <w:tcW w:w="416" w:type="pct"/>
            <w:vAlign w:val="center"/>
          </w:tcPr>
          <w:p w14:paraId="25775212" w14:textId="4B938A7E" w:rsidR="009076EE" w:rsidRPr="00113A51" w:rsidRDefault="00000000" w:rsidP="00943A1B">
            <w:pPr>
              <w:keepNext/>
              <w:snapToGrid w:val="0"/>
              <w:jc w:val="center"/>
              <w:rPr>
                <w:rFonts w:ascii="Times New Roman" w:hAnsi="Times New Roman" w:cs="Times New Roman"/>
                <w:sz w:val="24"/>
                <w:szCs w:val="24"/>
              </w:rPr>
            </w:pPr>
            <w:r w:rsidRPr="00113A51">
              <w:rPr>
                <w:rFonts w:ascii="Times New Roman" w:hAnsi="Times New Roman" w:cs="Times New Roman"/>
                <w:b w:val="0"/>
                <w:bCs w:val="0"/>
                <w:sz w:val="24"/>
                <w:szCs w:val="24"/>
              </w:rPr>
              <w:t>Cao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[20]</w:t>
            </w:r>
          </w:p>
        </w:tc>
        <w:tc>
          <w:tcPr>
            <w:tcW w:w="429" w:type="pct"/>
            <w:vAlign w:val="center"/>
          </w:tcPr>
          <w:p w14:paraId="6D943735"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9</w:t>
            </w:r>
          </w:p>
        </w:tc>
        <w:tc>
          <w:tcPr>
            <w:tcW w:w="464" w:type="pct"/>
            <w:vAlign w:val="center"/>
          </w:tcPr>
          <w:p w14:paraId="6A16E5B6"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Kept continuous</w:t>
            </w:r>
          </w:p>
        </w:tc>
        <w:tc>
          <w:tcPr>
            <w:tcW w:w="403" w:type="pct"/>
            <w:vAlign w:val="center"/>
          </w:tcPr>
          <w:p w14:paraId="0B7761E5"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212</w:t>
            </w:r>
          </w:p>
        </w:tc>
        <w:tc>
          <w:tcPr>
            <w:tcW w:w="391" w:type="pct"/>
            <w:vAlign w:val="center"/>
          </w:tcPr>
          <w:p w14:paraId="7DF33B72"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37</w:t>
            </w:r>
          </w:p>
        </w:tc>
        <w:tc>
          <w:tcPr>
            <w:tcW w:w="424" w:type="pct"/>
            <w:vAlign w:val="center"/>
          </w:tcPr>
          <w:p w14:paraId="773C7986"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Logistic regression</w:t>
            </w:r>
          </w:p>
        </w:tc>
        <w:tc>
          <w:tcPr>
            <w:tcW w:w="427" w:type="pct"/>
            <w:vAlign w:val="center"/>
          </w:tcPr>
          <w:p w14:paraId="660F0649"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463" w:type="pct"/>
            <w:vAlign w:val="center"/>
          </w:tcPr>
          <w:p w14:paraId="6970FB0E"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509" w:type="pct"/>
            <w:vAlign w:val="center"/>
          </w:tcPr>
          <w:p w14:paraId="2E5C2E70"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0.882</w:t>
            </w:r>
          </w:p>
        </w:tc>
        <w:tc>
          <w:tcPr>
            <w:tcW w:w="427" w:type="pct"/>
            <w:vAlign w:val="center"/>
          </w:tcPr>
          <w:p w14:paraId="216E5D2D"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0.882</w:t>
            </w:r>
          </w:p>
        </w:tc>
        <w:tc>
          <w:tcPr>
            <w:tcW w:w="643" w:type="pct"/>
            <w:vAlign w:val="center"/>
          </w:tcPr>
          <w:p w14:paraId="21F93CB3"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Age, cognitive impairment history, alcohol abuse history, treatment experience, MAP, respiratory failure, BUN</w:t>
            </w:r>
          </w:p>
        </w:tc>
      </w:tr>
      <w:tr w:rsidR="009076EE" w14:paraId="7C4E09C3" w14:textId="77777777" w:rsidTr="009076EE">
        <w:trPr>
          <w:jc w:val="center"/>
        </w:trPr>
        <w:tc>
          <w:tcPr>
            <w:cnfStyle w:val="001000000000" w:firstRow="0" w:lastRow="0" w:firstColumn="1" w:lastColumn="0" w:oddVBand="0" w:evenVBand="0" w:oddHBand="0" w:evenHBand="0" w:firstRowFirstColumn="0" w:firstRowLastColumn="0" w:lastRowFirstColumn="0" w:lastRowLastColumn="0"/>
            <w:tcW w:w="416" w:type="pct"/>
            <w:vAlign w:val="center"/>
          </w:tcPr>
          <w:p w14:paraId="4A3EDACF" w14:textId="6D3BB985" w:rsidR="009076EE" w:rsidRPr="00113A51" w:rsidRDefault="00000000" w:rsidP="00943A1B">
            <w:pPr>
              <w:keepNext/>
              <w:snapToGrid w:val="0"/>
              <w:jc w:val="center"/>
              <w:rPr>
                <w:rFonts w:ascii="Times New Roman" w:hAnsi="Times New Roman" w:cs="Times New Roman"/>
                <w:sz w:val="24"/>
                <w:szCs w:val="24"/>
              </w:rPr>
            </w:pPr>
            <w:r w:rsidRPr="00113A51">
              <w:rPr>
                <w:rFonts w:ascii="Times New Roman" w:hAnsi="Times New Roman" w:cs="Times New Roman"/>
                <w:b w:val="0"/>
                <w:bCs w:val="0"/>
                <w:sz w:val="24"/>
                <w:szCs w:val="24"/>
              </w:rPr>
              <w:t>Wassenaar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[19]</w:t>
            </w:r>
          </w:p>
        </w:tc>
        <w:tc>
          <w:tcPr>
            <w:tcW w:w="429" w:type="pct"/>
            <w:vAlign w:val="center"/>
          </w:tcPr>
          <w:p w14:paraId="685D0EF0"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18</w:t>
            </w:r>
          </w:p>
        </w:tc>
        <w:tc>
          <w:tcPr>
            <w:tcW w:w="464" w:type="pct"/>
            <w:vAlign w:val="center"/>
          </w:tcPr>
          <w:p w14:paraId="551301ED"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Kept continuous</w:t>
            </w:r>
          </w:p>
        </w:tc>
        <w:tc>
          <w:tcPr>
            <w:tcW w:w="403" w:type="pct"/>
            <w:vAlign w:val="center"/>
          </w:tcPr>
          <w:p w14:paraId="553DBAC9"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1,962</w:t>
            </w:r>
          </w:p>
        </w:tc>
        <w:tc>
          <w:tcPr>
            <w:tcW w:w="391" w:type="pct"/>
            <w:vAlign w:val="center"/>
          </w:tcPr>
          <w:p w14:paraId="3C339B1E"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481</w:t>
            </w:r>
          </w:p>
        </w:tc>
        <w:tc>
          <w:tcPr>
            <w:tcW w:w="424" w:type="pct"/>
            <w:vAlign w:val="center"/>
          </w:tcPr>
          <w:p w14:paraId="22D2AF88"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Logistic regression</w:t>
            </w:r>
          </w:p>
        </w:tc>
        <w:tc>
          <w:tcPr>
            <w:tcW w:w="427" w:type="pct"/>
            <w:vAlign w:val="center"/>
          </w:tcPr>
          <w:p w14:paraId="07A4C1E3"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Ten-fold cross-validation</w:t>
            </w:r>
          </w:p>
        </w:tc>
        <w:tc>
          <w:tcPr>
            <w:tcW w:w="463" w:type="pct"/>
            <w:vAlign w:val="center"/>
          </w:tcPr>
          <w:p w14:paraId="56AECDE5"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Calibration curve</w:t>
            </w:r>
          </w:p>
        </w:tc>
        <w:tc>
          <w:tcPr>
            <w:tcW w:w="509" w:type="pct"/>
            <w:vAlign w:val="center"/>
          </w:tcPr>
          <w:p w14:paraId="0B1DBF62"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0.76</w:t>
            </w:r>
          </w:p>
        </w:tc>
        <w:tc>
          <w:tcPr>
            <w:tcW w:w="427" w:type="pct"/>
            <w:vAlign w:val="center"/>
          </w:tcPr>
          <w:p w14:paraId="0F43C961"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0.75</w:t>
            </w:r>
          </w:p>
        </w:tc>
        <w:tc>
          <w:tcPr>
            <w:tcW w:w="643" w:type="pct"/>
            <w:vAlign w:val="center"/>
          </w:tcPr>
          <w:p w14:paraId="3691393F"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Age, cognitive impairment history, alcohol abuse history, BUN level, admission category, emergency admission, MAP, glucocorticoid use, respiratory failure</w:t>
            </w:r>
          </w:p>
        </w:tc>
      </w:tr>
      <w:tr w:rsidR="009076EE" w14:paraId="4EF45EF7" w14:textId="77777777" w:rsidTr="009076EE">
        <w:trPr>
          <w:jc w:val="center"/>
        </w:trPr>
        <w:tc>
          <w:tcPr>
            <w:cnfStyle w:val="001000000000" w:firstRow="0" w:lastRow="0" w:firstColumn="1" w:lastColumn="0" w:oddVBand="0" w:evenVBand="0" w:oddHBand="0" w:evenHBand="0" w:firstRowFirstColumn="0" w:firstRowLastColumn="0" w:lastRowFirstColumn="0" w:lastRowLastColumn="0"/>
            <w:tcW w:w="416" w:type="pct"/>
            <w:vAlign w:val="center"/>
          </w:tcPr>
          <w:p w14:paraId="58D982E9" w14:textId="03E7E734" w:rsidR="009076EE" w:rsidRPr="00113A51" w:rsidRDefault="00000000" w:rsidP="00943A1B">
            <w:pPr>
              <w:keepNext/>
              <w:snapToGrid w:val="0"/>
              <w:jc w:val="center"/>
              <w:rPr>
                <w:rFonts w:ascii="Times New Roman" w:hAnsi="Times New Roman" w:cs="Times New Roman"/>
                <w:sz w:val="24"/>
                <w:szCs w:val="24"/>
              </w:rPr>
            </w:pPr>
            <w:r w:rsidRPr="00113A51">
              <w:rPr>
                <w:rFonts w:ascii="Times New Roman" w:hAnsi="Times New Roman" w:cs="Times New Roman"/>
                <w:b w:val="0"/>
                <w:bCs w:val="0"/>
                <w:sz w:val="24"/>
                <w:szCs w:val="24"/>
              </w:rPr>
              <w:lastRenderedPageBreak/>
              <w:t>Shen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[18]</w:t>
            </w:r>
          </w:p>
        </w:tc>
        <w:tc>
          <w:tcPr>
            <w:tcW w:w="429" w:type="pct"/>
            <w:vAlign w:val="center"/>
          </w:tcPr>
          <w:p w14:paraId="2B801543"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464" w:type="pct"/>
            <w:vAlign w:val="center"/>
          </w:tcPr>
          <w:p w14:paraId="6BBC8567"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Partially categorical</w:t>
            </w:r>
          </w:p>
        </w:tc>
        <w:tc>
          <w:tcPr>
            <w:tcW w:w="403" w:type="pct"/>
            <w:vAlign w:val="center"/>
          </w:tcPr>
          <w:p w14:paraId="3A56A6FF"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100</w:t>
            </w:r>
          </w:p>
        </w:tc>
        <w:tc>
          <w:tcPr>
            <w:tcW w:w="391" w:type="pct"/>
            <w:vAlign w:val="center"/>
          </w:tcPr>
          <w:p w14:paraId="295151BD"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21</w:t>
            </w:r>
          </w:p>
        </w:tc>
        <w:tc>
          <w:tcPr>
            <w:tcW w:w="424" w:type="pct"/>
            <w:vAlign w:val="center"/>
          </w:tcPr>
          <w:p w14:paraId="2FB995FB"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Logistic regression</w:t>
            </w:r>
          </w:p>
        </w:tc>
        <w:tc>
          <w:tcPr>
            <w:tcW w:w="427" w:type="pct"/>
            <w:vAlign w:val="center"/>
          </w:tcPr>
          <w:p w14:paraId="7DBB7B3F"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External validation</w:t>
            </w:r>
          </w:p>
        </w:tc>
        <w:tc>
          <w:tcPr>
            <w:tcW w:w="463" w:type="pct"/>
            <w:vAlign w:val="center"/>
          </w:tcPr>
          <w:p w14:paraId="1C742184"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H-L goodness-of-fit test</w:t>
            </w:r>
          </w:p>
        </w:tc>
        <w:tc>
          <w:tcPr>
            <w:tcW w:w="509" w:type="pct"/>
            <w:vAlign w:val="center"/>
          </w:tcPr>
          <w:p w14:paraId="2E3681B9"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0.891</w:t>
            </w:r>
          </w:p>
        </w:tc>
        <w:tc>
          <w:tcPr>
            <w:tcW w:w="427" w:type="pct"/>
            <w:vAlign w:val="center"/>
          </w:tcPr>
          <w:p w14:paraId="7C1B5598"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0.838</w:t>
            </w:r>
          </w:p>
        </w:tc>
        <w:tc>
          <w:tcPr>
            <w:tcW w:w="643" w:type="pct"/>
            <w:vAlign w:val="center"/>
          </w:tcPr>
          <w:p w14:paraId="3FAF9BAF"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Age, hypertension history, invasive mechanical ventilation, hospital stay, APACHE II score, acid-base imbalance</w:t>
            </w:r>
          </w:p>
        </w:tc>
      </w:tr>
      <w:tr w:rsidR="009076EE" w14:paraId="1AE514AB" w14:textId="77777777" w:rsidTr="009076EE">
        <w:trPr>
          <w:jc w:val="center"/>
        </w:trPr>
        <w:tc>
          <w:tcPr>
            <w:cnfStyle w:val="001000000000" w:firstRow="0" w:lastRow="0" w:firstColumn="1" w:lastColumn="0" w:oddVBand="0" w:evenVBand="0" w:oddHBand="0" w:evenHBand="0" w:firstRowFirstColumn="0" w:firstRowLastColumn="0" w:lastRowFirstColumn="0" w:lastRowLastColumn="0"/>
            <w:tcW w:w="416" w:type="pct"/>
            <w:vAlign w:val="center"/>
          </w:tcPr>
          <w:p w14:paraId="0FEC1422" w14:textId="3F2AB529" w:rsidR="009076EE" w:rsidRPr="00113A51" w:rsidRDefault="00000000" w:rsidP="00943A1B">
            <w:pPr>
              <w:keepNext/>
              <w:snapToGrid w:val="0"/>
              <w:jc w:val="center"/>
              <w:rPr>
                <w:rFonts w:ascii="Times New Roman" w:hAnsi="Times New Roman" w:cs="Times New Roman"/>
                <w:sz w:val="24"/>
                <w:szCs w:val="24"/>
              </w:rPr>
            </w:pPr>
            <w:r w:rsidRPr="00113A51">
              <w:rPr>
                <w:rFonts w:ascii="Times New Roman" w:hAnsi="Times New Roman" w:cs="Times New Roman"/>
                <w:b w:val="0"/>
                <w:bCs w:val="0"/>
                <w:sz w:val="24"/>
                <w:szCs w:val="24"/>
              </w:rPr>
              <w:t>Zhu</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[17]</w:t>
            </w:r>
          </w:p>
        </w:tc>
        <w:tc>
          <w:tcPr>
            <w:tcW w:w="429" w:type="pct"/>
            <w:vAlign w:val="center"/>
          </w:tcPr>
          <w:p w14:paraId="6ECD0D21"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464" w:type="pct"/>
            <w:vAlign w:val="center"/>
          </w:tcPr>
          <w:p w14:paraId="4B7D8E58"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Partially categorical</w:t>
            </w:r>
          </w:p>
        </w:tc>
        <w:tc>
          <w:tcPr>
            <w:tcW w:w="403" w:type="pct"/>
            <w:vAlign w:val="center"/>
          </w:tcPr>
          <w:p w14:paraId="2ACA9A6A"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147</w:t>
            </w:r>
          </w:p>
        </w:tc>
        <w:tc>
          <w:tcPr>
            <w:tcW w:w="391" w:type="pct"/>
            <w:vAlign w:val="center"/>
          </w:tcPr>
          <w:p w14:paraId="3992A32F"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36</w:t>
            </w:r>
          </w:p>
        </w:tc>
        <w:tc>
          <w:tcPr>
            <w:tcW w:w="424" w:type="pct"/>
            <w:vAlign w:val="center"/>
          </w:tcPr>
          <w:p w14:paraId="498B1146"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Logistic regression</w:t>
            </w:r>
          </w:p>
        </w:tc>
        <w:tc>
          <w:tcPr>
            <w:tcW w:w="427" w:type="pct"/>
            <w:vAlign w:val="center"/>
          </w:tcPr>
          <w:p w14:paraId="7722840A"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Random split internal validation</w:t>
            </w:r>
          </w:p>
        </w:tc>
        <w:tc>
          <w:tcPr>
            <w:tcW w:w="463" w:type="pct"/>
            <w:vAlign w:val="center"/>
          </w:tcPr>
          <w:p w14:paraId="02307D21"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H-L goodness-of-fit test</w:t>
            </w:r>
          </w:p>
        </w:tc>
        <w:tc>
          <w:tcPr>
            <w:tcW w:w="509" w:type="pct"/>
            <w:vAlign w:val="center"/>
          </w:tcPr>
          <w:p w14:paraId="193D1A75"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427" w:type="pct"/>
            <w:vAlign w:val="center"/>
          </w:tcPr>
          <w:p w14:paraId="582CA836"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0.749</w:t>
            </w:r>
          </w:p>
        </w:tc>
        <w:tc>
          <w:tcPr>
            <w:tcW w:w="643" w:type="pct"/>
            <w:vAlign w:val="center"/>
          </w:tcPr>
          <w:p w14:paraId="443E08D1"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BUN level, GCS score, infection</w:t>
            </w:r>
          </w:p>
        </w:tc>
      </w:tr>
      <w:tr w:rsidR="009076EE" w14:paraId="13808DFF" w14:textId="77777777" w:rsidTr="009076EE">
        <w:trPr>
          <w:jc w:val="center"/>
        </w:trPr>
        <w:tc>
          <w:tcPr>
            <w:cnfStyle w:val="001000000000" w:firstRow="0" w:lastRow="0" w:firstColumn="1" w:lastColumn="0" w:oddVBand="0" w:evenVBand="0" w:oddHBand="0" w:evenHBand="0" w:firstRowFirstColumn="0" w:firstRowLastColumn="0" w:lastRowFirstColumn="0" w:lastRowLastColumn="0"/>
            <w:tcW w:w="416" w:type="pct"/>
            <w:vAlign w:val="center"/>
          </w:tcPr>
          <w:p w14:paraId="61569652" w14:textId="358D758E" w:rsidR="009076EE" w:rsidRPr="00113A51" w:rsidRDefault="00000000" w:rsidP="00943A1B">
            <w:pPr>
              <w:keepNext/>
              <w:snapToGrid w:val="0"/>
              <w:jc w:val="center"/>
              <w:rPr>
                <w:rFonts w:ascii="Times New Roman" w:hAnsi="Times New Roman" w:cs="Times New Roman"/>
                <w:sz w:val="24"/>
                <w:szCs w:val="24"/>
              </w:rPr>
            </w:pPr>
            <w:r w:rsidRPr="00113A51">
              <w:rPr>
                <w:rFonts w:ascii="Times New Roman" w:hAnsi="Times New Roman" w:cs="Times New Roman"/>
                <w:b w:val="0"/>
                <w:bCs w:val="0"/>
                <w:sz w:val="24"/>
                <w:szCs w:val="24"/>
              </w:rPr>
              <w:t>Dai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[15]</w:t>
            </w:r>
          </w:p>
        </w:tc>
        <w:tc>
          <w:tcPr>
            <w:tcW w:w="429" w:type="pct"/>
            <w:vAlign w:val="center"/>
          </w:tcPr>
          <w:p w14:paraId="51D1BC74"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464" w:type="pct"/>
            <w:vAlign w:val="center"/>
          </w:tcPr>
          <w:p w14:paraId="763780DC"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Converted to categorical</w:t>
            </w:r>
          </w:p>
        </w:tc>
        <w:tc>
          <w:tcPr>
            <w:tcW w:w="403" w:type="pct"/>
            <w:vAlign w:val="center"/>
          </w:tcPr>
          <w:p w14:paraId="4A576624"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140</w:t>
            </w:r>
          </w:p>
        </w:tc>
        <w:tc>
          <w:tcPr>
            <w:tcW w:w="391" w:type="pct"/>
            <w:vAlign w:val="center"/>
          </w:tcPr>
          <w:p w14:paraId="15F6546A"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62</w:t>
            </w:r>
          </w:p>
        </w:tc>
        <w:tc>
          <w:tcPr>
            <w:tcW w:w="424" w:type="pct"/>
            <w:vAlign w:val="center"/>
          </w:tcPr>
          <w:p w14:paraId="2611181D"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Logistic regression</w:t>
            </w:r>
          </w:p>
        </w:tc>
        <w:tc>
          <w:tcPr>
            <w:tcW w:w="427" w:type="pct"/>
            <w:vAlign w:val="center"/>
          </w:tcPr>
          <w:p w14:paraId="78D6CD73"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External validation</w:t>
            </w:r>
          </w:p>
        </w:tc>
        <w:tc>
          <w:tcPr>
            <w:tcW w:w="463" w:type="pct"/>
            <w:vAlign w:val="center"/>
          </w:tcPr>
          <w:p w14:paraId="6394A877"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509" w:type="pct"/>
            <w:vAlign w:val="center"/>
          </w:tcPr>
          <w:p w14:paraId="590FC874"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0.764</w:t>
            </w:r>
          </w:p>
        </w:tc>
        <w:tc>
          <w:tcPr>
            <w:tcW w:w="427" w:type="pct"/>
            <w:vAlign w:val="center"/>
          </w:tcPr>
          <w:p w14:paraId="4D89E135"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643" w:type="pct"/>
            <w:vAlign w:val="center"/>
          </w:tcPr>
          <w:p w14:paraId="3D918AA4"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Age ≥65 years, pain ≥4, APACHE II score &gt;13, ICU environmental stressor score &gt;72, ICU stay &gt;1 week, diabetes, hypertension</w:t>
            </w:r>
          </w:p>
        </w:tc>
      </w:tr>
      <w:tr w:rsidR="009076EE" w14:paraId="08F1C5EA" w14:textId="77777777" w:rsidTr="009076EE">
        <w:trPr>
          <w:jc w:val="center"/>
        </w:trPr>
        <w:tc>
          <w:tcPr>
            <w:cnfStyle w:val="001000000000" w:firstRow="0" w:lastRow="0" w:firstColumn="1" w:lastColumn="0" w:oddVBand="0" w:evenVBand="0" w:oddHBand="0" w:evenHBand="0" w:firstRowFirstColumn="0" w:firstRowLastColumn="0" w:lastRowFirstColumn="0" w:lastRowLastColumn="0"/>
            <w:tcW w:w="416" w:type="pct"/>
            <w:vAlign w:val="center"/>
          </w:tcPr>
          <w:p w14:paraId="45D43000" w14:textId="3BF54EF7" w:rsidR="009076EE" w:rsidRPr="00113A51" w:rsidRDefault="00000000" w:rsidP="00943A1B">
            <w:pPr>
              <w:keepNext/>
              <w:snapToGrid w:val="0"/>
              <w:jc w:val="center"/>
              <w:rPr>
                <w:rFonts w:ascii="Times New Roman" w:hAnsi="Times New Roman" w:cs="Times New Roman"/>
                <w:sz w:val="24"/>
                <w:szCs w:val="24"/>
              </w:rPr>
            </w:pPr>
            <w:r w:rsidRPr="00113A51">
              <w:rPr>
                <w:rFonts w:ascii="Times New Roman" w:hAnsi="Times New Roman" w:cs="Times New Roman"/>
                <w:b w:val="0"/>
                <w:bCs w:val="0"/>
                <w:sz w:val="24"/>
                <w:szCs w:val="24"/>
              </w:rPr>
              <w:lastRenderedPageBreak/>
              <w:t>Zhang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[16]</w:t>
            </w:r>
          </w:p>
        </w:tc>
        <w:tc>
          <w:tcPr>
            <w:tcW w:w="429" w:type="pct"/>
            <w:vAlign w:val="center"/>
          </w:tcPr>
          <w:p w14:paraId="78424AF6"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30</w:t>
            </w:r>
          </w:p>
        </w:tc>
        <w:tc>
          <w:tcPr>
            <w:tcW w:w="464" w:type="pct"/>
            <w:vAlign w:val="center"/>
          </w:tcPr>
          <w:p w14:paraId="2242ACD7"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Partially converted to categorical</w:t>
            </w:r>
          </w:p>
        </w:tc>
        <w:tc>
          <w:tcPr>
            <w:tcW w:w="403" w:type="pct"/>
            <w:vAlign w:val="center"/>
          </w:tcPr>
          <w:p w14:paraId="72ED761D"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300</w:t>
            </w:r>
          </w:p>
        </w:tc>
        <w:tc>
          <w:tcPr>
            <w:tcW w:w="391" w:type="pct"/>
            <w:vAlign w:val="center"/>
          </w:tcPr>
          <w:p w14:paraId="1AD937B7"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93</w:t>
            </w:r>
          </w:p>
        </w:tc>
        <w:tc>
          <w:tcPr>
            <w:tcW w:w="424" w:type="pct"/>
            <w:vAlign w:val="center"/>
          </w:tcPr>
          <w:p w14:paraId="1A3B20A7"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Logistic regression</w:t>
            </w:r>
          </w:p>
        </w:tc>
        <w:tc>
          <w:tcPr>
            <w:tcW w:w="427" w:type="pct"/>
            <w:vAlign w:val="center"/>
          </w:tcPr>
          <w:p w14:paraId="696070D8"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Bootstrap internal validation, External validation</w:t>
            </w:r>
          </w:p>
        </w:tc>
        <w:tc>
          <w:tcPr>
            <w:tcW w:w="463" w:type="pct"/>
            <w:vAlign w:val="center"/>
          </w:tcPr>
          <w:p w14:paraId="33D607EE"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H-L goodness-of-fit test</w:t>
            </w:r>
          </w:p>
        </w:tc>
        <w:tc>
          <w:tcPr>
            <w:tcW w:w="509" w:type="pct"/>
            <w:vAlign w:val="center"/>
          </w:tcPr>
          <w:p w14:paraId="34FAF9CC"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0.941</w:t>
            </w:r>
          </w:p>
        </w:tc>
        <w:tc>
          <w:tcPr>
            <w:tcW w:w="427" w:type="pct"/>
            <w:vAlign w:val="center"/>
          </w:tcPr>
          <w:p w14:paraId="1B4DD3C3"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0.897</w:t>
            </w:r>
          </w:p>
        </w:tc>
        <w:tc>
          <w:tcPr>
            <w:tcW w:w="643" w:type="pct"/>
            <w:vAlign w:val="center"/>
          </w:tcPr>
          <w:p w14:paraId="13C1B2B7"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Electrolyte imbalance, catheters ≥2, diuretic use, GCS score, CRP concentration, BUN concentration</w:t>
            </w:r>
          </w:p>
        </w:tc>
      </w:tr>
      <w:tr w:rsidR="009076EE" w14:paraId="65E26077" w14:textId="77777777" w:rsidTr="009076EE">
        <w:trPr>
          <w:jc w:val="center"/>
        </w:trPr>
        <w:tc>
          <w:tcPr>
            <w:cnfStyle w:val="001000000000" w:firstRow="0" w:lastRow="0" w:firstColumn="1" w:lastColumn="0" w:oddVBand="0" w:evenVBand="0" w:oddHBand="0" w:evenHBand="0" w:firstRowFirstColumn="0" w:firstRowLastColumn="0" w:lastRowFirstColumn="0" w:lastRowLastColumn="0"/>
            <w:tcW w:w="416" w:type="pct"/>
            <w:vAlign w:val="center"/>
          </w:tcPr>
          <w:p w14:paraId="3E4254A9" w14:textId="4E049D26" w:rsidR="009076EE" w:rsidRPr="00113A51" w:rsidRDefault="00000000" w:rsidP="00943A1B">
            <w:pPr>
              <w:keepNext/>
              <w:snapToGrid w:val="0"/>
              <w:jc w:val="center"/>
              <w:rPr>
                <w:rFonts w:ascii="Times New Roman" w:hAnsi="Times New Roman" w:cs="Times New Roman"/>
                <w:sz w:val="24"/>
                <w:szCs w:val="24"/>
              </w:rPr>
            </w:pPr>
            <w:r w:rsidRPr="00113A51">
              <w:rPr>
                <w:rFonts w:ascii="Times New Roman" w:hAnsi="Times New Roman" w:cs="Times New Roman"/>
                <w:b w:val="0"/>
                <w:bCs w:val="0"/>
                <w:sz w:val="24"/>
                <w:szCs w:val="24"/>
              </w:rPr>
              <w:t>Wang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[14]</w:t>
            </w:r>
          </w:p>
        </w:tc>
        <w:tc>
          <w:tcPr>
            <w:tcW w:w="429" w:type="pct"/>
            <w:vAlign w:val="center"/>
          </w:tcPr>
          <w:p w14:paraId="11B6A925"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ADM-8, 24H-15</w:t>
            </w:r>
          </w:p>
        </w:tc>
        <w:tc>
          <w:tcPr>
            <w:tcW w:w="464" w:type="pct"/>
            <w:vAlign w:val="center"/>
          </w:tcPr>
          <w:p w14:paraId="2783AA70"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Kept continuous</w:t>
            </w:r>
          </w:p>
        </w:tc>
        <w:tc>
          <w:tcPr>
            <w:tcW w:w="403" w:type="pct"/>
            <w:vAlign w:val="center"/>
          </w:tcPr>
          <w:p w14:paraId="012E54CC"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ADM-4,999, 24H-2,773</w:t>
            </w:r>
          </w:p>
        </w:tc>
        <w:tc>
          <w:tcPr>
            <w:tcW w:w="391" w:type="pct"/>
            <w:vAlign w:val="center"/>
          </w:tcPr>
          <w:p w14:paraId="6977BBDF"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ADM-1,624, 24H-881</w:t>
            </w:r>
          </w:p>
        </w:tc>
        <w:tc>
          <w:tcPr>
            <w:tcW w:w="424" w:type="pct"/>
            <w:vAlign w:val="center"/>
          </w:tcPr>
          <w:p w14:paraId="316F48D5"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Machine learning (GBT, LR, DL)</w:t>
            </w:r>
          </w:p>
        </w:tc>
        <w:tc>
          <w:tcPr>
            <w:tcW w:w="427" w:type="pct"/>
            <w:vAlign w:val="center"/>
          </w:tcPr>
          <w:p w14:paraId="1549EB1F"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External validation</w:t>
            </w:r>
          </w:p>
        </w:tc>
        <w:tc>
          <w:tcPr>
            <w:tcW w:w="463" w:type="pct"/>
            <w:vAlign w:val="center"/>
          </w:tcPr>
          <w:p w14:paraId="4FCDD2A3"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Calibration curve</w:t>
            </w:r>
          </w:p>
        </w:tc>
        <w:tc>
          <w:tcPr>
            <w:tcW w:w="509" w:type="pct"/>
            <w:vAlign w:val="center"/>
          </w:tcPr>
          <w:p w14:paraId="261690E8"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0.858 (ADM), 0.931 (24H)</w:t>
            </w:r>
          </w:p>
        </w:tc>
        <w:tc>
          <w:tcPr>
            <w:tcW w:w="427" w:type="pct"/>
            <w:vAlign w:val="center"/>
          </w:tcPr>
          <w:p w14:paraId="4AC1D804"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643" w:type="pct"/>
            <w:vAlign w:val="center"/>
          </w:tcPr>
          <w:p w14:paraId="0988F317"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Age, BMI, dementia history, postoperative monitoring, elective surgery, pre-ICU hospital days, GCS score, initial respiratory rate</w:t>
            </w:r>
          </w:p>
        </w:tc>
      </w:tr>
      <w:tr w:rsidR="009076EE" w14:paraId="37384755" w14:textId="77777777" w:rsidTr="009076EE">
        <w:trPr>
          <w:jc w:val="center"/>
        </w:trPr>
        <w:tc>
          <w:tcPr>
            <w:cnfStyle w:val="001000000000" w:firstRow="0" w:lastRow="0" w:firstColumn="1" w:lastColumn="0" w:oddVBand="0" w:evenVBand="0" w:oddHBand="0" w:evenHBand="0" w:firstRowFirstColumn="0" w:firstRowLastColumn="0" w:lastRowFirstColumn="0" w:lastRowLastColumn="0"/>
            <w:tcW w:w="416" w:type="pct"/>
            <w:vAlign w:val="center"/>
          </w:tcPr>
          <w:p w14:paraId="389BAE64" w14:textId="542CEBDF" w:rsidR="009076EE" w:rsidRPr="00113A51" w:rsidRDefault="00000000" w:rsidP="00943A1B">
            <w:pPr>
              <w:keepNext/>
              <w:snapToGrid w:val="0"/>
              <w:jc w:val="center"/>
              <w:rPr>
                <w:rFonts w:ascii="Times New Roman" w:hAnsi="Times New Roman" w:cs="Times New Roman"/>
                <w:sz w:val="24"/>
                <w:szCs w:val="24"/>
              </w:rPr>
            </w:pPr>
            <w:r w:rsidRPr="00113A51">
              <w:rPr>
                <w:rFonts w:ascii="Times New Roman" w:hAnsi="Times New Roman" w:cs="Times New Roman"/>
                <w:b w:val="0"/>
                <w:bCs w:val="0"/>
                <w:sz w:val="24"/>
                <w:szCs w:val="24"/>
              </w:rPr>
              <w:lastRenderedPageBreak/>
              <w:t>Chen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[13]</w:t>
            </w:r>
          </w:p>
        </w:tc>
        <w:tc>
          <w:tcPr>
            <w:tcW w:w="429" w:type="pct"/>
            <w:vAlign w:val="center"/>
          </w:tcPr>
          <w:p w14:paraId="477E0127"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11</w:t>
            </w:r>
          </w:p>
        </w:tc>
        <w:tc>
          <w:tcPr>
            <w:tcW w:w="464" w:type="pct"/>
            <w:vAlign w:val="center"/>
          </w:tcPr>
          <w:p w14:paraId="47FF124E"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403" w:type="pct"/>
            <w:vAlign w:val="center"/>
          </w:tcPr>
          <w:p w14:paraId="1F6E0BB6"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620</w:t>
            </w:r>
          </w:p>
        </w:tc>
        <w:tc>
          <w:tcPr>
            <w:tcW w:w="391" w:type="pct"/>
            <w:vAlign w:val="center"/>
          </w:tcPr>
          <w:p w14:paraId="5BC402A2"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160</w:t>
            </w:r>
          </w:p>
        </w:tc>
        <w:tc>
          <w:tcPr>
            <w:tcW w:w="424" w:type="pct"/>
            <w:vAlign w:val="center"/>
          </w:tcPr>
          <w:p w14:paraId="09A5DF91"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Logistic regression</w:t>
            </w:r>
          </w:p>
        </w:tc>
        <w:tc>
          <w:tcPr>
            <w:tcW w:w="427" w:type="pct"/>
            <w:vAlign w:val="center"/>
          </w:tcPr>
          <w:p w14:paraId="3B7E6191"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Random split internal validation</w:t>
            </w:r>
          </w:p>
        </w:tc>
        <w:tc>
          <w:tcPr>
            <w:tcW w:w="463" w:type="pct"/>
            <w:vAlign w:val="center"/>
          </w:tcPr>
          <w:p w14:paraId="7A71D1BD"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509" w:type="pct"/>
            <w:vAlign w:val="center"/>
          </w:tcPr>
          <w:p w14:paraId="7B88263C"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0.78</w:t>
            </w:r>
          </w:p>
        </w:tc>
        <w:tc>
          <w:tcPr>
            <w:tcW w:w="427" w:type="pct"/>
            <w:vAlign w:val="center"/>
          </w:tcPr>
          <w:p w14:paraId="312FBF43"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643" w:type="pct"/>
            <w:vAlign w:val="center"/>
          </w:tcPr>
          <w:p w14:paraId="0FC943BC"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Age, APACHE-II score, coma, emergency surgery, mechanical ventilation, multiple trauma, metabolic acidosis, hypertension history, delirium history, dementia history, dexmedetomidine use</w:t>
            </w:r>
          </w:p>
        </w:tc>
      </w:tr>
      <w:tr w:rsidR="009076EE" w14:paraId="2E846B44" w14:textId="77777777" w:rsidTr="009076EE">
        <w:trPr>
          <w:jc w:val="center"/>
        </w:trPr>
        <w:tc>
          <w:tcPr>
            <w:cnfStyle w:val="001000000000" w:firstRow="0" w:lastRow="0" w:firstColumn="1" w:lastColumn="0" w:oddVBand="0" w:evenVBand="0" w:oddHBand="0" w:evenHBand="0" w:firstRowFirstColumn="0" w:firstRowLastColumn="0" w:lastRowFirstColumn="0" w:lastRowLastColumn="0"/>
            <w:tcW w:w="416" w:type="pct"/>
            <w:vAlign w:val="center"/>
          </w:tcPr>
          <w:p w14:paraId="05155F06" w14:textId="2CBE99A6" w:rsidR="009076EE" w:rsidRPr="00113A51" w:rsidRDefault="00000000" w:rsidP="00943A1B">
            <w:pPr>
              <w:keepNext/>
              <w:snapToGrid w:val="0"/>
              <w:jc w:val="center"/>
              <w:rPr>
                <w:rFonts w:ascii="Times New Roman" w:hAnsi="Times New Roman" w:cs="Times New Roman"/>
                <w:sz w:val="24"/>
                <w:szCs w:val="24"/>
              </w:rPr>
            </w:pPr>
            <w:r w:rsidRPr="00113A51">
              <w:rPr>
                <w:rFonts w:ascii="Times New Roman" w:hAnsi="Times New Roman" w:cs="Times New Roman"/>
                <w:b w:val="0"/>
                <w:bCs w:val="0"/>
                <w:sz w:val="24"/>
                <w:szCs w:val="24"/>
              </w:rPr>
              <w:t>Boogaard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[12]</w:t>
            </w:r>
          </w:p>
        </w:tc>
        <w:tc>
          <w:tcPr>
            <w:tcW w:w="429" w:type="pct"/>
            <w:vAlign w:val="center"/>
          </w:tcPr>
          <w:p w14:paraId="1FEB262C"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25</w:t>
            </w:r>
          </w:p>
        </w:tc>
        <w:tc>
          <w:tcPr>
            <w:tcW w:w="464" w:type="pct"/>
            <w:vAlign w:val="center"/>
          </w:tcPr>
          <w:p w14:paraId="1B243A48"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Partially categorical</w:t>
            </w:r>
          </w:p>
        </w:tc>
        <w:tc>
          <w:tcPr>
            <w:tcW w:w="403" w:type="pct"/>
            <w:vAlign w:val="center"/>
          </w:tcPr>
          <w:p w14:paraId="57DC9CE5"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1,613</w:t>
            </w:r>
          </w:p>
        </w:tc>
        <w:tc>
          <w:tcPr>
            <w:tcW w:w="391" w:type="pct"/>
            <w:vAlign w:val="center"/>
          </w:tcPr>
          <w:p w14:paraId="457BD4A2"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411</w:t>
            </w:r>
          </w:p>
        </w:tc>
        <w:tc>
          <w:tcPr>
            <w:tcW w:w="424" w:type="pct"/>
            <w:vAlign w:val="center"/>
          </w:tcPr>
          <w:p w14:paraId="3A9923B8"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Logistic regression</w:t>
            </w:r>
          </w:p>
        </w:tc>
        <w:tc>
          <w:tcPr>
            <w:tcW w:w="427" w:type="pct"/>
            <w:vAlign w:val="center"/>
          </w:tcPr>
          <w:p w14:paraId="1FFC0DA8"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External validation</w:t>
            </w:r>
          </w:p>
        </w:tc>
        <w:tc>
          <w:tcPr>
            <w:tcW w:w="463" w:type="pct"/>
            <w:vAlign w:val="center"/>
          </w:tcPr>
          <w:p w14:paraId="23A4A845"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Calibration curve</w:t>
            </w:r>
          </w:p>
        </w:tc>
        <w:tc>
          <w:tcPr>
            <w:tcW w:w="509" w:type="pct"/>
            <w:vAlign w:val="center"/>
          </w:tcPr>
          <w:p w14:paraId="7ED8286B"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0.87</w:t>
            </w:r>
          </w:p>
        </w:tc>
        <w:tc>
          <w:tcPr>
            <w:tcW w:w="427" w:type="pct"/>
            <w:vAlign w:val="center"/>
          </w:tcPr>
          <w:p w14:paraId="45938A68"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0.84</w:t>
            </w:r>
          </w:p>
        </w:tc>
        <w:tc>
          <w:tcPr>
            <w:tcW w:w="643" w:type="pct"/>
            <w:vAlign w:val="center"/>
          </w:tcPr>
          <w:p w14:paraId="4831833C"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Age, APACHE-II score, coma, admission category, infection, metabolic acidosis, morphine use, sedative use, urea concentration, emergency admission</w:t>
            </w:r>
          </w:p>
        </w:tc>
      </w:tr>
      <w:tr w:rsidR="009076EE" w14:paraId="066D3AB7" w14:textId="77777777" w:rsidTr="009076EE">
        <w:trPr>
          <w:jc w:val="center"/>
        </w:trPr>
        <w:tc>
          <w:tcPr>
            <w:cnfStyle w:val="001000000000" w:firstRow="0" w:lastRow="0" w:firstColumn="1" w:lastColumn="0" w:oddVBand="0" w:evenVBand="0" w:oddHBand="0" w:evenHBand="0" w:firstRowFirstColumn="0" w:firstRowLastColumn="0" w:lastRowFirstColumn="0" w:lastRowLastColumn="0"/>
            <w:tcW w:w="416" w:type="pct"/>
            <w:vAlign w:val="center"/>
          </w:tcPr>
          <w:p w14:paraId="2913DAB5" w14:textId="2CA59FC9" w:rsidR="009076EE" w:rsidRPr="00113A51" w:rsidRDefault="00000000" w:rsidP="00943A1B">
            <w:pPr>
              <w:keepNext/>
              <w:snapToGrid w:val="0"/>
              <w:jc w:val="center"/>
              <w:rPr>
                <w:rFonts w:ascii="Times New Roman" w:hAnsi="Times New Roman" w:cs="Times New Roman"/>
                <w:sz w:val="24"/>
                <w:szCs w:val="24"/>
              </w:rPr>
            </w:pPr>
            <w:r w:rsidRPr="00113A51">
              <w:rPr>
                <w:rFonts w:ascii="Times New Roman" w:hAnsi="Times New Roman" w:cs="Times New Roman"/>
                <w:b w:val="0"/>
                <w:bCs w:val="0"/>
                <w:sz w:val="24"/>
                <w:szCs w:val="24"/>
              </w:rPr>
              <w:lastRenderedPageBreak/>
              <w:t>Moon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[10]</w:t>
            </w:r>
          </w:p>
        </w:tc>
        <w:tc>
          <w:tcPr>
            <w:tcW w:w="429" w:type="pct"/>
            <w:vAlign w:val="center"/>
          </w:tcPr>
          <w:p w14:paraId="79BA24C5"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4,211</w:t>
            </w:r>
          </w:p>
        </w:tc>
        <w:tc>
          <w:tcPr>
            <w:tcW w:w="464" w:type="pct"/>
            <w:vAlign w:val="center"/>
          </w:tcPr>
          <w:p w14:paraId="7521A3A8"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Kept continuous</w:t>
            </w:r>
          </w:p>
        </w:tc>
        <w:tc>
          <w:tcPr>
            <w:tcW w:w="403" w:type="pct"/>
            <w:vAlign w:val="center"/>
          </w:tcPr>
          <w:p w14:paraId="26905B3E"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3,284</w:t>
            </w:r>
          </w:p>
        </w:tc>
        <w:tc>
          <w:tcPr>
            <w:tcW w:w="391" w:type="pct"/>
            <w:vAlign w:val="center"/>
          </w:tcPr>
          <w:p w14:paraId="0B093311"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688</w:t>
            </w:r>
          </w:p>
        </w:tc>
        <w:tc>
          <w:tcPr>
            <w:tcW w:w="424" w:type="pct"/>
            <w:vAlign w:val="center"/>
          </w:tcPr>
          <w:p w14:paraId="7AF8C8F9"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Logistic regression</w:t>
            </w:r>
          </w:p>
        </w:tc>
        <w:tc>
          <w:tcPr>
            <w:tcW w:w="427" w:type="pct"/>
            <w:vAlign w:val="center"/>
          </w:tcPr>
          <w:p w14:paraId="3542E255"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Random split internal validation, External validation</w:t>
            </w:r>
          </w:p>
        </w:tc>
        <w:tc>
          <w:tcPr>
            <w:tcW w:w="463" w:type="pct"/>
            <w:vAlign w:val="center"/>
          </w:tcPr>
          <w:p w14:paraId="61F1A3AE"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509" w:type="pct"/>
            <w:vAlign w:val="center"/>
          </w:tcPr>
          <w:p w14:paraId="0E212B06"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0.89</w:t>
            </w:r>
          </w:p>
        </w:tc>
        <w:tc>
          <w:tcPr>
            <w:tcW w:w="427" w:type="pct"/>
            <w:vAlign w:val="center"/>
          </w:tcPr>
          <w:p w14:paraId="297C2C5E"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0.72</w:t>
            </w:r>
          </w:p>
        </w:tc>
        <w:tc>
          <w:tcPr>
            <w:tcW w:w="643" w:type="pct"/>
            <w:vAlign w:val="center"/>
          </w:tcPr>
          <w:p w14:paraId="1BBEEBEA"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Age, education years, LOC score, pulse, activity level, internal medicine, BUN, infection, number of catheters, restraint, psychotropic drugs</w:t>
            </w:r>
          </w:p>
        </w:tc>
      </w:tr>
      <w:tr w:rsidR="009076EE" w14:paraId="2A54BB4F" w14:textId="77777777" w:rsidTr="009076EE">
        <w:trPr>
          <w:jc w:val="center"/>
        </w:trPr>
        <w:tc>
          <w:tcPr>
            <w:cnfStyle w:val="001000000000" w:firstRow="0" w:lastRow="0" w:firstColumn="1" w:lastColumn="0" w:oddVBand="0" w:evenVBand="0" w:oddHBand="0" w:evenHBand="0" w:firstRowFirstColumn="0" w:firstRowLastColumn="0" w:lastRowFirstColumn="0" w:lastRowLastColumn="0"/>
            <w:tcW w:w="416" w:type="pct"/>
            <w:vAlign w:val="center"/>
          </w:tcPr>
          <w:p w14:paraId="277235A1" w14:textId="0BDB6E3E" w:rsidR="009076EE" w:rsidRPr="00113A51" w:rsidRDefault="00000000" w:rsidP="00943A1B">
            <w:pPr>
              <w:keepNext/>
              <w:snapToGrid w:val="0"/>
              <w:jc w:val="center"/>
              <w:rPr>
                <w:rFonts w:ascii="Times New Roman" w:hAnsi="Times New Roman" w:cs="Times New Roman"/>
                <w:sz w:val="24"/>
                <w:szCs w:val="24"/>
              </w:rPr>
            </w:pPr>
            <w:r w:rsidRPr="00113A51">
              <w:rPr>
                <w:rFonts w:ascii="Times New Roman" w:hAnsi="Times New Roman" w:cs="Times New Roman"/>
                <w:b w:val="0"/>
                <w:bCs w:val="0"/>
                <w:sz w:val="24"/>
                <w:szCs w:val="24"/>
              </w:rPr>
              <w:t>Chen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[8]</w:t>
            </w:r>
          </w:p>
        </w:tc>
        <w:tc>
          <w:tcPr>
            <w:tcW w:w="429" w:type="pct"/>
            <w:vAlign w:val="center"/>
          </w:tcPr>
          <w:p w14:paraId="63802F56"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464" w:type="pct"/>
            <w:vAlign w:val="center"/>
          </w:tcPr>
          <w:p w14:paraId="47A4EBE1"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Partially continuous</w:t>
            </w:r>
          </w:p>
        </w:tc>
        <w:tc>
          <w:tcPr>
            <w:tcW w:w="403" w:type="pct"/>
            <w:vAlign w:val="center"/>
          </w:tcPr>
          <w:p w14:paraId="1CF9F753"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964</w:t>
            </w:r>
          </w:p>
        </w:tc>
        <w:tc>
          <w:tcPr>
            <w:tcW w:w="391" w:type="pct"/>
            <w:vAlign w:val="center"/>
          </w:tcPr>
          <w:p w14:paraId="3C91E3CC"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186</w:t>
            </w:r>
          </w:p>
        </w:tc>
        <w:tc>
          <w:tcPr>
            <w:tcW w:w="424" w:type="pct"/>
            <w:vAlign w:val="center"/>
          </w:tcPr>
          <w:p w14:paraId="43DCEF3D"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Logistic regression</w:t>
            </w:r>
          </w:p>
        </w:tc>
        <w:tc>
          <w:tcPr>
            <w:tcW w:w="427" w:type="pct"/>
            <w:vAlign w:val="center"/>
          </w:tcPr>
          <w:p w14:paraId="0DD2C0BE"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Random split internal validation</w:t>
            </w:r>
          </w:p>
        </w:tc>
        <w:tc>
          <w:tcPr>
            <w:tcW w:w="463" w:type="pct"/>
            <w:vAlign w:val="center"/>
          </w:tcPr>
          <w:p w14:paraId="6938FABC"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Calibration curve</w:t>
            </w:r>
          </w:p>
        </w:tc>
        <w:tc>
          <w:tcPr>
            <w:tcW w:w="509" w:type="pct"/>
            <w:vAlign w:val="center"/>
          </w:tcPr>
          <w:p w14:paraId="49F7E39A"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0.732</w:t>
            </w:r>
          </w:p>
        </w:tc>
        <w:tc>
          <w:tcPr>
            <w:tcW w:w="427" w:type="pct"/>
            <w:vAlign w:val="center"/>
          </w:tcPr>
          <w:p w14:paraId="45E3549A"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643" w:type="pct"/>
            <w:vAlign w:val="center"/>
          </w:tcPr>
          <w:p w14:paraId="3D3160A0"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Drug abuse, alcohol abuse, male, maximum potassium, minimum chloride, hospital days, maximum BUN, minimum hematocrit</w:t>
            </w:r>
          </w:p>
        </w:tc>
      </w:tr>
      <w:tr w:rsidR="009076EE" w14:paraId="7F4F9A18" w14:textId="77777777" w:rsidTr="009076EE">
        <w:trPr>
          <w:jc w:val="center"/>
        </w:trPr>
        <w:tc>
          <w:tcPr>
            <w:cnfStyle w:val="001000000000" w:firstRow="0" w:lastRow="0" w:firstColumn="1" w:lastColumn="0" w:oddVBand="0" w:evenVBand="0" w:oddHBand="0" w:evenHBand="0" w:firstRowFirstColumn="0" w:firstRowLastColumn="0" w:lastRowFirstColumn="0" w:lastRowLastColumn="0"/>
            <w:tcW w:w="416" w:type="pct"/>
            <w:vAlign w:val="center"/>
          </w:tcPr>
          <w:p w14:paraId="0FA28FBB" w14:textId="01787C6B" w:rsidR="009076EE" w:rsidRPr="00113A51" w:rsidRDefault="00000000" w:rsidP="00943A1B">
            <w:pPr>
              <w:keepNext/>
              <w:snapToGrid w:val="0"/>
              <w:jc w:val="center"/>
              <w:rPr>
                <w:rFonts w:ascii="Times New Roman" w:hAnsi="Times New Roman" w:cs="Times New Roman"/>
                <w:sz w:val="24"/>
                <w:szCs w:val="24"/>
              </w:rPr>
            </w:pPr>
            <w:r w:rsidRPr="00113A51">
              <w:rPr>
                <w:rFonts w:ascii="Times New Roman" w:hAnsi="Times New Roman" w:cs="Times New Roman"/>
                <w:b w:val="0"/>
                <w:bCs w:val="0"/>
                <w:sz w:val="24"/>
                <w:szCs w:val="24"/>
              </w:rPr>
              <w:lastRenderedPageBreak/>
              <w:t>Cherak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[11]</w:t>
            </w:r>
          </w:p>
        </w:tc>
        <w:tc>
          <w:tcPr>
            <w:tcW w:w="429" w:type="pct"/>
            <w:vAlign w:val="center"/>
          </w:tcPr>
          <w:p w14:paraId="6A70BE17"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10</w:t>
            </w:r>
          </w:p>
        </w:tc>
        <w:tc>
          <w:tcPr>
            <w:tcW w:w="464" w:type="pct"/>
            <w:vAlign w:val="center"/>
          </w:tcPr>
          <w:p w14:paraId="02396B4D"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Partially converted to categorical</w:t>
            </w:r>
          </w:p>
        </w:tc>
        <w:tc>
          <w:tcPr>
            <w:tcW w:w="403" w:type="pct"/>
            <w:vAlign w:val="center"/>
          </w:tcPr>
          <w:p w14:paraId="6FD60E82"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8,878</w:t>
            </w:r>
          </w:p>
        </w:tc>
        <w:tc>
          <w:tcPr>
            <w:tcW w:w="391" w:type="pct"/>
            <w:vAlign w:val="center"/>
          </w:tcPr>
          <w:p w14:paraId="01F79183"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4,431</w:t>
            </w:r>
          </w:p>
        </w:tc>
        <w:tc>
          <w:tcPr>
            <w:tcW w:w="424" w:type="pct"/>
            <w:vAlign w:val="center"/>
          </w:tcPr>
          <w:p w14:paraId="1195F196"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Logistic regression</w:t>
            </w:r>
          </w:p>
        </w:tc>
        <w:tc>
          <w:tcPr>
            <w:tcW w:w="427" w:type="pct"/>
            <w:vAlign w:val="center"/>
          </w:tcPr>
          <w:p w14:paraId="4061B44D"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Ten-fold cross-validation</w:t>
            </w:r>
          </w:p>
        </w:tc>
        <w:tc>
          <w:tcPr>
            <w:tcW w:w="463" w:type="pct"/>
            <w:vAlign w:val="center"/>
          </w:tcPr>
          <w:p w14:paraId="7F4ED046"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509" w:type="pct"/>
            <w:vAlign w:val="center"/>
          </w:tcPr>
          <w:p w14:paraId="0D9919A0"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0.76</w:t>
            </w:r>
          </w:p>
        </w:tc>
        <w:tc>
          <w:tcPr>
            <w:tcW w:w="427" w:type="pct"/>
            <w:vAlign w:val="center"/>
          </w:tcPr>
          <w:p w14:paraId="4578BCE8"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0.67-0.78</w:t>
            </w:r>
          </w:p>
        </w:tc>
        <w:tc>
          <w:tcPr>
            <w:tcW w:w="643" w:type="pct"/>
            <w:vAlign w:val="center"/>
          </w:tcPr>
          <w:p w14:paraId="43F3E972"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Age, sex, APACHE II, GCS, SOFA, Charlson index, vasoactive drugs, neuropsychiatric history, CRRT, mechanical ventilation</w:t>
            </w:r>
          </w:p>
        </w:tc>
      </w:tr>
      <w:tr w:rsidR="009076EE" w14:paraId="5B2229D4" w14:textId="77777777" w:rsidTr="009076EE">
        <w:trPr>
          <w:jc w:val="center"/>
        </w:trPr>
        <w:tc>
          <w:tcPr>
            <w:cnfStyle w:val="001000000000" w:firstRow="0" w:lastRow="0" w:firstColumn="1" w:lastColumn="0" w:oddVBand="0" w:evenVBand="0" w:oddHBand="0" w:evenHBand="0" w:firstRowFirstColumn="0" w:firstRowLastColumn="0" w:lastRowFirstColumn="0" w:lastRowLastColumn="0"/>
            <w:tcW w:w="416" w:type="pct"/>
            <w:vAlign w:val="center"/>
          </w:tcPr>
          <w:p w14:paraId="2BD78933" w14:textId="6EFF55E7" w:rsidR="009076EE" w:rsidRPr="00113A51" w:rsidRDefault="00000000" w:rsidP="00943A1B">
            <w:pPr>
              <w:keepNext/>
              <w:snapToGrid w:val="0"/>
              <w:jc w:val="center"/>
              <w:rPr>
                <w:rFonts w:ascii="Times New Roman" w:hAnsi="Times New Roman" w:cs="Times New Roman"/>
                <w:sz w:val="24"/>
                <w:szCs w:val="24"/>
              </w:rPr>
            </w:pPr>
            <w:r w:rsidRPr="00113A51">
              <w:rPr>
                <w:rFonts w:ascii="Times New Roman" w:hAnsi="Times New Roman" w:cs="Times New Roman"/>
                <w:b w:val="0"/>
                <w:bCs w:val="0"/>
                <w:sz w:val="24"/>
                <w:szCs w:val="24"/>
              </w:rPr>
              <w:t>Fan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[9]</w:t>
            </w:r>
          </w:p>
        </w:tc>
        <w:tc>
          <w:tcPr>
            <w:tcW w:w="429" w:type="pct"/>
            <w:vAlign w:val="center"/>
          </w:tcPr>
          <w:p w14:paraId="06B73462"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7</w:t>
            </w:r>
          </w:p>
        </w:tc>
        <w:tc>
          <w:tcPr>
            <w:tcW w:w="464" w:type="pct"/>
            <w:vAlign w:val="center"/>
          </w:tcPr>
          <w:p w14:paraId="3D6158B0"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Partially converted to categorical</w:t>
            </w:r>
          </w:p>
        </w:tc>
        <w:tc>
          <w:tcPr>
            <w:tcW w:w="403" w:type="pct"/>
            <w:vAlign w:val="center"/>
          </w:tcPr>
          <w:p w14:paraId="5A941D8B"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336</w:t>
            </w:r>
          </w:p>
        </w:tc>
        <w:tc>
          <w:tcPr>
            <w:tcW w:w="391" w:type="pct"/>
            <w:vAlign w:val="center"/>
          </w:tcPr>
          <w:p w14:paraId="7F3E53E1"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68</w:t>
            </w:r>
          </w:p>
        </w:tc>
        <w:tc>
          <w:tcPr>
            <w:tcW w:w="424" w:type="pct"/>
            <w:vAlign w:val="center"/>
          </w:tcPr>
          <w:p w14:paraId="1524DEA5"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Logistic regression</w:t>
            </w:r>
          </w:p>
        </w:tc>
        <w:tc>
          <w:tcPr>
            <w:tcW w:w="427" w:type="pct"/>
            <w:vAlign w:val="center"/>
          </w:tcPr>
          <w:p w14:paraId="427E15D1"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Bootstrap internal validation, Random split internal validation</w:t>
            </w:r>
          </w:p>
        </w:tc>
        <w:tc>
          <w:tcPr>
            <w:tcW w:w="463" w:type="pct"/>
            <w:vAlign w:val="center"/>
          </w:tcPr>
          <w:p w14:paraId="7A17BD67"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H-L goodness-of-fit test</w:t>
            </w:r>
          </w:p>
        </w:tc>
        <w:tc>
          <w:tcPr>
            <w:tcW w:w="509" w:type="pct"/>
            <w:vAlign w:val="center"/>
          </w:tcPr>
          <w:p w14:paraId="7BCA0762"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0.907</w:t>
            </w:r>
          </w:p>
        </w:tc>
        <w:tc>
          <w:tcPr>
            <w:tcW w:w="427" w:type="pct"/>
            <w:vAlign w:val="center"/>
          </w:tcPr>
          <w:p w14:paraId="108A3B42"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0.9</w:t>
            </w:r>
          </w:p>
        </w:tc>
        <w:tc>
          <w:tcPr>
            <w:tcW w:w="643" w:type="pct"/>
            <w:vAlign w:val="center"/>
          </w:tcPr>
          <w:p w14:paraId="221001CF"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Chronic disease history, hearing impairment, infection, APACHE II &gt;7.5, sedation/analgesia, catheterization, sleep disorder</w:t>
            </w:r>
          </w:p>
        </w:tc>
      </w:tr>
      <w:tr w:rsidR="009076EE" w14:paraId="4332110A" w14:textId="77777777" w:rsidTr="009076EE">
        <w:trPr>
          <w:jc w:val="center"/>
        </w:trPr>
        <w:tc>
          <w:tcPr>
            <w:cnfStyle w:val="001000000000" w:firstRow="0" w:lastRow="0" w:firstColumn="1" w:lastColumn="0" w:oddVBand="0" w:evenVBand="0" w:oddHBand="0" w:evenHBand="0" w:firstRowFirstColumn="0" w:firstRowLastColumn="0" w:lastRowFirstColumn="0" w:lastRowLastColumn="0"/>
            <w:tcW w:w="416" w:type="pct"/>
            <w:vAlign w:val="center"/>
          </w:tcPr>
          <w:p w14:paraId="48AB9CBB" w14:textId="1BD539FA" w:rsidR="009076EE" w:rsidRPr="00113A51" w:rsidRDefault="00000000" w:rsidP="00943A1B">
            <w:pPr>
              <w:keepNext/>
              <w:snapToGrid w:val="0"/>
              <w:jc w:val="center"/>
              <w:rPr>
                <w:rFonts w:ascii="Times New Roman" w:hAnsi="Times New Roman" w:cs="Times New Roman"/>
                <w:sz w:val="24"/>
                <w:szCs w:val="24"/>
              </w:rPr>
            </w:pPr>
            <w:r w:rsidRPr="00113A51">
              <w:rPr>
                <w:rFonts w:ascii="Times New Roman" w:hAnsi="Times New Roman" w:cs="Times New Roman"/>
                <w:b w:val="0"/>
                <w:bCs w:val="0"/>
                <w:sz w:val="24"/>
                <w:szCs w:val="24"/>
              </w:rPr>
              <w:t>Sosa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[7]</w:t>
            </w:r>
          </w:p>
        </w:tc>
        <w:tc>
          <w:tcPr>
            <w:tcW w:w="429" w:type="pct"/>
            <w:vAlign w:val="center"/>
          </w:tcPr>
          <w:p w14:paraId="7AA88F4A"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10</w:t>
            </w:r>
          </w:p>
        </w:tc>
        <w:tc>
          <w:tcPr>
            <w:tcW w:w="464" w:type="pct"/>
            <w:vAlign w:val="center"/>
          </w:tcPr>
          <w:p w14:paraId="2F8E1686"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Kept continuous</w:t>
            </w:r>
          </w:p>
        </w:tc>
        <w:tc>
          <w:tcPr>
            <w:tcW w:w="403" w:type="pct"/>
            <w:vAlign w:val="center"/>
          </w:tcPr>
          <w:p w14:paraId="7902EA45"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178</w:t>
            </w:r>
          </w:p>
        </w:tc>
        <w:tc>
          <w:tcPr>
            <w:tcW w:w="391" w:type="pct"/>
            <w:vAlign w:val="center"/>
          </w:tcPr>
          <w:p w14:paraId="7FE23FDD"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49</w:t>
            </w:r>
          </w:p>
        </w:tc>
        <w:tc>
          <w:tcPr>
            <w:tcW w:w="424" w:type="pct"/>
            <w:vAlign w:val="center"/>
          </w:tcPr>
          <w:p w14:paraId="25B90995"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Logistic regression</w:t>
            </w:r>
          </w:p>
        </w:tc>
        <w:tc>
          <w:tcPr>
            <w:tcW w:w="427" w:type="pct"/>
            <w:vAlign w:val="center"/>
          </w:tcPr>
          <w:p w14:paraId="46B15C31"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External validation</w:t>
            </w:r>
          </w:p>
        </w:tc>
        <w:tc>
          <w:tcPr>
            <w:tcW w:w="463" w:type="pct"/>
            <w:vAlign w:val="center"/>
          </w:tcPr>
          <w:p w14:paraId="1D2A8D15"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509" w:type="pct"/>
            <w:vAlign w:val="center"/>
          </w:tcPr>
          <w:p w14:paraId="04732AD6"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w:t>
            </w:r>
          </w:p>
        </w:tc>
        <w:tc>
          <w:tcPr>
            <w:tcW w:w="427" w:type="pct"/>
            <w:vAlign w:val="center"/>
          </w:tcPr>
          <w:p w14:paraId="513EFCCD"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0.83</w:t>
            </w:r>
          </w:p>
        </w:tc>
        <w:tc>
          <w:tcPr>
            <w:tcW w:w="643" w:type="pct"/>
            <w:vAlign w:val="center"/>
          </w:tcPr>
          <w:p w14:paraId="787532FD" w14:textId="77777777" w:rsidR="009076EE" w:rsidRPr="00113A51" w:rsidRDefault="00000000" w:rsidP="00943A1B">
            <w:pPr>
              <w:keepNext/>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Age, APACHE II score, coma, emergency admission, admission category, infection, sedative use, morphine use, urea level, metabolic acidosis</w:t>
            </w:r>
          </w:p>
        </w:tc>
      </w:tr>
    </w:tbl>
    <w:p w14:paraId="72C493A8" w14:textId="77777777" w:rsidR="009076EE" w:rsidRDefault="009076EE" w:rsidP="00113A51">
      <w:pPr>
        <w:snapToGrid w:val="0"/>
        <w:rPr>
          <w:rFonts w:ascii="Times New Roman" w:hAnsi="Times New Roman" w:cs="Times New Roman"/>
          <w:b/>
          <w:bCs/>
          <w:sz w:val="24"/>
          <w:szCs w:val="24"/>
        </w:rPr>
      </w:pPr>
    </w:p>
    <w:p w14:paraId="7A618ADD"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3.5</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Model </w:t>
      </w:r>
      <w:r>
        <w:rPr>
          <w:rFonts w:ascii="Times New Roman" w:hAnsi="Times New Roman" w:cs="Times New Roman" w:hint="eastAsia"/>
          <w:b/>
          <w:bCs/>
          <w:sz w:val="24"/>
          <w:szCs w:val="24"/>
        </w:rPr>
        <w:t>q</w:t>
      </w:r>
      <w:r>
        <w:rPr>
          <w:rFonts w:ascii="Times New Roman" w:hAnsi="Times New Roman" w:cs="Times New Roman"/>
          <w:b/>
          <w:bCs/>
          <w:sz w:val="24"/>
          <w:szCs w:val="24"/>
        </w:rPr>
        <w:t xml:space="preserve">uality </w:t>
      </w:r>
      <w:r>
        <w:rPr>
          <w:rFonts w:ascii="Times New Roman" w:hAnsi="Times New Roman" w:cs="Times New Roman" w:hint="eastAsia"/>
          <w:b/>
          <w:bCs/>
          <w:sz w:val="24"/>
          <w:szCs w:val="24"/>
        </w:rPr>
        <w:t>a</w:t>
      </w:r>
      <w:r>
        <w:rPr>
          <w:rFonts w:ascii="Times New Roman" w:hAnsi="Times New Roman" w:cs="Times New Roman"/>
          <w:b/>
          <w:bCs/>
          <w:sz w:val="24"/>
          <w:szCs w:val="24"/>
        </w:rPr>
        <w:t>ssessment</w:t>
      </w:r>
    </w:p>
    <w:p w14:paraId="0B1943CA" w14:textId="1E2BE33A" w:rsidR="009076EE" w:rsidRDefault="00000000" w:rsidP="00113A51">
      <w:pPr>
        <w:snapToGrid w:val="0"/>
        <w:rPr>
          <w:rFonts w:ascii="Times New Roman" w:hAnsi="Times New Roman" w:cs="Times New Roman"/>
          <w:sz w:val="24"/>
          <w:szCs w:val="24"/>
        </w:rPr>
      </w:pPr>
      <w:r>
        <w:rPr>
          <w:rFonts w:ascii="Times New Roman" w:hAnsi="Times New Roman" w:cs="Times New Roman"/>
          <w:sz w:val="24"/>
          <w:szCs w:val="24"/>
        </w:rPr>
        <w:t xml:space="preserve">PROBAST was used to evaluate prediction model studies. Regarding participants, 8 studies were rated as </w:t>
      </w:r>
      <w:r w:rsidR="00943A1B">
        <w:rPr>
          <w:rFonts w:ascii="Times New Roman" w:hAnsi="Times New Roman" w:cs="Times New Roman"/>
          <w:sz w:val="24"/>
          <w:szCs w:val="24"/>
        </w:rPr>
        <w:t>“</w:t>
      </w:r>
      <w:r>
        <w:rPr>
          <w:rFonts w:ascii="Times New Roman" w:hAnsi="Times New Roman" w:cs="Times New Roman"/>
          <w:sz w:val="24"/>
          <w:szCs w:val="24"/>
        </w:rPr>
        <w:t>high risk</w:t>
      </w:r>
      <w:r w:rsidR="00943A1B">
        <w:rPr>
          <w:rFonts w:ascii="Times New Roman" w:hAnsi="Times New Roman" w:cs="Times New Roman"/>
          <w:sz w:val="24"/>
          <w:szCs w:val="24"/>
        </w:rPr>
        <w:t>”</w:t>
      </w:r>
      <w:r w:rsidR="00943A1B">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because 2 studies excluded patients with </w:t>
      </w:r>
      <w:r w:rsidR="00943A1B">
        <w:rPr>
          <w:rFonts w:ascii="Times New Roman" w:hAnsi="Times New Roman" w:cs="Times New Roman"/>
          <w:sz w:val="24"/>
          <w:szCs w:val="24"/>
        </w:rPr>
        <w:t>“</w:t>
      </w:r>
      <w:r>
        <w:rPr>
          <w:rFonts w:ascii="Times New Roman" w:hAnsi="Times New Roman" w:cs="Times New Roman"/>
          <w:sz w:val="24"/>
          <w:szCs w:val="24"/>
        </w:rPr>
        <w:t>Mini-Mental State Examination (MMSE) score &lt;</w:t>
      </w:r>
      <w:r w:rsidR="00943A1B">
        <w:rPr>
          <w:rFonts w:ascii="Times New Roman" w:hAnsi="Times New Roman" w:cs="Times New Roman"/>
          <w:sz w:val="24"/>
          <w:szCs w:val="24"/>
        </w:rPr>
        <w:t xml:space="preserve"> </w:t>
      </w:r>
      <w:r>
        <w:rPr>
          <w:rFonts w:ascii="Times New Roman" w:hAnsi="Times New Roman" w:cs="Times New Roman"/>
          <w:sz w:val="24"/>
          <w:szCs w:val="24"/>
        </w:rPr>
        <w:t>10 at admission</w:t>
      </w:r>
      <w:r w:rsidR="00943A1B">
        <w:rPr>
          <w:rFonts w:ascii="Times New Roman" w:hAnsi="Times New Roman" w:cs="Times New Roman"/>
          <w:sz w:val="24"/>
          <w:szCs w:val="24"/>
        </w:rPr>
        <w:t>”</w:t>
      </w:r>
      <w:r>
        <w:rPr>
          <w:rFonts w:ascii="Times New Roman" w:hAnsi="Times New Roman" w:cs="Times New Roman"/>
          <w:sz w:val="24"/>
          <w:szCs w:val="24"/>
        </w:rPr>
        <w:t>, preventing the study population from representing the target population and causing model prediction performance to be overestimated</w:t>
      </w:r>
      <w:r w:rsidR="00943A1B">
        <w:rPr>
          <w:rFonts w:ascii="Times New Roman" w:hAnsi="Times New Roman" w:cs="Times New Roman"/>
          <w:sz w:val="24"/>
          <w:szCs w:val="24"/>
        </w:rPr>
        <w:t xml:space="preserve"> </w:t>
      </w:r>
      <w:r w:rsidR="00943A1B">
        <w:rPr>
          <w:rFonts w:ascii="Times New Roman" w:hAnsi="Times New Roman" w:cs="Times New Roman"/>
          <w:sz w:val="24"/>
          <w:szCs w:val="24"/>
          <w:vertAlign w:val="superscript"/>
        </w:rPr>
        <w:t>[8,11,14,15,17,18,22,23]</w:t>
      </w:r>
      <w:r>
        <w:rPr>
          <w:rFonts w:ascii="Times New Roman" w:hAnsi="Times New Roman" w:cs="Times New Roman"/>
          <w:sz w:val="24"/>
          <w:szCs w:val="24"/>
        </w:rPr>
        <w:t xml:space="preserve">. One study excluded participants with competing events such as </w:t>
      </w:r>
      <w:r w:rsidR="00943A1B">
        <w:rPr>
          <w:rFonts w:ascii="Times New Roman" w:hAnsi="Times New Roman" w:cs="Times New Roman"/>
          <w:sz w:val="24"/>
          <w:szCs w:val="24"/>
        </w:rPr>
        <w:t>“</w:t>
      </w:r>
      <w:r>
        <w:rPr>
          <w:rFonts w:ascii="Times New Roman" w:hAnsi="Times New Roman" w:cs="Times New Roman"/>
          <w:sz w:val="24"/>
          <w:szCs w:val="24"/>
        </w:rPr>
        <w:t>postoperative death</w:t>
      </w:r>
      <w:r w:rsidR="00943A1B">
        <w:rPr>
          <w:rFonts w:ascii="Times New Roman" w:hAnsi="Times New Roman" w:cs="Times New Roman"/>
          <w:sz w:val="24"/>
          <w:szCs w:val="24"/>
        </w:rPr>
        <w:t>”</w:t>
      </w:r>
      <w:r>
        <w:rPr>
          <w:rFonts w:ascii="Times New Roman" w:hAnsi="Times New Roman" w:cs="Times New Roman"/>
          <w:sz w:val="24"/>
          <w:szCs w:val="24"/>
        </w:rPr>
        <w:t>, reducing model prediction performance</w:t>
      </w:r>
      <w:r w:rsidR="00943A1B">
        <w:rPr>
          <w:rFonts w:ascii="Times New Roman" w:hAnsi="Times New Roman" w:cs="Times New Roman"/>
          <w:sz w:val="24"/>
          <w:szCs w:val="24"/>
        </w:rPr>
        <w:t xml:space="preserve"> </w:t>
      </w:r>
      <w:r w:rsidR="00943A1B">
        <w:rPr>
          <w:rFonts w:ascii="Times New Roman" w:hAnsi="Times New Roman" w:cs="Times New Roman"/>
          <w:sz w:val="24"/>
          <w:szCs w:val="24"/>
          <w:vertAlign w:val="superscript"/>
        </w:rPr>
        <w:t>[17]</w:t>
      </w:r>
      <w:r>
        <w:rPr>
          <w:rFonts w:ascii="Times New Roman" w:hAnsi="Times New Roman" w:cs="Times New Roman"/>
          <w:sz w:val="24"/>
          <w:szCs w:val="24"/>
        </w:rPr>
        <w:t>. The remaining 5 studies</w:t>
      </w:r>
      <w:r w:rsidR="00943A1B">
        <w:rPr>
          <w:rFonts w:ascii="Times New Roman" w:hAnsi="Times New Roman" w:cs="Times New Roman"/>
          <w:sz w:val="24"/>
          <w:szCs w:val="24"/>
        </w:rPr>
        <w:t>’</w:t>
      </w:r>
      <w:r>
        <w:rPr>
          <w:rFonts w:ascii="Times New Roman" w:hAnsi="Times New Roman" w:cs="Times New Roman"/>
          <w:sz w:val="24"/>
          <w:szCs w:val="24"/>
        </w:rPr>
        <w:t xml:space="preserve"> main risk source was retrospective study design, which is more prone to selection bias and information bias during modeling and validation phases</w:t>
      </w:r>
      <w:r w:rsidR="00943A1B">
        <w:rPr>
          <w:rFonts w:ascii="Times New Roman" w:hAnsi="Times New Roman" w:cs="Times New Roman"/>
          <w:sz w:val="24"/>
          <w:szCs w:val="24"/>
        </w:rPr>
        <w:t xml:space="preserve"> </w:t>
      </w:r>
      <w:r w:rsidR="00943A1B">
        <w:rPr>
          <w:rFonts w:ascii="Times New Roman" w:hAnsi="Times New Roman" w:cs="Times New Roman"/>
          <w:sz w:val="24"/>
          <w:szCs w:val="24"/>
          <w:vertAlign w:val="superscript"/>
        </w:rPr>
        <w:t>[8,11,15,18,22]</w:t>
      </w:r>
      <w:r>
        <w:rPr>
          <w:rFonts w:ascii="Times New Roman" w:hAnsi="Times New Roman" w:cs="Times New Roman"/>
          <w:sz w:val="24"/>
          <w:szCs w:val="24"/>
        </w:rPr>
        <w:t>. Regarding predictors, 1 study</w:t>
      </w:r>
      <w:r w:rsidR="00943A1B">
        <w:rPr>
          <w:rFonts w:ascii="Times New Roman" w:hAnsi="Times New Roman" w:cs="Times New Roman"/>
          <w:sz w:val="24"/>
          <w:szCs w:val="24"/>
        </w:rPr>
        <w:t>’</w:t>
      </w:r>
      <w:r>
        <w:rPr>
          <w:rFonts w:ascii="Times New Roman" w:hAnsi="Times New Roman" w:cs="Times New Roman"/>
          <w:sz w:val="24"/>
          <w:szCs w:val="24"/>
        </w:rPr>
        <w:t xml:space="preserve">s bias risk was rated as </w:t>
      </w:r>
      <w:r w:rsidR="00943A1B">
        <w:rPr>
          <w:rFonts w:ascii="Times New Roman" w:hAnsi="Times New Roman" w:cs="Times New Roman"/>
          <w:sz w:val="24"/>
          <w:szCs w:val="24"/>
        </w:rPr>
        <w:t>“</w:t>
      </w:r>
      <w:r>
        <w:rPr>
          <w:rFonts w:ascii="Times New Roman" w:hAnsi="Times New Roman" w:cs="Times New Roman"/>
          <w:sz w:val="24"/>
          <w:szCs w:val="24"/>
        </w:rPr>
        <w:t>unclear</w:t>
      </w:r>
      <w:r w:rsidR="00943A1B">
        <w:rPr>
          <w:rFonts w:ascii="Times New Roman" w:hAnsi="Times New Roman" w:cs="Times New Roman"/>
          <w:sz w:val="24"/>
          <w:szCs w:val="24"/>
        </w:rPr>
        <w:t xml:space="preserve">” </w:t>
      </w:r>
      <w:r>
        <w:rPr>
          <w:rFonts w:ascii="Times New Roman" w:hAnsi="Times New Roman" w:cs="Times New Roman"/>
          <w:sz w:val="24"/>
          <w:szCs w:val="24"/>
        </w:rPr>
        <w:t>because the article did not clearly state whether predictor assessors were blinded to the outcome (delirium)</w:t>
      </w:r>
      <w:r w:rsidR="00943A1B">
        <w:rPr>
          <w:rFonts w:ascii="Times New Roman" w:hAnsi="Times New Roman" w:cs="Times New Roman"/>
          <w:sz w:val="24"/>
          <w:szCs w:val="24"/>
        </w:rPr>
        <w:t xml:space="preserve"> </w:t>
      </w:r>
      <w:r w:rsidR="00943A1B">
        <w:rPr>
          <w:rFonts w:ascii="Times New Roman" w:hAnsi="Times New Roman" w:cs="Times New Roman"/>
          <w:sz w:val="24"/>
          <w:szCs w:val="24"/>
          <w:vertAlign w:val="superscript"/>
        </w:rPr>
        <w:t>[16]</w:t>
      </w:r>
      <w:r>
        <w:rPr>
          <w:rFonts w:ascii="Times New Roman" w:hAnsi="Times New Roman" w:cs="Times New Roman"/>
          <w:sz w:val="24"/>
          <w:szCs w:val="24"/>
        </w:rPr>
        <w:t>. Regarding outcome, 2 studies</w:t>
      </w:r>
      <w:r w:rsidR="00943A1B">
        <w:rPr>
          <w:rFonts w:ascii="Times New Roman" w:hAnsi="Times New Roman" w:cs="Times New Roman"/>
          <w:sz w:val="24"/>
          <w:szCs w:val="24"/>
        </w:rPr>
        <w:t>’</w:t>
      </w:r>
      <w:r>
        <w:rPr>
          <w:rFonts w:ascii="Times New Roman" w:hAnsi="Times New Roman" w:cs="Times New Roman"/>
          <w:sz w:val="24"/>
          <w:szCs w:val="24"/>
        </w:rPr>
        <w:t xml:space="preserve"> bias risk was rated as </w:t>
      </w:r>
      <w:r w:rsidR="00943A1B">
        <w:rPr>
          <w:rFonts w:ascii="Times New Roman" w:hAnsi="Times New Roman" w:cs="Times New Roman"/>
          <w:sz w:val="24"/>
          <w:szCs w:val="24"/>
        </w:rPr>
        <w:t>“</w:t>
      </w:r>
      <w:r>
        <w:rPr>
          <w:rFonts w:ascii="Times New Roman" w:hAnsi="Times New Roman" w:cs="Times New Roman"/>
          <w:sz w:val="24"/>
          <w:szCs w:val="24"/>
        </w:rPr>
        <w:t>unclear</w:t>
      </w:r>
      <w:r w:rsidR="00943A1B">
        <w:rPr>
          <w:rFonts w:ascii="Times New Roman" w:hAnsi="Times New Roman" w:cs="Times New Roman"/>
          <w:sz w:val="24"/>
          <w:szCs w:val="24"/>
        </w:rPr>
        <w:t>”</w:t>
      </w:r>
      <w:r>
        <w:rPr>
          <w:rFonts w:ascii="Times New Roman" w:hAnsi="Times New Roman" w:cs="Times New Roman"/>
          <w:sz w:val="24"/>
          <w:szCs w:val="24"/>
        </w:rPr>
        <w:t xml:space="preserve">, and 10 studies were rated as </w:t>
      </w:r>
      <w:r w:rsidR="00943A1B">
        <w:rPr>
          <w:rFonts w:ascii="Times New Roman" w:hAnsi="Times New Roman" w:cs="Times New Roman"/>
          <w:sz w:val="24"/>
          <w:szCs w:val="24"/>
        </w:rPr>
        <w:t>“</w:t>
      </w:r>
      <w:r>
        <w:rPr>
          <w:rFonts w:ascii="Times New Roman" w:hAnsi="Times New Roman" w:cs="Times New Roman"/>
          <w:sz w:val="24"/>
          <w:szCs w:val="24"/>
        </w:rPr>
        <w:t>high risk</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[7,</w:t>
      </w:r>
      <w:r w:rsidR="00943A1B">
        <w:rPr>
          <w:rFonts w:ascii="Times New Roman" w:hAnsi="Times New Roman" w:cs="Times New Roman"/>
          <w:sz w:val="24"/>
          <w:szCs w:val="24"/>
          <w:vertAlign w:val="superscript"/>
        </w:rPr>
        <w:t>8–</w:t>
      </w:r>
      <w:r>
        <w:rPr>
          <w:rFonts w:ascii="Times New Roman" w:hAnsi="Times New Roman" w:cs="Times New Roman"/>
          <w:sz w:val="24"/>
          <w:szCs w:val="24"/>
          <w:vertAlign w:val="superscript"/>
        </w:rPr>
        <w:t>13,15</w:t>
      </w:r>
      <w:r w:rsidR="00943A1B">
        <w:rPr>
          <w:rFonts w:ascii="Times New Roman" w:hAnsi="Times New Roman" w:cs="Times New Roman"/>
          <w:sz w:val="24"/>
          <w:szCs w:val="24"/>
          <w:vertAlign w:val="superscript"/>
        </w:rPr>
        <w:t>–1</w:t>
      </w:r>
      <w:r>
        <w:rPr>
          <w:rFonts w:ascii="Times New Roman" w:hAnsi="Times New Roman" w:cs="Times New Roman"/>
          <w:sz w:val="24"/>
          <w:szCs w:val="24"/>
          <w:vertAlign w:val="superscript"/>
        </w:rPr>
        <w:t>8,22]</w:t>
      </w:r>
      <w:r>
        <w:rPr>
          <w:rFonts w:ascii="Times New Roman" w:hAnsi="Times New Roman" w:cs="Times New Roman"/>
          <w:sz w:val="24"/>
          <w:szCs w:val="24"/>
        </w:rPr>
        <w:t>. The main reason for high risk in most studies was using predictor information when determining outcomes; 2 studies did not report whether outcome definitions were consistent across all patients</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[7,18]</w:t>
      </w:r>
      <w:r>
        <w:rPr>
          <w:rFonts w:ascii="Times New Roman" w:hAnsi="Times New Roman" w:cs="Times New Roman"/>
          <w:sz w:val="24"/>
          <w:szCs w:val="24"/>
        </w:rPr>
        <w:t>; outcome definition standards and measurement methods were unclear in 5 studies</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[7,9,11,17,18]</w:t>
      </w:r>
      <w:r>
        <w:rPr>
          <w:rFonts w:ascii="Times New Roman" w:hAnsi="Times New Roman" w:cs="Times New Roman"/>
          <w:sz w:val="24"/>
          <w:szCs w:val="24"/>
        </w:rPr>
        <w:t>; 2 studies did not report whether outcome definition excluded predictor information</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[7,18]</w:t>
      </w:r>
      <w:r>
        <w:rPr>
          <w:rFonts w:ascii="Times New Roman" w:hAnsi="Times New Roman" w:cs="Times New Roman"/>
          <w:sz w:val="24"/>
          <w:szCs w:val="24"/>
        </w:rPr>
        <w:t>; and unreasonable time intervals existed between predictor and outcome assessment in 5 studies</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[7,9,11,17,18]</w:t>
      </w:r>
      <w:r>
        <w:rPr>
          <w:rFonts w:ascii="Times New Roman" w:hAnsi="Times New Roman" w:cs="Times New Roman"/>
          <w:sz w:val="24"/>
          <w:szCs w:val="24"/>
        </w:rPr>
        <w:t xml:space="preserve">. See </w:t>
      </w:r>
      <w:r>
        <w:rPr>
          <w:rFonts w:ascii="Times New Roman" w:hAnsi="Times New Roman" w:cs="Times New Roman"/>
          <w:b/>
          <w:bCs/>
          <w:sz w:val="24"/>
          <w:szCs w:val="24"/>
        </w:rPr>
        <w:t>Table 3</w:t>
      </w:r>
      <w:r>
        <w:rPr>
          <w:rFonts w:ascii="Times New Roman" w:hAnsi="Times New Roman" w:cs="Times New Roman"/>
          <w:sz w:val="24"/>
          <w:szCs w:val="24"/>
        </w:rPr>
        <w:t>.</w:t>
      </w:r>
    </w:p>
    <w:p w14:paraId="634A4777" w14:textId="77777777" w:rsidR="009076EE" w:rsidRDefault="009076EE" w:rsidP="00113A51">
      <w:pPr>
        <w:snapToGrid w:val="0"/>
        <w:rPr>
          <w:rFonts w:ascii="Times New Roman" w:hAnsi="Times New Roman" w:cs="Times New Roman"/>
          <w:sz w:val="24"/>
          <w:szCs w:val="24"/>
        </w:rPr>
      </w:pPr>
    </w:p>
    <w:p w14:paraId="33A48B14" w14:textId="52FC5860"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Table 3.</w:t>
      </w:r>
      <w:r>
        <w:rPr>
          <w:rFonts w:ascii="Times New Roman" w:hAnsi="Times New Roman" w:cs="Times New Roman"/>
          <w:sz w:val="24"/>
          <w:szCs w:val="24"/>
        </w:rPr>
        <w:t> Quality assessment for risk of bias and applicability concern of the models (n</w:t>
      </w:r>
      <w:r w:rsidR="00943A1B">
        <w:rPr>
          <w:rFonts w:ascii="Times New Roman" w:hAnsi="Times New Roman" w:cs="Times New Roman"/>
          <w:sz w:val="24"/>
          <w:szCs w:val="24"/>
        </w:rPr>
        <w:t xml:space="preserve"> </w:t>
      </w:r>
      <w:r>
        <w:rPr>
          <w:rFonts w:ascii="Times New Roman" w:hAnsi="Times New Roman" w:cs="Times New Roman"/>
          <w:sz w:val="24"/>
          <w:szCs w:val="24"/>
        </w:rPr>
        <w:t>=</w:t>
      </w:r>
      <w:r w:rsidR="00943A1B">
        <w:rPr>
          <w:rFonts w:ascii="Times New Roman" w:hAnsi="Times New Roman" w:cs="Times New Roman"/>
          <w:sz w:val="24"/>
          <w:szCs w:val="24"/>
        </w:rPr>
        <w:t xml:space="preserve"> </w:t>
      </w:r>
      <w:r>
        <w:rPr>
          <w:rFonts w:ascii="Times New Roman" w:hAnsi="Times New Roman" w:cs="Times New Roman"/>
          <w:sz w:val="24"/>
          <w:szCs w:val="24"/>
        </w:rPr>
        <w:t>17)</w:t>
      </w:r>
    </w:p>
    <w:tbl>
      <w:tblPr>
        <w:tblStyle w:val="ListTable6Colorful1"/>
        <w:tblW w:w="5000" w:type="pct"/>
        <w:jc w:val="center"/>
        <w:tblLayout w:type="fixed"/>
        <w:tblLook w:val="04A0" w:firstRow="1" w:lastRow="0" w:firstColumn="1" w:lastColumn="0" w:noHBand="0" w:noVBand="1"/>
      </w:tblPr>
      <w:tblGrid>
        <w:gridCol w:w="964"/>
        <w:gridCol w:w="1137"/>
        <w:gridCol w:w="995"/>
        <w:gridCol w:w="900"/>
        <w:gridCol w:w="850"/>
        <w:gridCol w:w="1137"/>
        <w:gridCol w:w="995"/>
        <w:gridCol w:w="615"/>
        <w:gridCol w:w="850"/>
        <w:gridCol w:w="1195"/>
      </w:tblGrid>
      <w:tr w:rsidR="00943A1B" w14:paraId="48AA88F9" w14:textId="77777777" w:rsidTr="00113A51">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500" w:type="pct"/>
            <w:vMerge w:val="restart"/>
            <w:vAlign w:val="center"/>
          </w:tcPr>
          <w:p w14:paraId="4A7858DB" w14:textId="77777777" w:rsidR="00943A1B" w:rsidRPr="00113A51" w:rsidRDefault="00943A1B" w:rsidP="00113A51">
            <w:pPr>
              <w:snapToGrid w:val="0"/>
              <w:jc w:val="left"/>
              <w:rPr>
                <w:rFonts w:ascii="Times New Roman" w:hAnsi="Times New Roman" w:cs="Times New Roman"/>
                <w:b w:val="0"/>
                <w:bCs w:val="0"/>
                <w:sz w:val="24"/>
                <w:szCs w:val="24"/>
              </w:rPr>
            </w:pPr>
            <w:r w:rsidRPr="00113A51">
              <w:rPr>
                <w:rFonts w:ascii="Times New Roman" w:hAnsi="Times New Roman" w:cs="Times New Roman"/>
                <w:sz w:val="24"/>
                <w:szCs w:val="24"/>
              </w:rPr>
              <w:t>Study</w:t>
            </w:r>
          </w:p>
        </w:tc>
        <w:tc>
          <w:tcPr>
            <w:tcW w:w="2014" w:type="pct"/>
            <w:gridSpan w:val="4"/>
            <w:vAlign w:val="center"/>
          </w:tcPr>
          <w:p w14:paraId="332F836F" w14:textId="11A9AF73" w:rsidR="00943A1B" w:rsidRPr="00113A51" w:rsidRDefault="00943A1B" w:rsidP="00943A1B">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13A51">
              <w:rPr>
                <w:rFonts w:ascii="Times New Roman" w:hAnsi="Times New Roman" w:cs="Times New Roman"/>
                <w:sz w:val="24"/>
                <w:szCs w:val="24"/>
              </w:rPr>
              <w:t>Risk of Bias</w:t>
            </w:r>
          </w:p>
        </w:tc>
        <w:tc>
          <w:tcPr>
            <w:tcW w:w="1425" w:type="pct"/>
            <w:gridSpan w:val="3"/>
            <w:vAlign w:val="center"/>
          </w:tcPr>
          <w:p w14:paraId="681C7DD9" w14:textId="399E5670" w:rsidR="00943A1B" w:rsidRPr="00113A51" w:rsidRDefault="00943A1B" w:rsidP="00943A1B">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13A51">
              <w:rPr>
                <w:rFonts w:ascii="Times New Roman" w:hAnsi="Times New Roman" w:cs="Times New Roman"/>
                <w:sz w:val="24"/>
                <w:szCs w:val="24"/>
              </w:rPr>
              <w:t>Applicability</w:t>
            </w:r>
          </w:p>
        </w:tc>
        <w:tc>
          <w:tcPr>
            <w:tcW w:w="1061" w:type="pct"/>
            <w:gridSpan w:val="2"/>
            <w:vAlign w:val="center"/>
          </w:tcPr>
          <w:p w14:paraId="46305E9D" w14:textId="0686EF0C" w:rsidR="00943A1B" w:rsidRPr="00113A51" w:rsidRDefault="00943A1B" w:rsidP="00943A1B">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113A51">
              <w:rPr>
                <w:rFonts w:ascii="Times New Roman" w:hAnsi="Times New Roman" w:cs="Times New Roman"/>
                <w:sz w:val="24"/>
                <w:szCs w:val="24"/>
              </w:rPr>
              <w:t>Overall Assessment</w:t>
            </w:r>
          </w:p>
        </w:tc>
      </w:tr>
      <w:tr w:rsidR="00943A1B" w14:paraId="5EE2C689" w14:textId="77777777" w:rsidTr="00113A51">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500" w:type="pct"/>
            <w:vMerge/>
            <w:vAlign w:val="center"/>
          </w:tcPr>
          <w:p w14:paraId="51558D6D" w14:textId="77777777" w:rsidR="00943A1B" w:rsidRPr="00113A51" w:rsidRDefault="00943A1B" w:rsidP="00113A51">
            <w:pPr>
              <w:snapToGrid w:val="0"/>
              <w:jc w:val="left"/>
              <w:rPr>
                <w:rFonts w:ascii="Times New Roman" w:hAnsi="Times New Roman" w:cs="Times New Roman"/>
                <w:b w:val="0"/>
                <w:sz w:val="24"/>
                <w:szCs w:val="24"/>
              </w:rPr>
            </w:pPr>
          </w:p>
        </w:tc>
        <w:tc>
          <w:tcPr>
            <w:tcW w:w="590" w:type="pct"/>
            <w:vAlign w:val="center"/>
          </w:tcPr>
          <w:p w14:paraId="5A1F67B0" w14:textId="77777777" w:rsidR="00943A1B" w:rsidRPr="00113A51" w:rsidRDefault="00943A1B" w:rsidP="00943A1B">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13A51">
              <w:rPr>
                <w:rFonts w:ascii="Times New Roman" w:hAnsi="Times New Roman" w:cs="Times New Roman"/>
                <w:sz w:val="24"/>
                <w:szCs w:val="24"/>
              </w:rPr>
              <w:t>Participants</w:t>
            </w:r>
          </w:p>
        </w:tc>
        <w:tc>
          <w:tcPr>
            <w:tcW w:w="516" w:type="pct"/>
            <w:vAlign w:val="center"/>
          </w:tcPr>
          <w:p w14:paraId="01D9A3A8" w14:textId="77777777" w:rsidR="00943A1B" w:rsidRPr="00113A51" w:rsidRDefault="00943A1B" w:rsidP="00943A1B">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13A51">
              <w:rPr>
                <w:rFonts w:ascii="Times New Roman" w:hAnsi="Times New Roman" w:cs="Times New Roman"/>
                <w:sz w:val="24"/>
                <w:szCs w:val="24"/>
              </w:rPr>
              <w:t>Predictors</w:t>
            </w:r>
          </w:p>
        </w:tc>
        <w:tc>
          <w:tcPr>
            <w:tcW w:w="467" w:type="pct"/>
            <w:vAlign w:val="center"/>
          </w:tcPr>
          <w:p w14:paraId="156819E8" w14:textId="77777777" w:rsidR="00943A1B" w:rsidRPr="00113A51" w:rsidRDefault="00943A1B" w:rsidP="00943A1B">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13A51">
              <w:rPr>
                <w:rFonts w:ascii="Times New Roman" w:hAnsi="Times New Roman" w:cs="Times New Roman"/>
                <w:sz w:val="24"/>
                <w:szCs w:val="24"/>
              </w:rPr>
              <w:t>Outcome</w:t>
            </w:r>
          </w:p>
        </w:tc>
        <w:tc>
          <w:tcPr>
            <w:tcW w:w="441" w:type="pct"/>
            <w:vAlign w:val="center"/>
          </w:tcPr>
          <w:p w14:paraId="55B6A3C3" w14:textId="77777777" w:rsidR="00943A1B" w:rsidRPr="00113A51" w:rsidRDefault="00943A1B" w:rsidP="00943A1B">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13A51">
              <w:rPr>
                <w:rFonts w:ascii="Times New Roman" w:hAnsi="Times New Roman" w:cs="Times New Roman"/>
                <w:sz w:val="24"/>
                <w:szCs w:val="24"/>
              </w:rPr>
              <w:t>Analysis</w:t>
            </w:r>
          </w:p>
        </w:tc>
        <w:tc>
          <w:tcPr>
            <w:tcW w:w="590" w:type="pct"/>
            <w:vAlign w:val="center"/>
          </w:tcPr>
          <w:p w14:paraId="5AB54F72" w14:textId="77777777" w:rsidR="00943A1B" w:rsidRPr="00113A51" w:rsidRDefault="00943A1B" w:rsidP="00943A1B">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13A51">
              <w:rPr>
                <w:rFonts w:ascii="Times New Roman" w:hAnsi="Times New Roman" w:cs="Times New Roman"/>
                <w:sz w:val="24"/>
                <w:szCs w:val="24"/>
              </w:rPr>
              <w:t>Participants</w:t>
            </w:r>
          </w:p>
        </w:tc>
        <w:tc>
          <w:tcPr>
            <w:tcW w:w="516" w:type="pct"/>
            <w:vAlign w:val="center"/>
          </w:tcPr>
          <w:p w14:paraId="78B5BFEC" w14:textId="77777777" w:rsidR="00943A1B" w:rsidRPr="00113A51" w:rsidRDefault="00943A1B" w:rsidP="00943A1B">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13A51">
              <w:rPr>
                <w:rFonts w:ascii="Times New Roman" w:hAnsi="Times New Roman" w:cs="Times New Roman"/>
                <w:sz w:val="24"/>
                <w:szCs w:val="24"/>
              </w:rPr>
              <w:t>Predictors</w:t>
            </w:r>
          </w:p>
        </w:tc>
        <w:tc>
          <w:tcPr>
            <w:tcW w:w="319" w:type="pct"/>
            <w:vAlign w:val="center"/>
          </w:tcPr>
          <w:p w14:paraId="6F90B612" w14:textId="77777777" w:rsidR="00943A1B" w:rsidRPr="00113A51" w:rsidRDefault="00943A1B" w:rsidP="00943A1B">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13A51">
              <w:rPr>
                <w:rFonts w:ascii="Times New Roman" w:hAnsi="Times New Roman" w:cs="Times New Roman"/>
                <w:sz w:val="24"/>
                <w:szCs w:val="24"/>
              </w:rPr>
              <w:t>Outcome</w:t>
            </w:r>
          </w:p>
        </w:tc>
        <w:tc>
          <w:tcPr>
            <w:tcW w:w="441" w:type="pct"/>
            <w:vAlign w:val="center"/>
          </w:tcPr>
          <w:p w14:paraId="1DA5BBC4" w14:textId="77777777" w:rsidR="00943A1B" w:rsidRPr="00113A51" w:rsidRDefault="00943A1B" w:rsidP="00943A1B">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13A51">
              <w:rPr>
                <w:rFonts w:ascii="Times New Roman" w:hAnsi="Times New Roman" w:cs="Times New Roman"/>
                <w:sz w:val="24"/>
                <w:szCs w:val="24"/>
              </w:rPr>
              <w:t>Risk of Bias</w:t>
            </w:r>
          </w:p>
        </w:tc>
        <w:tc>
          <w:tcPr>
            <w:tcW w:w="620" w:type="pct"/>
            <w:vAlign w:val="center"/>
          </w:tcPr>
          <w:p w14:paraId="7A20FEFA" w14:textId="77777777" w:rsidR="00943A1B" w:rsidRPr="00113A51" w:rsidRDefault="00943A1B" w:rsidP="00943A1B">
            <w:pPr>
              <w:snapToGri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13A51">
              <w:rPr>
                <w:rFonts w:ascii="Times New Roman" w:hAnsi="Times New Roman" w:cs="Times New Roman"/>
                <w:sz w:val="24"/>
                <w:szCs w:val="24"/>
              </w:rPr>
              <w:t>Applicability</w:t>
            </w:r>
          </w:p>
        </w:tc>
      </w:tr>
      <w:tr w:rsidR="009076EE" w14:paraId="10F50087" w14:textId="77777777" w:rsidTr="00113A51">
        <w:trPr>
          <w:jc w:val="center"/>
        </w:trPr>
        <w:tc>
          <w:tcPr>
            <w:cnfStyle w:val="001000000000" w:firstRow="0" w:lastRow="0" w:firstColumn="1" w:lastColumn="0" w:oddVBand="0" w:evenVBand="0" w:oddHBand="0" w:evenHBand="0" w:firstRowFirstColumn="0" w:firstRowLastColumn="0" w:lastRowFirstColumn="0" w:lastRowLastColumn="0"/>
            <w:tcW w:w="500" w:type="pct"/>
            <w:vAlign w:val="center"/>
          </w:tcPr>
          <w:p w14:paraId="3CE77094" w14:textId="48EACB78" w:rsidR="009076EE" w:rsidRPr="00113A51" w:rsidRDefault="00000000" w:rsidP="00113A51">
            <w:pPr>
              <w:snapToGrid w:val="0"/>
              <w:jc w:val="left"/>
              <w:rPr>
                <w:rFonts w:ascii="Times New Roman" w:hAnsi="Times New Roman" w:cs="Times New Roman"/>
                <w:sz w:val="24"/>
                <w:szCs w:val="24"/>
              </w:rPr>
            </w:pPr>
            <w:r w:rsidRPr="00113A51">
              <w:rPr>
                <w:rFonts w:ascii="Times New Roman" w:hAnsi="Times New Roman" w:cs="Times New Roman"/>
                <w:b w:val="0"/>
                <w:bCs w:val="0"/>
                <w:sz w:val="24"/>
                <w:szCs w:val="24"/>
              </w:rPr>
              <w:t>Huang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[23]</w:t>
            </w:r>
          </w:p>
        </w:tc>
        <w:tc>
          <w:tcPr>
            <w:tcW w:w="590" w:type="pct"/>
            <w:vAlign w:val="center"/>
          </w:tcPr>
          <w:p w14:paraId="15D6AC71"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16" w:type="pct"/>
            <w:vAlign w:val="center"/>
          </w:tcPr>
          <w:p w14:paraId="67A23A3F"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67" w:type="pct"/>
            <w:vAlign w:val="center"/>
          </w:tcPr>
          <w:p w14:paraId="55A182DD"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30263B6B"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90" w:type="pct"/>
            <w:vAlign w:val="center"/>
          </w:tcPr>
          <w:p w14:paraId="45C23743"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46CED271"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319" w:type="pct"/>
            <w:vAlign w:val="center"/>
          </w:tcPr>
          <w:p w14:paraId="076C0F5F"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57966C94"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620" w:type="pct"/>
            <w:vAlign w:val="center"/>
          </w:tcPr>
          <w:p w14:paraId="40D04507"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r>
      <w:tr w:rsidR="009076EE" w14:paraId="04B1A660" w14:textId="77777777" w:rsidTr="00113A51">
        <w:trPr>
          <w:jc w:val="center"/>
        </w:trPr>
        <w:tc>
          <w:tcPr>
            <w:cnfStyle w:val="001000000000" w:firstRow="0" w:lastRow="0" w:firstColumn="1" w:lastColumn="0" w:oddVBand="0" w:evenVBand="0" w:oddHBand="0" w:evenHBand="0" w:firstRowFirstColumn="0" w:firstRowLastColumn="0" w:lastRowFirstColumn="0" w:lastRowLastColumn="0"/>
            <w:tcW w:w="500" w:type="pct"/>
            <w:vAlign w:val="center"/>
          </w:tcPr>
          <w:p w14:paraId="2221EC7F" w14:textId="2F1DA88E" w:rsidR="009076EE" w:rsidRPr="00113A51" w:rsidRDefault="00000000" w:rsidP="00113A51">
            <w:pPr>
              <w:snapToGrid w:val="0"/>
              <w:jc w:val="left"/>
              <w:rPr>
                <w:rFonts w:ascii="Times New Roman" w:hAnsi="Times New Roman" w:cs="Times New Roman"/>
                <w:sz w:val="24"/>
                <w:szCs w:val="24"/>
              </w:rPr>
            </w:pPr>
            <w:r w:rsidRPr="00113A51">
              <w:rPr>
                <w:rFonts w:ascii="Times New Roman" w:hAnsi="Times New Roman" w:cs="Times New Roman"/>
                <w:b w:val="0"/>
                <w:bCs w:val="0"/>
                <w:sz w:val="24"/>
                <w:szCs w:val="24"/>
              </w:rPr>
              <w:t>Chang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[22]</w:t>
            </w:r>
          </w:p>
        </w:tc>
        <w:tc>
          <w:tcPr>
            <w:tcW w:w="590" w:type="pct"/>
            <w:vAlign w:val="center"/>
          </w:tcPr>
          <w:p w14:paraId="0A7A997C"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16" w:type="pct"/>
            <w:vAlign w:val="center"/>
          </w:tcPr>
          <w:p w14:paraId="1C5ED941"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467" w:type="pct"/>
            <w:vAlign w:val="center"/>
          </w:tcPr>
          <w:p w14:paraId="7DC156B8"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441" w:type="pct"/>
            <w:vAlign w:val="center"/>
          </w:tcPr>
          <w:p w14:paraId="7D28D550"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90" w:type="pct"/>
            <w:vAlign w:val="center"/>
          </w:tcPr>
          <w:p w14:paraId="228C63A9"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7ED81F23"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319" w:type="pct"/>
            <w:vAlign w:val="center"/>
          </w:tcPr>
          <w:p w14:paraId="442F6C43"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6A592B91"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620" w:type="pct"/>
            <w:vAlign w:val="center"/>
          </w:tcPr>
          <w:p w14:paraId="79E942B9"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r>
      <w:tr w:rsidR="009076EE" w14:paraId="2846D33C" w14:textId="77777777" w:rsidTr="00113A51">
        <w:trPr>
          <w:jc w:val="center"/>
        </w:trPr>
        <w:tc>
          <w:tcPr>
            <w:cnfStyle w:val="001000000000" w:firstRow="0" w:lastRow="0" w:firstColumn="1" w:lastColumn="0" w:oddVBand="0" w:evenVBand="0" w:oddHBand="0" w:evenHBand="0" w:firstRowFirstColumn="0" w:firstRowLastColumn="0" w:lastRowFirstColumn="0" w:lastRowLastColumn="0"/>
            <w:tcW w:w="500" w:type="pct"/>
            <w:vAlign w:val="center"/>
          </w:tcPr>
          <w:p w14:paraId="2E486B65" w14:textId="443F3DCE" w:rsidR="009076EE" w:rsidRPr="00113A51" w:rsidRDefault="00000000" w:rsidP="00113A51">
            <w:pPr>
              <w:snapToGrid w:val="0"/>
              <w:jc w:val="left"/>
              <w:rPr>
                <w:rFonts w:ascii="Times New Roman" w:hAnsi="Times New Roman" w:cs="Times New Roman"/>
                <w:sz w:val="24"/>
                <w:szCs w:val="24"/>
              </w:rPr>
            </w:pPr>
            <w:r w:rsidRPr="00113A51">
              <w:rPr>
                <w:rFonts w:ascii="Times New Roman" w:hAnsi="Times New Roman" w:cs="Times New Roman"/>
                <w:b w:val="0"/>
                <w:bCs w:val="0"/>
                <w:sz w:val="24"/>
                <w:szCs w:val="24"/>
              </w:rPr>
              <w:t>Zhang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[21]</w:t>
            </w:r>
          </w:p>
        </w:tc>
        <w:tc>
          <w:tcPr>
            <w:tcW w:w="590" w:type="pct"/>
            <w:vAlign w:val="center"/>
          </w:tcPr>
          <w:p w14:paraId="2B4CD636"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3DC2AB43"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67" w:type="pct"/>
            <w:vAlign w:val="center"/>
          </w:tcPr>
          <w:p w14:paraId="7030F46A"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211D86DD"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90" w:type="pct"/>
            <w:vAlign w:val="center"/>
          </w:tcPr>
          <w:p w14:paraId="04CB859C"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0ED1636D"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319" w:type="pct"/>
            <w:vAlign w:val="center"/>
          </w:tcPr>
          <w:p w14:paraId="11E01774"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5CF08239"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620" w:type="pct"/>
            <w:vAlign w:val="center"/>
          </w:tcPr>
          <w:p w14:paraId="11C0B0AF"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r>
      <w:tr w:rsidR="009076EE" w14:paraId="3D0FDBE9" w14:textId="77777777" w:rsidTr="00113A51">
        <w:trPr>
          <w:jc w:val="center"/>
        </w:trPr>
        <w:tc>
          <w:tcPr>
            <w:cnfStyle w:val="001000000000" w:firstRow="0" w:lastRow="0" w:firstColumn="1" w:lastColumn="0" w:oddVBand="0" w:evenVBand="0" w:oddHBand="0" w:evenHBand="0" w:firstRowFirstColumn="0" w:firstRowLastColumn="0" w:lastRowFirstColumn="0" w:lastRowLastColumn="0"/>
            <w:tcW w:w="500" w:type="pct"/>
            <w:vAlign w:val="center"/>
          </w:tcPr>
          <w:p w14:paraId="40227E56" w14:textId="5D806901" w:rsidR="009076EE" w:rsidRPr="00113A51" w:rsidRDefault="00000000" w:rsidP="00113A51">
            <w:pPr>
              <w:snapToGrid w:val="0"/>
              <w:jc w:val="left"/>
              <w:rPr>
                <w:rFonts w:ascii="Times New Roman" w:hAnsi="Times New Roman" w:cs="Times New Roman"/>
                <w:sz w:val="24"/>
                <w:szCs w:val="24"/>
              </w:rPr>
            </w:pPr>
            <w:r w:rsidRPr="00113A51">
              <w:rPr>
                <w:rFonts w:ascii="Times New Roman" w:hAnsi="Times New Roman" w:cs="Times New Roman"/>
                <w:b w:val="0"/>
                <w:bCs w:val="0"/>
                <w:sz w:val="24"/>
                <w:szCs w:val="24"/>
              </w:rPr>
              <w:t>Cao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[20]</w:t>
            </w:r>
          </w:p>
        </w:tc>
        <w:tc>
          <w:tcPr>
            <w:tcW w:w="590" w:type="pct"/>
            <w:vAlign w:val="center"/>
          </w:tcPr>
          <w:p w14:paraId="06558568"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19EBAA4B"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67" w:type="pct"/>
            <w:vAlign w:val="center"/>
          </w:tcPr>
          <w:p w14:paraId="00F0CBFA"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30CDE94C"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90" w:type="pct"/>
            <w:vAlign w:val="center"/>
          </w:tcPr>
          <w:p w14:paraId="667BDA48"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3871E10C"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319" w:type="pct"/>
            <w:vAlign w:val="center"/>
          </w:tcPr>
          <w:p w14:paraId="03D36646"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600747E5"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620" w:type="pct"/>
            <w:vAlign w:val="center"/>
          </w:tcPr>
          <w:p w14:paraId="125E0C70"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r>
      <w:tr w:rsidR="009076EE" w14:paraId="2EC7F149" w14:textId="77777777" w:rsidTr="00113A51">
        <w:trPr>
          <w:jc w:val="center"/>
        </w:trPr>
        <w:tc>
          <w:tcPr>
            <w:cnfStyle w:val="001000000000" w:firstRow="0" w:lastRow="0" w:firstColumn="1" w:lastColumn="0" w:oddVBand="0" w:evenVBand="0" w:oddHBand="0" w:evenHBand="0" w:firstRowFirstColumn="0" w:firstRowLastColumn="0" w:lastRowFirstColumn="0" w:lastRowLastColumn="0"/>
            <w:tcW w:w="500" w:type="pct"/>
            <w:vAlign w:val="center"/>
          </w:tcPr>
          <w:p w14:paraId="24744E77" w14:textId="20D28EAB" w:rsidR="009076EE" w:rsidRPr="00113A51" w:rsidRDefault="00000000" w:rsidP="00113A51">
            <w:pPr>
              <w:snapToGrid w:val="0"/>
              <w:jc w:val="left"/>
              <w:rPr>
                <w:rFonts w:ascii="Times New Roman" w:hAnsi="Times New Roman" w:cs="Times New Roman"/>
                <w:sz w:val="24"/>
                <w:szCs w:val="24"/>
              </w:rPr>
            </w:pPr>
            <w:r w:rsidRPr="00113A51">
              <w:rPr>
                <w:rFonts w:ascii="Times New Roman" w:hAnsi="Times New Roman" w:cs="Times New Roman"/>
                <w:b w:val="0"/>
                <w:bCs w:val="0"/>
                <w:sz w:val="24"/>
                <w:szCs w:val="24"/>
              </w:rPr>
              <w:t>Wassenaar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[19]</w:t>
            </w:r>
          </w:p>
        </w:tc>
        <w:tc>
          <w:tcPr>
            <w:tcW w:w="590" w:type="pct"/>
            <w:vAlign w:val="center"/>
          </w:tcPr>
          <w:p w14:paraId="1CF2F663"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2FE2EE8F"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67" w:type="pct"/>
            <w:vAlign w:val="center"/>
          </w:tcPr>
          <w:p w14:paraId="2FE6BF70"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424AFD36"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90" w:type="pct"/>
            <w:vAlign w:val="center"/>
          </w:tcPr>
          <w:p w14:paraId="51E0CC12"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3801A502"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319" w:type="pct"/>
            <w:vAlign w:val="center"/>
          </w:tcPr>
          <w:p w14:paraId="322408BB"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2B6FC0F5"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620" w:type="pct"/>
            <w:vAlign w:val="center"/>
          </w:tcPr>
          <w:p w14:paraId="794A345E"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r>
      <w:tr w:rsidR="009076EE" w14:paraId="729212FB" w14:textId="77777777" w:rsidTr="00113A51">
        <w:trPr>
          <w:jc w:val="center"/>
        </w:trPr>
        <w:tc>
          <w:tcPr>
            <w:cnfStyle w:val="001000000000" w:firstRow="0" w:lastRow="0" w:firstColumn="1" w:lastColumn="0" w:oddVBand="0" w:evenVBand="0" w:oddHBand="0" w:evenHBand="0" w:firstRowFirstColumn="0" w:firstRowLastColumn="0" w:lastRowFirstColumn="0" w:lastRowLastColumn="0"/>
            <w:tcW w:w="500" w:type="pct"/>
            <w:vAlign w:val="center"/>
          </w:tcPr>
          <w:p w14:paraId="4780502A" w14:textId="403F3426" w:rsidR="009076EE" w:rsidRPr="00113A51" w:rsidRDefault="00000000" w:rsidP="00113A51">
            <w:pPr>
              <w:snapToGrid w:val="0"/>
              <w:jc w:val="left"/>
              <w:rPr>
                <w:rFonts w:ascii="Times New Roman" w:hAnsi="Times New Roman" w:cs="Times New Roman"/>
                <w:sz w:val="24"/>
                <w:szCs w:val="24"/>
              </w:rPr>
            </w:pPr>
            <w:r w:rsidRPr="00113A51">
              <w:rPr>
                <w:rFonts w:ascii="Times New Roman" w:hAnsi="Times New Roman" w:cs="Times New Roman"/>
                <w:b w:val="0"/>
                <w:bCs w:val="0"/>
                <w:sz w:val="24"/>
                <w:szCs w:val="24"/>
              </w:rPr>
              <w:t>Shen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[18]</w:t>
            </w:r>
          </w:p>
        </w:tc>
        <w:tc>
          <w:tcPr>
            <w:tcW w:w="590" w:type="pct"/>
            <w:vAlign w:val="center"/>
          </w:tcPr>
          <w:p w14:paraId="20904283"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16" w:type="pct"/>
            <w:vAlign w:val="center"/>
          </w:tcPr>
          <w:p w14:paraId="59545A9A"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67" w:type="pct"/>
            <w:vAlign w:val="center"/>
          </w:tcPr>
          <w:p w14:paraId="1424BCEF"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441" w:type="pct"/>
            <w:vAlign w:val="center"/>
          </w:tcPr>
          <w:p w14:paraId="6070E162"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90" w:type="pct"/>
            <w:vAlign w:val="center"/>
          </w:tcPr>
          <w:p w14:paraId="65834E28"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795A4166"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319" w:type="pct"/>
            <w:vAlign w:val="center"/>
          </w:tcPr>
          <w:p w14:paraId="168BE356"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0F9D28B2"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620" w:type="pct"/>
            <w:vAlign w:val="center"/>
          </w:tcPr>
          <w:p w14:paraId="1B2EEEF6"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r>
      <w:tr w:rsidR="009076EE" w14:paraId="3AF438FC" w14:textId="77777777" w:rsidTr="00113A51">
        <w:trPr>
          <w:jc w:val="center"/>
        </w:trPr>
        <w:tc>
          <w:tcPr>
            <w:cnfStyle w:val="001000000000" w:firstRow="0" w:lastRow="0" w:firstColumn="1" w:lastColumn="0" w:oddVBand="0" w:evenVBand="0" w:oddHBand="0" w:evenHBand="0" w:firstRowFirstColumn="0" w:firstRowLastColumn="0" w:lastRowFirstColumn="0" w:lastRowLastColumn="0"/>
            <w:tcW w:w="500" w:type="pct"/>
            <w:vAlign w:val="center"/>
          </w:tcPr>
          <w:p w14:paraId="68EF0930" w14:textId="7D97BC1A" w:rsidR="009076EE" w:rsidRPr="00113A51" w:rsidRDefault="00000000" w:rsidP="00113A51">
            <w:pPr>
              <w:snapToGrid w:val="0"/>
              <w:jc w:val="left"/>
              <w:rPr>
                <w:rFonts w:ascii="Times New Roman" w:hAnsi="Times New Roman" w:cs="Times New Roman"/>
                <w:sz w:val="24"/>
                <w:szCs w:val="24"/>
              </w:rPr>
            </w:pPr>
            <w:r w:rsidRPr="00113A51">
              <w:rPr>
                <w:rFonts w:ascii="Times New Roman" w:hAnsi="Times New Roman" w:cs="Times New Roman"/>
                <w:b w:val="0"/>
                <w:bCs w:val="0"/>
                <w:sz w:val="24"/>
                <w:szCs w:val="24"/>
              </w:rPr>
              <w:t>Zhu</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[17]</w:t>
            </w:r>
          </w:p>
        </w:tc>
        <w:tc>
          <w:tcPr>
            <w:tcW w:w="590" w:type="pct"/>
            <w:vAlign w:val="center"/>
          </w:tcPr>
          <w:p w14:paraId="354066C2"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16" w:type="pct"/>
            <w:vAlign w:val="center"/>
          </w:tcPr>
          <w:p w14:paraId="02B2DEAC"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467" w:type="pct"/>
            <w:vAlign w:val="center"/>
          </w:tcPr>
          <w:p w14:paraId="231516D2"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441" w:type="pct"/>
            <w:vAlign w:val="center"/>
          </w:tcPr>
          <w:p w14:paraId="7B1941D1"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90" w:type="pct"/>
            <w:vAlign w:val="center"/>
          </w:tcPr>
          <w:p w14:paraId="12FEE35E"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57654B1D"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319" w:type="pct"/>
            <w:vAlign w:val="center"/>
          </w:tcPr>
          <w:p w14:paraId="63FF79B0"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5AEC5331"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620" w:type="pct"/>
            <w:vAlign w:val="center"/>
          </w:tcPr>
          <w:p w14:paraId="37405B1D"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r>
      <w:tr w:rsidR="009076EE" w14:paraId="74DF7938" w14:textId="77777777" w:rsidTr="00113A51">
        <w:trPr>
          <w:jc w:val="center"/>
        </w:trPr>
        <w:tc>
          <w:tcPr>
            <w:cnfStyle w:val="001000000000" w:firstRow="0" w:lastRow="0" w:firstColumn="1" w:lastColumn="0" w:oddVBand="0" w:evenVBand="0" w:oddHBand="0" w:evenHBand="0" w:firstRowFirstColumn="0" w:firstRowLastColumn="0" w:lastRowFirstColumn="0" w:lastRowLastColumn="0"/>
            <w:tcW w:w="500" w:type="pct"/>
            <w:vAlign w:val="center"/>
          </w:tcPr>
          <w:p w14:paraId="463AE008" w14:textId="3007A6C7" w:rsidR="009076EE" w:rsidRPr="00113A51" w:rsidRDefault="00000000" w:rsidP="00113A51">
            <w:pPr>
              <w:snapToGrid w:val="0"/>
              <w:jc w:val="left"/>
              <w:rPr>
                <w:rFonts w:ascii="Times New Roman" w:hAnsi="Times New Roman" w:cs="Times New Roman"/>
                <w:sz w:val="24"/>
                <w:szCs w:val="24"/>
              </w:rPr>
            </w:pPr>
            <w:r w:rsidRPr="00113A51">
              <w:rPr>
                <w:rFonts w:ascii="Times New Roman" w:hAnsi="Times New Roman" w:cs="Times New Roman"/>
                <w:b w:val="0"/>
                <w:bCs w:val="0"/>
                <w:sz w:val="24"/>
                <w:szCs w:val="24"/>
              </w:rPr>
              <w:t>Dai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[15]</w:t>
            </w:r>
          </w:p>
        </w:tc>
        <w:tc>
          <w:tcPr>
            <w:tcW w:w="590" w:type="pct"/>
            <w:vAlign w:val="center"/>
          </w:tcPr>
          <w:p w14:paraId="5BB16D7E"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16" w:type="pct"/>
            <w:vAlign w:val="center"/>
          </w:tcPr>
          <w:p w14:paraId="40C26BC4"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67" w:type="pct"/>
            <w:vAlign w:val="center"/>
          </w:tcPr>
          <w:p w14:paraId="7DAD14BE"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441" w:type="pct"/>
            <w:vAlign w:val="center"/>
          </w:tcPr>
          <w:p w14:paraId="7401B55B"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90" w:type="pct"/>
            <w:vAlign w:val="center"/>
          </w:tcPr>
          <w:p w14:paraId="0097597A"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495042B6"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319" w:type="pct"/>
            <w:vAlign w:val="center"/>
          </w:tcPr>
          <w:p w14:paraId="271C0C19"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7A08E110"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620" w:type="pct"/>
            <w:vAlign w:val="center"/>
          </w:tcPr>
          <w:p w14:paraId="41AF15AE"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r>
      <w:tr w:rsidR="009076EE" w14:paraId="23838B67" w14:textId="77777777" w:rsidTr="00113A51">
        <w:trPr>
          <w:jc w:val="center"/>
        </w:trPr>
        <w:tc>
          <w:tcPr>
            <w:cnfStyle w:val="001000000000" w:firstRow="0" w:lastRow="0" w:firstColumn="1" w:lastColumn="0" w:oddVBand="0" w:evenVBand="0" w:oddHBand="0" w:evenHBand="0" w:firstRowFirstColumn="0" w:firstRowLastColumn="0" w:lastRowFirstColumn="0" w:lastRowLastColumn="0"/>
            <w:tcW w:w="500" w:type="pct"/>
            <w:vAlign w:val="center"/>
          </w:tcPr>
          <w:p w14:paraId="3C3A3E59" w14:textId="1CE93B66" w:rsidR="009076EE" w:rsidRPr="00113A51" w:rsidRDefault="00000000" w:rsidP="00113A51">
            <w:pPr>
              <w:snapToGrid w:val="0"/>
              <w:jc w:val="left"/>
              <w:rPr>
                <w:rFonts w:ascii="Times New Roman" w:hAnsi="Times New Roman" w:cs="Times New Roman"/>
                <w:sz w:val="24"/>
                <w:szCs w:val="24"/>
              </w:rPr>
            </w:pPr>
            <w:r w:rsidRPr="00113A51">
              <w:rPr>
                <w:rFonts w:ascii="Times New Roman" w:hAnsi="Times New Roman" w:cs="Times New Roman"/>
                <w:b w:val="0"/>
                <w:bCs w:val="0"/>
                <w:sz w:val="24"/>
                <w:szCs w:val="24"/>
              </w:rPr>
              <w:t>Zhang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[16]</w:t>
            </w:r>
          </w:p>
        </w:tc>
        <w:tc>
          <w:tcPr>
            <w:tcW w:w="590" w:type="pct"/>
            <w:vAlign w:val="center"/>
          </w:tcPr>
          <w:p w14:paraId="2176B07B"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615D117C"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Unclear</w:t>
            </w:r>
          </w:p>
        </w:tc>
        <w:tc>
          <w:tcPr>
            <w:tcW w:w="467" w:type="pct"/>
            <w:vAlign w:val="center"/>
          </w:tcPr>
          <w:p w14:paraId="4A74A1BB"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Unclear</w:t>
            </w:r>
          </w:p>
        </w:tc>
        <w:tc>
          <w:tcPr>
            <w:tcW w:w="441" w:type="pct"/>
            <w:vAlign w:val="center"/>
          </w:tcPr>
          <w:p w14:paraId="776D5B0C"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90" w:type="pct"/>
            <w:vAlign w:val="center"/>
          </w:tcPr>
          <w:p w14:paraId="394ACC94"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05970EEE"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319" w:type="pct"/>
            <w:vAlign w:val="center"/>
          </w:tcPr>
          <w:p w14:paraId="0F2466AD"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0283C6C1"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620" w:type="pct"/>
            <w:vAlign w:val="center"/>
          </w:tcPr>
          <w:p w14:paraId="146C8DAB"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r>
      <w:tr w:rsidR="009076EE" w14:paraId="19409847" w14:textId="77777777" w:rsidTr="00113A51">
        <w:trPr>
          <w:jc w:val="center"/>
        </w:trPr>
        <w:tc>
          <w:tcPr>
            <w:cnfStyle w:val="001000000000" w:firstRow="0" w:lastRow="0" w:firstColumn="1" w:lastColumn="0" w:oddVBand="0" w:evenVBand="0" w:oddHBand="0" w:evenHBand="0" w:firstRowFirstColumn="0" w:firstRowLastColumn="0" w:lastRowFirstColumn="0" w:lastRowLastColumn="0"/>
            <w:tcW w:w="500" w:type="pct"/>
            <w:vAlign w:val="center"/>
          </w:tcPr>
          <w:p w14:paraId="0887B454" w14:textId="34350A23" w:rsidR="009076EE" w:rsidRPr="00113A51" w:rsidRDefault="00000000" w:rsidP="00113A51">
            <w:pPr>
              <w:snapToGrid w:val="0"/>
              <w:jc w:val="left"/>
              <w:rPr>
                <w:rFonts w:ascii="Times New Roman" w:hAnsi="Times New Roman" w:cs="Times New Roman"/>
                <w:sz w:val="24"/>
                <w:szCs w:val="24"/>
              </w:rPr>
            </w:pPr>
            <w:r w:rsidRPr="00113A51">
              <w:rPr>
                <w:rFonts w:ascii="Times New Roman" w:hAnsi="Times New Roman" w:cs="Times New Roman"/>
                <w:b w:val="0"/>
                <w:bCs w:val="0"/>
                <w:sz w:val="24"/>
                <w:szCs w:val="24"/>
              </w:rPr>
              <w:lastRenderedPageBreak/>
              <w:t>Wang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[14]</w:t>
            </w:r>
          </w:p>
        </w:tc>
        <w:tc>
          <w:tcPr>
            <w:tcW w:w="590" w:type="pct"/>
            <w:vAlign w:val="center"/>
          </w:tcPr>
          <w:p w14:paraId="591DC00C"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16" w:type="pct"/>
            <w:vAlign w:val="center"/>
          </w:tcPr>
          <w:p w14:paraId="655D7BC7"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67" w:type="pct"/>
            <w:vAlign w:val="center"/>
          </w:tcPr>
          <w:p w14:paraId="4E625EF4"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2EE1926E"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90" w:type="pct"/>
            <w:vAlign w:val="center"/>
          </w:tcPr>
          <w:p w14:paraId="1EBB4CFF"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12858D9C"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319" w:type="pct"/>
            <w:vAlign w:val="center"/>
          </w:tcPr>
          <w:p w14:paraId="28964B47"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28D29FB6"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620" w:type="pct"/>
            <w:vAlign w:val="center"/>
          </w:tcPr>
          <w:p w14:paraId="3345D672"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r>
      <w:tr w:rsidR="009076EE" w14:paraId="32B6AFE9" w14:textId="77777777" w:rsidTr="00113A51">
        <w:trPr>
          <w:jc w:val="center"/>
        </w:trPr>
        <w:tc>
          <w:tcPr>
            <w:cnfStyle w:val="001000000000" w:firstRow="0" w:lastRow="0" w:firstColumn="1" w:lastColumn="0" w:oddVBand="0" w:evenVBand="0" w:oddHBand="0" w:evenHBand="0" w:firstRowFirstColumn="0" w:firstRowLastColumn="0" w:lastRowFirstColumn="0" w:lastRowLastColumn="0"/>
            <w:tcW w:w="500" w:type="pct"/>
            <w:vAlign w:val="center"/>
          </w:tcPr>
          <w:p w14:paraId="5E1E8C7F" w14:textId="5621E8B6" w:rsidR="009076EE" w:rsidRPr="00113A51" w:rsidRDefault="00000000" w:rsidP="00113A51">
            <w:pPr>
              <w:snapToGrid w:val="0"/>
              <w:jc w:val="left"/>
              <w:rPr>
                <w:rFonts w:ascii="Times New Roman" w:hAnsi="Times New Roman" w:cs="Times New Roman"/>
                <w:sz w:val="24"/>
                <w:szCs w:val="24"/>
              </w:rPr>
            </w:pPr>
            <w:r w:rsidRPr="00113A51">
              <w:rPr>
                <w:rFonts w:ascii="Times New Roman" w:hAnsi="Times New Roman" w:cs="Times New Roman"/>
                <w:b w:val="0"/>
                <w:bCs w:val="0"/>
                <w:sz w:val="24"/>
                <w:szCs w:val="24"/>
              </w:rPr>
              <w:t>Chen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[13]</w:t>
            </w:r>
          </w:p>
        </w:tc>
        <w:tc>
          <w:tcPr>
            <w:tcW w:w="590" w:type="pct"/>
            <w:vAlign w:val="center"/>
          </w:tcPr>
          <w:p w14:paraId="5500C086"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18E6AD19"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67" w:type="pct"/>
            <w:vAlign w:val="center"/>
          </w:tcPr>
          <w:p w14:paraId="648B5872"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441" w:type="pct"/>
            <w:vAlign w:val="center"/>
          </w:tcPr>
          <w:p w14:paraId="50CCE860"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90" w:type="pct"/>
            <w:vAlign w:val="center"/>
          </w:tcPr>
          <w:p w14:paraId="5FFB9858"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52105045"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319" w:type="pct"/>
            <w:vAlign w:val="center"/>
          </w:tcPr>
          <w:p w14:paraId="56E43AE9"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0CB4E04D"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620" w:type="pct"/>
            <w:vAlign w:val="center"/>
          </w:tcPr>
          <w:p w14:paraId="120DB3C8"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r>
      <w:tr w:rsidR="009076EE" w14:paraId="7868B49E" w14:textId="77777777" w:rsidTr="00113A51">
        <w:trPr>
          <w:jc w:val="center"/>
        </w:trPr>
        <w:tc>
          <w:tcPr>
            <w:cnfStyle w:val="001000000000" w:firstRow="0" w:lastRow="0" w:firstColumn="1" w:lastColumn="0" w:oddVBand="0" w:evenVBand="0" w:oddHBand="0" w:evenHBand="0" w:firstRowFirstColumn="0" w:firstRowLastColumn="0" w:lastRowFirstColumn="0" w:lastRowLastColumn="0"/>
            <w:tcW w:w="500" w:type="pct"/>
            <w:vAlign w:val="center"/>
          </w:tcPr>
          <w:p w14:paraId="25875696" w14:textId="38C3FDE4" w:rsidR="009076EE" w:rsidRPr="00113A51" w:rsidRDefault="00000000" w:rsidP="00113A51">
            <w:pPr>
              <w:snapToGrid w:val="0"/>
              <w:jc w:val="left"/>
              <w:rPr>
                <w:rFonts w:ascii="Times New Roman" w:hAnsi="Times New Roman" w:cs="Times New Roman"/>
                <w:sz w:val="24"/>
                <w:szCs w:val="24"/>
              </w:rPr>
            </w:pPr>
            <w:r w:rsidRPr="00113A51">
              <w:rPr>
                <w:rFonts w:ascii="Times New Roman" w:hAnsi="Times New Roman" w:cs="Times New Roman"/>
                <w:b w:val="0"/>
                <w:bCs w:val="0"/>
                <w:sz w:val="24"/>
                <w:szCs w:val="24"/>
              </w:rPr>
              <w:t>Boogaard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[12]</w:t>
            </w:r>
          </w:p>
        </w:tc>
        <w:tc>
          <w:tcPr>
            <w:tcW w:w="590" w:type="pct"/>
            <w:vAlign w:val="center"/>
          </w:tcPr>
          <w:p w14:paraId="54118345"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3EE5D28C"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67" w:type="pct"/>
            <w:vAlign w:val="center"/>
          </w:tcPr>
          <w:p w14:paraId="11CB0E98"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441" w:type="pct"/>
            <w:vAlign w:val="center"/>
          </w:tcPr>
          <w:p w14:paraId="35FB8681"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90" w:type="pct"/>
            <w:vAlign w:val="center"/>
          </w:tcPr>
          <w:p w14:paraId="0D63DFED"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4B925180"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319" w:type="pct"/>
            <w:vAlign w:val="center"/>
          </w:tcPr>
          <w:p w14:paraId="474D8380"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03BAA3D7"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620" w:type="pct"/>
            <w:vAlign w:val="center"/>
          </w:tcPr>
          <w:p w14:paraId="2A2C1685"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r>
      <w:tr w:rsidR="009076EE" w14:paraId="5968C60A" w14:textId="77777777" w:rsidTr="00113A51">
        <w:trPr>
          <w:jc w:val="center"/>
        </w:trPr>
        <w:tc>
          <w:tcPr>
            <w:cnfStyle w:val="001000000000" w:firstRow="0" w:lastRow="0" w:firstColumn="1" w:lastColumn="0" w:oddVBand="0" w:evenVBand="0" w:oddHBand="0" w:evenHBand="0" w:firstRowFirstColumn="0" w:firstRowLastColumn="0" w:lastRowFirstColumn="0" w:lastRowLastColumn="0"/>
            <w:tcW w:w="500" w:type="pct"/>
            <w:vAlign w:val="center"/>
          </w:tcPr>
          <w:p w14:paraId="63E61C77" w14:textId="78D450AA" w:rsidR="009076EE" w:rsidRPr="00113A51" w:rsidRDefault="00000000" w:rsidP="00113A51">
            <w:pPr>
              <w:snapToGrid w:val="0"/>
              <w:jc w:val="left"/>
              <w:rPr>
                <w:rFonts w:ascii="Times New Roman" w:hAnsi="Times New Roman" w:cs="Times New Roman"/>
                <w:sz w:val="24"/>
                <w:szCs w:val="24"/>
              </w:rPr>
            </w:pPr>
            <w:r w:rsidRPr="00113A51">
              <w:rPr>
                <w:rFonts w:ascii="Times New Roman" w:hAnsi="Times New Roman" w:cs="Times New Roman"/>
                <w:b w:val="0"/>
                <w:bCs w:val="0"/>
                <w:sz w:val="24"/>
                <w:szCs w:val="24"/>
              </w:rPr>
              <w:t>Moon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[10]</w:t>
            </w:r>
          </w:p>
        </w:tc>
        <w:tc>
          <w:tcPr>
            <w:tcW w:w="590" w:type="pct"/>
            <w:vAlign w:val="center"/>
          </w:tcPr>
          <w:p w14:paraId="0DDEDFDE"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3A3F0AEF"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67" w:type="pct"/>
            <w:vAlign w:val="center"/>
          </w:tcPr>
          <w:p w14:paraId="1F935103"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441" w:type="pct"/>
            <w:vAlign w:val="center"/>
          </w:tcPr>
          <w:p w14:paraId="71979FED"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90" w:type="pct"/>
            <w:vAlign w:val="center"/>
          </w:tcPr>
          <w:p w14:paraId="60DF3E02"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6F5AB6C1"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319" w:type="pct"/>
            <w:vAlign w:val="center"/>
          </w:tcPr>
          <w:p w14:paraId="0621F6C3"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60045900"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620" w:type="pct"/>
            <w:vAlign w:val="center"/>
          </w:tcPr>
          <w:p w14:paraId="21D73DC0"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r>
      <w:tr w:rsidR="009076EE" w14:paraId="738A4976" w14:textId="77777777" w:rsidTr="00113A51">
        <w:trPr>
          <w:jc w:val="center"/>
        </w:trPr>
        <w:tc>
          <w:tcPr>
            <w:cnfStyle w:val="001000000000" w:firstRow="0" w:lastRow="0" w:firstColumn="1" w:lastColumn="0" w:oddVBand="0" w:evenVBand="0" w:oddHBand="0" w:evenHBand="0" w:firstRowFirstColumn="0" w:firstRowLastColumn="0" w:lastRowFirstColumn="0" w:lastRowLastColumn="0"/>
            <w:tcW w:w="500" w:type="pct"/>
            <w:vAlign w:val="center"/>
          </w:tcPr>
          <w:p w14:paraId="23825EED" w14:textId="3AC8071D" w:rsidR="009076EE" w:rsidRPr="00113A51" w:rsidRDefault="00000000" w:rsidP="00113A51">
            <w:pPr>
              <w:snapToGrid w:val="0"/>
              <w:jc w:val="left"/>
              <w:rPr>
                <w:rFonts w:ascii="Times New Roman" w:hAnsi="Times New Roman" w:cs="Times New Roman"/>
                <w:sz w:val="24"/>
                <w:szCs w:val="24"/>
              </w:rPr>
            </w:pPr>
            <w:r w:rsidRPr="00113A51">
              <w:rPr>
                <w:rFonts w:ascii="Times New Roman" w:hAnsi="Times New Roman" w:cs="Times New Roman"/>
                <w:b w:val="0"/>
                <w:bCs w:val="0"/>
                <w:sz w:val="24"/>
                <w:szCs w:val="24"/>
              </w:rPr>
              <w:t>Chen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[8]</w:t>
            </w:r>
          </w:p>
        </w:tc>
        <w:tc>
          <w:tcPr>
            <w:tcW w:w="590" w:type="pct"/>
            <w:vAlign w:val="center"/>
          </w:tcPr>
          <w:p w14:paraId="5B807626"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16" w:type="pct"/>
            <w:vAlign w:val="center"/>
          </w:tcPr>
          <w:p w14:paraId="6A4177A7"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467" w:type="pct"/>
            <w:vAlign w:val="center"/>
          </w:tcPr>
          <w:p w14:paraId="6C98386D"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Unclear</w:t>
            </w:r>
          </w:p>
        </w:tc>
        <w:tc>
          <w:tcPr>
            <w:tcW w:w="441" w:type="pct"/>
            <w:vAlign w:val="center"/>
          </w:tcPr>
          <w:p w14:paraId="26B9A9FB"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90" w:type="pct"/>
            <w:vAlign w:val="center"/>
          </w:tcPr>
          <w:p w14:paraId="3BBAC9BE"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07DA4369"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319" w:type="pct"/>
            <w:vAlign w:val="center"/>
          </w:tcPr>
          <w:p w14:paraId="5B58CE43"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78EDC63D"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620" w:type="pct"/>
            <w:vAlign w:val="center"/>
          </w:tcPr>
          <w:p w14:paraId="54DB138F"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r>
      <w:tr w:rsidR="009076EE" w14:paraId="4149A272" w14:textId="77777777" w:rsidTr="00113A51">
        <w:trPr>
          <w:jc w:val="center"/>
        </w:trPr>
        <w:tc>
          <w:tcPr>
            <w:cnfStyle w:val="001000000000" w:firstRow="0" w:lastRow="0" w:firstColumn="1" w:lastColumn="0" w:oddVBand="0" w:evenVBand="0" w:oddHBand="0" w:evenHBand="0" w:firstRowFirstColumn="0" w:firstRowLastColumn="0" w:lastRowFirstColumn="0" w:lastRowLastColumn="0"/>
            <w:tcW w:w="500" w:type="pct"/>
            <w:vAlign w:val="center"/>
          </w:tcPr>
          <w:p w14:paraId="1B311F04" w14:textId="4EA5EEA0" w:rsidR="009076EE" w:rsidRPr="00113A51" w:rsidRDefault="00000000" w:rsidP="00113A51">
            <w:pPr>
              <w:snapToGrid w:val="0"/>
              <w:jc w:val="left"/>
              <w:rPr>
                <w:rFonts w:ascii="Times New Roman" w:hAnsi="Times New Roman" w:cs="Times New Roman"/>
                <w:sz w:val="24"/>
                <w:szCs w:val="24"/>
              </w:rPr>
            </w:pPr>
            <w:r w:rsidRPr="00113A51">
              <w:rPr>
                <w:rFonts w:ascii="Times New Roman" w:hAnsi="Times New Roman" w:cs="Times New Roman"/>
                <w:b w:val="0"/>
                <w:bCs w:val="0"/>
                <w:sz w:val="24"/>
                <w:szCs w:val="24"/>
              </w:rPr>
              <w:t>Cherak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[11]</w:t>
            </w:r>
          </w:p>
        </w:tc>
        <w:tc>
          <w:tcPr>
            <w:tcW w:w="590" w:type="pct"/>
            <w:vAlign w:val="center"/>
          </w:tcPr>
          <w:p w14:paraId="467FACB4"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16" w:type="pct"/>
            <w:vAlign w:val="center"/>
          </w:tcPr>
          <w:p w14:paraId="2B113D79"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67" w:type="pct"/>
            <w:vAlign w:val="center"/>
          </w:tcPr>
          <w:p w14:paraId="4F701AC1"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441" w:type="pct"/>
            <w:vAlign w:val="center"/>
          </w:tcPr>
          <w:p w14:paraId="1ABF491D"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90" w:type="pct"/>
            <w:vAlign w:val="center"/>
          </w:tcPr>
          <w:p w14:paraId="37649FB3"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2A4F586A"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319" w:type="pct"/>
            <w:vAlign w:val="center"/>
          </w:tcPr>
          <w:p w14:paraId="40FFB1CD"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2C54D067"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620" w:type="pct"/>
            <w:vAlign w:val="center"/>
          </w:tcPr>
          <w:p w14:paraId="4CCBCB78"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r>
      <w:tr w:rsidR="009076EE" w14:paraId="10E1BABA" w14:textId="77777777" w:rsidTr="00113A51">
        <w:trPr>
          <w:jc w:val="center"/>
        </w:trPr>
        <w:tc>
          <w:tcPr>
            <w:cnfStyle w:val="001000000000" w:firstRow="0" w:lastRow="0" w:firstColumn="1" w:lastColumn="0" w:oddVBand="0" w:evenVBand="0" w:oddHBand="0" w:evenHBand="0" w:firstRowFirstColumn="0" w:firstRowLastColumn="0" w:lastRowFirstColumn="0" w:lastRowLastColumn="0"/>
            <w:tcW w:w="500" w:type="pct"/>
            <w:vAlign w:val="center"/>
          </w:tcPr>
          <w:p w14:paraId="40E9BFD0" w14:textId="46ECD47A" w:rsidR="009076EE" w:rsidRPr="00113A51" w:rsidRDefault="00000000" w:rsidP="00113A51">
            <w:pPr>
              <w:snapToGrid w:val="0"/>
              <w:jc w:val="left"/>
              <w:rPr>
                <w:rFonts w:ascii="Times New Roman" w:hAnsi="Times New Roman" w:cs="Times New Roman"/>
                <w:sz w:val="24"/>
                <w:szCs w:val="24"/>
              </w:rPr>
            </w:pPr>
            <w:r w:rsidRPr="00113A51">
              <w:rPr>
                <w:rFonts w:ascii="Times New Roman" w:hAnsi="Times New Roman" w:cs="Times New Roman"/>
                <w:b w:val="0"/>
                <w:bCs w:val="0"/>
                <w:sz w:val="24"/>
                <w:szCs w:val="24"/>
              </w:rPr>
              <w:t>Fan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[9]</w:t>
            </w:r>
          </w:p>
        </w:tc>
        <w:tc>
          <w:tcPr>
            <w:tcW w:w="590" w:type="pct"/>
            <w:vAlign w:val="center"/>
          </w:tcPr>
          <w:p w14:paraId="62706494"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0CCF6FB0"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67" w:type="pct"/>
            <w:vAlign w:val="center"/>
          </w:tcPr>
          <w:p w14:paraId="0CFC7853"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441" w:type="pct"/>
            <w:vAlign w:val="center"/>
          </w:tcPr>
          <w:p w14:paraId="4CA0C345"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90" w:type="pct"/>
            <w:vAlign w:val="center"/>
          </w:tcPr>
          <w:p w14:paraId="4E7013F8"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3CBAEC22"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319" w:type="pct"/>
            <w:vAlign w:val="center"/>
          </w:tcPr>
          <w:p w14:paraId="6A01A26D"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5BC113C7"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620" w:type="pct"/>
            <w:vAlign w:val="center"/>
          </w:tcPr>
          <w:p w14:paraId="19208D84"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r>
      <w:tr w:rsidR="009076EE" w14:paraId="2080431C" w14:textId="77777777" w:rsidTr="00113A51">
        <w:trPr>
          <w:jc w:val="center"/>
        </w:trPr>
        <w:tc>
          <w:tcPr>
            <w:cnfStyle w:val="001000000000" w:firstRow="0" w:lastRow="0" w:firstColumn="1" w:lastColumn="0" w:oddVBand="0" w:evenVBand="0" w:oddHBand="0" w:evenHBand="0" w:firstRowFirstColumn="0" w:firstRowLastColumn="0" w:lastRowFirstColumn="0" w:lastRowLastColumn="0"/>
            <w:tcW w:w="500" w:type="pct"/>
            <w:vAlign w:val="center"/>
          </w:tcPr>
          <w:p w14:paraId="3EC526C5" w14:textId="0B957479" w:rsidR="009076EE" w:rsidRPr="00113A51" w:rsidRDefault="00000000" w:rsidP="00113A51">
            <w:pPr>
              <w:snapToGrid w:val="0"/>
              <w:jc w:val="left"/>
              <w:rPr>
                <w:rFonts w:ascii="Times New Roman" w:hAnsi="Times New Roman" w:cs="Times New Roman"/>
                <w:sz w:val="24"/>
                <w:szCs w:val="24"/>
              </w:rPr>
            </w:pPr>
            <w:r w:rsidRPr="00113A51">
              <w:rPr>
                <w:rFonts w:ascii="Times New Roman" w:hAnsi="Times New Roman" w:cs="Times New Roman"/>
                <w:b w:val="0"/>
                <w:bCs w:val="0"/>
                <w:sz w:val="24"/>
                <w:szCs w:val="24"/>
              </w:rPr>
              <w:t>Sosa et al.</w:t>
            </w:r>
            <w:r w:rsidR="00943A1B">
              <w:rPr>
                <w:rFonts w:ascii="Times New Roman" w:hAnsi="Times New Roman" w:cs="Times New Roman"/>
                <w:b w:val="0"/>
                <w:bCs w:val="0"/>
                <w:sz w:val="24"/>
                <w:szCs w:val="24"/>
              </w:rPr>
              <w:t xml:space="preserve"> </w:t>
            </w:r>
            <w:r w:rsidRPr="00113A51">
              <w:rPr>
                <w:rFonts w:ascii="Times New Roman" w:hAnsi="Times New Roman" w:cs="Times New Roman"/>
                <w:b w:val="0"/>
                <w:bCs w:val="0"/>
                <w:sz w:val="24"/>
                <w:szCs w:val="24"/>
                <w:vertAlign w:val="superscript"/>
              </w:rPr>
              <w:t>[7]</w:t>
            </w:r>
          </w:p>
        </w:tc>
        <w:tc>
          <w:tcPr>
            <w:tcW w:w="590" w:type="pct"/>
            <w:vAlign w:val="center"/>
          </w:tcPr>
          <w:p w14:paraId="2C6D2C0F"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734002C7"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67" w:type="pct"/>
            <w:vAlign w:val="center"/>
          </w:tcPr>
          <w:p w14:paraId="79B7897F"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441" w:type="pct"/>
            <w:vAlign w:val="center"/>
          </w:tcPr>
          <w:p w14:paraId="1122BB0F"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590" w:type="pct"/>
            <w:vAlign w:val="center"/>
          </w:tcPr>
          <w:p w14:paraId="7C6EF3E8"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516" w:type="pct"/>
            <w:vAlign w:val="center"/>
          </w:tcPr>
          <w:p w14:paraId="478FF3BB"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319" w:type="pct"/>
            <w:vAlign w:val="center"/>
          </w:tcPr>
          <w:p w14:paraId="78862EDD"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c>
          <w:tcPr>
            <w:tcW w:w="441" w:type="pct"/>
            <w:vAlign w:val="center"/>
          </w:tcPr>
          <w:p w14:paraId="4EC0BDA2"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High risk</w:t>
            </w:r>
          </w:p>
        </w:tc>
        <w:tc>
          <w:tcPr>
            <w:tcW w:w="620" w:type="pct"/>
            <w:vAlign w:val="center"/>
          </w:tcPr>
          <w:p w14:paraId="5337D8AD" w14:textId="77777777" w:rsidR="009076EE" w:rsidRPr="00113A51" w:rsidRDefault="00000000" w:rsidP="00943A1B">
            <w:pPr>
              <w:snapToGri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13A51">
              <w:rPr>
                <w:rFonts w:ascii="Times New Roman" w:hAnsi="Times New Roman" w:cs="Times New Roman"/>
                <w:sz w:val="24"/>
                <w:szCs w:val="24"/>
              </w:rPr>
              <w:t>Low risk</w:t>
            </w:r>
          </w:p>
        </w:tc>
      </w:tr>
    </w:tbl>
    <w:p w14:paraId="739B4FFA" w14:textId="77777777" w:rsidR="009076EE" w:rsidRDefault="009076EE" w:rsidP="00113A51">
      <w:pPr>
        <w:snapToGrid w:val="0"/>
        <w:rPr>
          <w:rFonts w:ascii="Times New Roman" w:hAnsi="Times New Roman" w:cs="Times New Roman"/>
          <w:b/>
          <w:bCs/>
          <w:sz w:val="24"/>
          <w:szCs w:val="24"/>
        </w:rPr>
      </w:pPr>
    </w:p>
    <w:p w14:paraId="28581C9D"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4. Discussion</w:t>
      </w:r>
    </w:p>
    <w:p w14:paraId="574E7100"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4.1</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Overall </w:t>
      </w:r>
      <w:r>
        <w:rPr>
          <w:rFonts w:ascii="Times New Roman" w:hAnsi="Times New Roman" w:cs="Times New Roman" w:hint="eastAsia"/>
          <w:b/>
          <w:bCs/>
          <w:sz w:val="24"/>
          <w:szCs w:val="24"/>
        </w:rPr>
        <w:t>h</w:t>
      </w:r>
      <w:r>
        <w:rPr>
          <w:rFonts w:ascii="Times New Roman" w:hAnsi="Times New Roman" w:cs="Times New Roman"/>
          <w:b/>
          <w:bCs/>
          <w:sz w:val="24"/>
          <w:szCs w:val="24"/>
        </w:rPr>
        <w:t xml:space="preserve">igh </w:t>
      </w:r>
      <w:r>
        <w:rPr>
          <w:rFonts w:ascii="Times New Roman" w:hAnsi="Times New Roman" w:cs="Times New Roman" w:hint="eastAsia"/>
          <w:b/>
          <w:bCs/>
          <w:sz w:val="24"/>
          <w:szCs w:val="24"/>
        </w:rPr>
        <w:t>r</w:t>
      </w:r>
      <w:r>
        <w:rPr>
          <w:rFonts w:ascii="Times New Roman" w:hAnsi="Times New Roman" w:cs="Times New Roman"/>
          <w:b/>
          <w:bCs/>
          <w:sz w:val="24"/>
          <w:szCs w:val="24"/>
        </w:rPr>
        <w:t xml:space="preserve">isk of </w:t>
      </w:r>
      <w:r>
        <w:rPr>
          <w:rFonts w:ascii="Times New Roman" w:hAnsi="Times New Roman" w:cs="Times New Roman" w:hint="eastAsia"/>
          <w:b/>
          <w:bCs/>
          <w:sz w:val="24"/>
          <w:szCs w:val="24"/>
        </w:rPr>
        <w:t>b</w:t>
      </w:r>
      <w:r>
        <w:rPr>
          <w:rFonts w:ascii="Times New Roman" w:hAnsi="Times New Roman" w:cs="Times New Roman"/>
          <w:b/>
          <w:bCs/>
          <w:sz w:val="24"/>
          <w:szCs w:val="24"/>
        </w:rPr>
        <w:t xml:space="preserve">ias in </w:t>
      </w:r>
      <w:r>
        <w:rPr>
          <w:rFonts w:ascii="Times New Roman" w:hAnsi="Times New Roman" w:cs="Times New Roman" w:hint="eastAsia"/>
          <w:b/>
          <w:bCs/>
          <w:sz w:val="24"/>
          <w:szCs w:val="24"/>
        </w:rPr>
        <w:t>d</w:t>
      </w:r>
      <w:r>
        <w:rPr>
          <w:rFonts w:ascii="Times New Roman" w:hAnsi="Times New Roman" w:cs="Times New Roman"/>
          <w:b/>
          <w:bCs/>
          <w:sz w:val="24"/>
          <w:szCs w:val="24"/>
        </w:rPr>
        <w:t xml:space="preserve">elirium </w:t>
      </w:r>
      <w:r>
        <w:rPr>
          <w:rFonts w:ascii="Times New Roman" w:hAnsi="Times New Roman" w:cs="Times New Roman" w:hint="eastAsia"/>
          <w:b/>
          <w:bCs/>
          <w:sz w:val="24"/>
          <w:szCs w:val="24"/>
        </w:rPr>
        <w:t>r</w:t>
      </w:r>
      <w:r>
        <w:rPr>
          <w:rFonts w:ascii="Times New Roman" w:hAnsi="Times New Roman" w:cs="Times New Roman"/>
          <w:b/>
          <w:bCs/>
          <w:sz w:val="24"/>
          <w:szCs w:val="24"/>
        </w:rPr>
        <w:t xml:space="preserve">isk </w:t>
      </w:r>
      <w:r>
        <w:rPr>
          <w:rFonts w:ascii="Times New Roman" w:hAnsi="Times New Roman" w:cs="Times New Roman" w:hint="eastAsia"/>
          <w:b/>
          <w:bCs/>
          <w:sz w:val="24"/>
          <w:szCs w:val="24"/>
        </w:rPr>
        <w:t>p</w:t>
      </w:r>
      <w:r>
        <w:rPr>
          <w:rFonts w:ascii="Times New Roman" w:hAnsi="Times New Roman" w:cs="Times New Roman"/>
          <w:b/>
          <w:bCs/>
          <w:sz w:val="24"/>
          <w:szCs w:val="24"/>
        </w:rPr>
        <w:t xml:space="preserve">rediction </w:t>
      </w:r>
      <w:r>
        <w:rPr>
          <w:rFonts w:ascii="Times New Roman" w:hAnsi="Times New Roman" w:cs="Times New Roman" w:hint="eastAsia"/>
          <w:b/>
          <w:bCs/>
          <w:sz w:val="24"/>
          <w:szCs w:val="24"/>
        </w:rPr>
        <w:t>m</w:t>
      </w:r>
      <w:r>
        <w:rPr>
          <w:rFonts w:ascii="Times New Roman" w:hAnsi="Times New Roman" w:cs="Times New Roman"/>
          <w:b/>
          <w:bCs/>
          <w:sz w:val="24"/>
          <w:szCs w:val="24"/>
        </w:rPr>
        <w:t xml:space="preserve">odels for ICU </w:t>
      </w:r>
      <w:r>
        <w:rPr>
          <w:rFonts w:ascii="Times New Roman" w:hAnsi="Times New Roman" w:cs="Times New Roman" w:hint="eastAsia"/>
          <w:b/>
          <w:bCs/>
          <w:sz w:val="24"/>
          <w:szCs w:val="24"/>
        </w:rPr>
        <w:t>p</w:t>
      </w:r>
      <w:r>
        <w:rPr>
          <w:rFonts w:ascii="Times New Roman" w:hAnsi="Times New Roman" w:cs="Times New Roman"/>
          <w:b/>
          <w:bCs/>
          <w:sz w:val="24"/>
          <w:szCs w:val="24"/>
        </w:rPr>
        <w:t xml:space="preserve">atients, with </w:t>
      </w:r>
      <w:r>
        <w:rPr>
          <w:rFonts w:ascii="Times New Roman" w:hAnsi="Times New Roman" w:cs="Times New Roman" w:hint="eastAsia"/>
          <w:b/>
          <w:bCs/>
          <w:sz w:val="24"/>
          <w:szCs w:val="24"/>
        </w:rPr>
        <w:t>m</w:t>
      </w:r>
      <w:r>
        <w:rPr>
          <w:rFonts w:ascii="Times New Roman" w:hAnsi="Times New Roman" w:cs="Times New Roman"/>
          <w:b/>
          <w:bCs/>
          <w:sz w:val="24"/>
          <w:szCs w:val="24"/>
        </w:rPr>
        <w:t xml:space="preserve">ethodological </w:t>
      </w:r>
      <w:r>
        <w:rPr>
          <w:rFonts w:ascii="Times New Roman" w:hAnsi="Times New Roman" w:cs="Times New Roman" w:hint="eastAsia"/>
          <w:b/>
          <w:bCs/>
          <w:sz w:val="24"/>
          <w:szCs w:val="24"/>
        </w:rPr>
        <w:t>q</w:t>
      </w:r>
      <w:r>
        <w:rPr>
          <w:rFonts w:ascii="Times New Roman" w:hAnsi="Times New Roman" w:cs="Times New Roman"/>
          <w:b/>
          <w:bCs/>
          <w:sz w:val="24"/>
          <w:szCs w:val="24"/>
        </w:rPr>
        <w:t xml:space="preserve">uality </w:t>
      </w:r>
      <w:r>
        <w:rPr>
          <w:rFonts w:ascii="Times New Roman" w:hAnsi="Times New Roman" w:cs="Times New Roman" w:hint="eastAsia"/>
          <w:b/>
          <w:bCs/>
          <w:sz w:val="24"/>
          <w:szCs w:val="24"/>
        </w:rPr>
        <w:t>n</w:t>
      </w:r>
      <w:r>
        <w:rPr>
          <w:rFonts w:ascii="Times New Roman" w:hAnsi="Times New Roman" w:cs="Times New Roman"/>
          <w:b/>
          <w:bCs/>
          <w:sz w:val="24"/>
          <w:szCs w:val="24"/>
        </w:rPr>
        <w:t xml:space="preserve">eeding </w:t>
      </w:r>
      <w:r>
        <w:rPr>
          <w:rFonts w:ascii="Times New Roman" w:hAnsi="Times New Roman" w:cs="Times New Roman" w:hint="eastAsia"/>
          <w:b/>
          <w:bCs/>
          <w:sz w:val="24"/>
          <w:szCs w:val="24"/>
        </w:rPr>
        <w:t>i</w:t>
      </w:r>
      <w:r>
        <w:rPr>
          <w:rFonts w:ascii="Times New Roman" w:hAnsi="Times New Roman" w:cs="Times New Roman"/>
          <w:b/>
          <w:bCs/>
          <w:sz w:val="24"/>
          <w:szCs w:val="24"/>
        </w:rPr>
        <w:t>mprovement</w:t>
      </w:r>
    </w:p>
    <w:p w14:paraId="7751EF27" w14:textId="11FB9312" w:rsidR="009076EE" w:rsidRDefault="00000000" w:rsidP="00113A51">
      <w:pPr>
        <w:snapToGrid w:val="0"/>
        <w:rPr>
          <w:rFonts w:ascii="Times New Roman" w:hAnsi="Times New Roman" w:cs="Times New Roman"/>
          <w:sz w:val="24"/>
          <w:szCs w:val="24"/>
        </w:rPr>
      </w:pPr>
      <w:r>
        <w:rPr>
          <w:rFonts w:ascii="Times New Roman" w:hAnsi="Times New Roman" w:cs="Times New Roman"/>
          <w:sz w:val="24"/>
          <w:szCs w:val="24"/>
        </w:rPr>
        <w:t>Among the 17 included studies, model discrimination was generally good, with all reported development or validation AUC &gt;</w:t>
      </w:r>
      <w:r w:rsidR="00943A1B">
        <w:rPr>
          <w:rFonts w:ascii="Times New Roman" w:hAnsi="Times New Roman" w:cs="Times New Roman"/>
          <w:sz w:val="24"/>
          <w:szCs w:val="24"/>
        </w:rPr>
        <w:t xml:space="preserve"> </w:t>
      </w:r>
      <w:r>
        <w:rPr>
          <w:rFonts w:ascii="Times New Roman" w:hAnsi="Times New Roman" w:cs="Times New Roman"/>
          <w:sz w:val="24"/>
          <w:szCs w:val="24"/>
        </w:rPr>
        <w:t>0.7; however, overall methodological quality was low, with all identified as high bias risk due to deficiencies in statistical analysis, manifested as insufficient events per variable (EPV), improper continuous variable processing, insufficient explanation or handling of missing data, and lack of external validation. Systematic evaluation of included studies using PROBAST tool revealed bias risk mainly concentrated in the following aspects: ① Regarding participants: most studies used retrospective design, and some excluded high-risk populations such as those with cognitive impairment, prone to selection bias; ② Regarding predictors: most data came from retrospective medical records, with inconsistent definitions and measurement methods, and some factors had timing bias; ③ Regarding outcome: predictor information was used in outcome determination, with unreasonable assessment time intervals; ④ Regarding analysis: insufficient sample size (most EPV &lt;</w:t>
      </w:r>
      <w:r w:rsidR="00943A1B">
        <w:rPr>
          <w:rFonts w:ascii="Times New Roman" w:hAnsi="Times New Roman" w:cs="Times New Roman"/>
          <w:sz w:val="24"/>
          <w:szCs w:val="24"/>
        </w:rPr>
        <w:t xml:space="preserve"> </w:t>
      </w:r>
      <w:r>
        <w:rPr>
          <w:rFonts w:ascii="Times New Roman" w:hAnsi="Times New Roman" w:cs="Times New Roman"/>
          <w:sz w:val="24"/>
          <w:szCs w:val="24"/>
        </w:rPr>
        <w:t>20), improper continuous variable processing, unclear missing data handling, variable selection involving only univariate analysis, and insufficient model validation (lack of internal validation or only random split processing). This greatly reduced reliability of model performance assessment and generalization performance. Therefore, future studies should strictly follow PROBAST specifications, adopt prospective multicenter design, ensure EPV ≥</w:t>
      </w:r>
      <w:r w:rsidR="00943A1B">
        <w:rPr>
          <w:rFonts w:ascii="Times New Roman" w:hAnsi="Times New Roman" w:cs="Times New Roman"/>
          <w:sz w:val="24"/>
          <w:szCs w:val="24"/>
        </w:rPr>
        <w:t xml:space="preserve"> </w:t>
      </w:r>
      <w:r>
        <w:rPr>
          <w:rFonts w:ascii="Times New Roman" w:hAnsi="Times New Roman" w:cs="Times New Roman"/>
          <w:sz w:val="24"/>
          <w:szCs w:val="24"/>
        </w:rPr>
        <w:t>20, implement scientific and effective variable selection methods, and prioritize Bootstrap method or cross-validation for internal validation while conducting multicenter external validation to construct more reliable ICU delirium risk prediction models.</w:t>
      </w:r>
    </w:p>
    <w:p w14:paraId="1D50A96D" w14:textId="77777777" w:rsidR="009076EE" w:rsidRDefault="009076EE" w:rsidP="00113A51">
      <w:pPr>
        <w:snapToGrid w:val="0"/>
        <w:rPr>
          <w:rFonts w:ascii="Times New Roman" w:hAnsi="Times New Roman" w:cs="Times New Roman"/>
          <w:sz w:val="24"/>
          <w:szCs w:val="24"/>
        </w:rPr>
      </w:pPr>
    </w:p>
    <w:p w14:paraId="3A80709F"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4.2</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Certain </w:t>
      </w:r>
      <w:r>
        <w:rPr>
          <w:rFonts w:ascii="Times New Roman" w:hAnsi="Times New Roman" w:cs="Times New Roman" w:hint="eastAsia"/>
          <w:b/>
          <w:bCs/>
          <w:sz w:val="24"/>
          <w:szCs w:val="24"/>
        </w:rPr>
        <w:t>c</w:t>
      </w:r>
      <w:r>
        <w:rPr>
          <w:rFonts w:ascii="Times New Roman" w:hAnsi="Times New Roman" w:cs="Times New Roman"/>
          <w:b/>
          <w:bCs/>
          <w:sz w:val="24"/>
          <w:szCs w:val="24"/>
        </w:rPr>
        <w:t xml:space="preserve">ommonalities </w:t>
      </w:r>
      <w:r>
        <w:rPr>
          <w:rFonts w:ascii="Times New Roman" w:hAnsi="Times New Roman" w:cs="Times New Roman" w:hint="eastAsia"/>
          <w:b/>
          <w:bCs/>
          <w:sz w:val="24"/>
          <w:szCs w:val="24"/>
        </w:rPr>
        <w:t>e</w:t>
      </w:r>
      <w:r>
        <w:rPr>
          <w:rFonts w:ascii="Times New Roman" w:hAnsi="Times New Roman" w:cs="Times New Roman"/>
          <w:b/>
          <w:bCs/>
          <w:sz w:val="24"/>
          <w:szCs w:val="24"/>
        </w:rPr>
        <w:t xml:space="preserve">xist </w:t>
      </w:r>
      <w:r>
        <w:rPr>
          <w:rFonts w:ascii="Times New Roman" w:hAnsi="Times New Roman" w:cs="Times New Roman" w:hint="eastAsia"/>
          <w:b/>
          <w:bCs/>
          <w:sz w:val="24"/>
          <w:szCs w:val="24"/>
        </w:rPr>
        <w:t>a</w:t>
      </w:r>
      <w:r>
        <w:rPr>
          <w:rFonts w:ascii="Times New Roman" w:hAnsi="Times New Roman" w:cs="Times New Roman"/>
          <w:b/>
          <w:bCs/>
          <w:sz w:val="24"/>
          <w:szCs w:val="24"/>
        </w:rPr>
        <w:t xml:space="preserve">mong </w:t>
      </w:r>
      <w:r>
        <w:rPr>
          <w:rFonts w:ascii="Times New Roman" w:hAnsi="Times New Roman" w:cs="Times New Roman" w:hint="eastAsia"/>
          <w:b/>
          <w:bCs/>
          <w:sz w:val="24"/>
          <w:szCs w:val="24"/>
        </w:rPr>
        <w:t>p</w:t>
      </w:r>
      <w:r>
        <w:rPr>
          <w:rFonts w:ascii="Times New Roman" w:hAnsi="Times New Roman" w:cs="Times New Roman"/>
          <w:b/>
          <w:bCs/>
          <w:sz w:val="24"/>
          <w:szCs w:val="24"/>
        </w:rPr>
        <w:t xml:space="preserve">redictors </w:t>
      </w:r>
      <w:r>
        <w:rPr>
          <w:rFonts w:ascii="Times New Roman" w:hAnsi="Times New Roman" w:cs="Times New Roman" w:hint="eastAsia"/>
          <w:b/>
          <w:bCs/>
          <w:sz w:val="24"/>
          <w:szCs w:val="24"/>
        </w:rPr>
        <w:t>a</w:t>
      </w:r>
      <w:r>
        <w:rPr>
          <w:rFonts w:ascii="Times New Roman" w:hAnsi="Times New Roman" w:cs="Times New Roman"/>
          <w:b/>
          <w:bCs/>
          <w:sz w:val="24"/>
          <w:szCs w:val="24"/>
        </w:rPr>
        <w:t xml:space="preserve">cross </w:t>
      </w:r>
      <w:r>
        <w:rPr>
          <w:rFonts w:ascii="Times New Roman" w:hAnsi="Times New Roman" w:cs="Times New Roman" w:hint="eastAsia"/>
          <w:b/>
          <w:bCs/>
          <w:sz w:val="24"/>
          <w:szCs w:val="24"/>
        </w:rPr>
        <w:t>d</w:t>
      </w:r>
      <w:r>
        <w:rPr>
          <w:rFonts w:ascii="Times New Roman" w:hAnsi="Times New Roman" w:cs="Times New Roman"/>
          <w:b/>
          <w:bCs/>
          <w:sz w:val="24"/>
          <w:szCs w:val="24"/>
        </w:rPr>
        <w:t xml:space="preserve">ifferent </w:t>
      </w:r>
      <w:r>
        <w:rPr>
          <w:rFonts w:ascii="Times New Roman" w:hAnsi="Times New Roman" w:cs="Times New Roman" w:hint="eastAsia"/>
          <w:b/>
          <w:bCs/>
          <w:sz w:val="24"/>
          <w:szCs w:val="24"/>
        </w:rPr>
        <w:t>d</w:t>
      </w:r>
      <w:r>
        <w:rPr>
          <w:rFonts w:ascii="Times New Roman" w:hAnsi="Times New Roman" w:cs="Times New Roman"/>
          <w:b/>
          <w:bCs/>
          <w:sz w:val="24"/>
          <w:szCs w:val="24"/>
        </w:rPr>
        <w:t xml:space="preserve">elirium </w:t>
      </w:r>
      <w:r>
        <w:rPr>
          <w:rFonts w:ascii="Times New Roman" w:hAnsi="Times New Roman" w:cs="Times New Roman" w:hint="eastAsia"/>
          <w:b/>
          <w:bCs/>
          <w:sz w:val="24"/>
          <w:szCs w:val="24"/>
        </w:rPr>
        <w:t>r</w:t>
      </w:r>
      <w:r>
        <w:rPr>
          <w:rFonts w:ascii="Times New Roman" w:hAnsi="Times New Roman" w:cs="Times New Roman"/>
          <w:b/>
          <w:bCs/>
          <w:sz w:val="24"/>
          <w:szCs w:val="24"/>
        </w:rPr>
        <w:t xml:space="preserve">isk </w:t>
      </w:r>
      <w:r>
        <w:rPr>
          <w:rFonts w:ascii="Times New Roman" w:hAnsi="Times New Roman" w:cs="Times New Roman" w:hint="eastAsia"/>
          <w:b/>
          <w:bCs/>
          <w:sz w:val="24"/>
          <w:szCs w:val="24"/>
        </w:rPr>
        <w:t>p</w:t>
      </w:r>
      <w:r>
        <w:rPr>
          <w:rFonts w:ascii="Times New Roman" w:hAnsi="Times New Roman" w:cs="Times New Roman"/>
          <w:b/>
          <w:bCs/>
          <w:sz w:val="24"/>
          <w:szCs w:val="24"/>
        </w:rPr>
        <w:t xml:space="preserve">rediction </w:t>
      </w:r>
      <w:r>
        <w:rPr>
          <w:rFonts w:ascii="Times New Roman" w:hAnsi="Times New Roman" w:cs="Times New Roman" w:hint="eastAsia"/>
          <w:b/>
          <w:bCs/>
          <w:sz w:val="24"/>
          <w:szCs w:val="24"/>
        </w:rPr>
        <w:t>m</w:t>
      </w:r>
      <w:r>
        <w:rPr>
          <w:rFonts w:ascii="Times New Roman" w:hAnsi="Times New Roman" w:cs="Times New Roman"/>
          <w:b/>
          <w:bCs/>
          <w:sz w:val="24"/>
          <w:szCs w:val="24"/>
        </w:rPr>
        <w:t>odels</w:t>
      </w:r>
    </w:p>
    <w:p w14:paraId="6C6D5C2D" w14:textId="14B8FB3E" w:rsidR="009076EE" w:rsidRDefault="00000000" w:rsidP="00113A51">
      <w:pPr>
        <w:snapToGrid w:val="0"/>
        <w:rPr>
          <w:rFonts w:ascii="Times New Roman" w:hAnsi="Times New Roman" w:cs="Times New Roman"/>
          <w:sz w:val="24"/>
          <w:szCs w:val="24"/>
        </w:rPr>
      </w:pPr>
      <w:r>
        <w:rPr>
          <w:rFonts w:ascii="Times New Roman" w:hAnsi="Times New Roman" w:cs="Times New Roman"/>
          <w:sz w:val="24"/>
          <w:szCs w:val="24"/>
        </w:rPr>
        <w:t>Results showed that although variables included in each model had different emphases, they showed obvious commonalities in predictors. Age, APACHE II score, infection/sepsis, metabolic acidosis, and sedative use were common and stable core prediction indicators across multiple model types. Reasons are as follows: with increasing age, elderly patients experience decreased brain reserve function and increased susceptibility to inflammation and metabolic disorders</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[25]</w:t>
      </w:r>
      <w:r>
        <w:rPr>
          <w:rFonts w:ascii="Times New Roman" w:hAnsi="Times New Roman" w:cs="Times New Roman"/>
          <w:sz w:val="24"/>
          <w:szCs w:val="24"/>
        </w:rPr>
        <w:t>; higher APACHE II scores indicate more severe physiological disorders and systemic inflammatory responses, potentially triggering central nervous system inflammatory responses, disrupting neurotransmitter balance, and ultimately causing delirium</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[26]</w:t>
      </w:r>
      <w:r>
        <w:rPr>
          <w:rFonts w:ascii="Times New Roman" w:hAnsi="Times New Roman" w:cs="Times New Roman"/>
          <w:sz w:val="24"/>
          <w:szCs w:val="24"/>
        </w:rPr>
        <w:t>; infection or sepsis can induce delirium by promoting inflammatory responses that damage the blood-brain barrier, activate microglia, induce neuroinflammation, and interfere with neurotransmitter metabolism; metabolic acidosis affects neuronal function and energy metabolism by reducing pH, exacerbating internal environment disorders and promoting delirium occurrence</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[27]</w:t>
      </w:r>
      <w:r>
        <w:rPr>
          <w:rFonts w:ascii="Times New Roman" w:hAnsi="Times New Roman" w:cs="Times New Roman"/>
          <w:sz w:val="24"/>
          <w:szCs w:val="24"/>
        </w:rPr>
        <w:t>; sedative use (especially benzodiazepines) inhibits the central cholinergic system, disrupts sleep cycles, and increases delirium risk</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[28]</w:t>
      </w:r>
      <w:r>
        <w:rPr>
          <w:rFonts w:ascii="Times New Roman" w:hAnsi="Times New Roman" w:cs="Times New Roman"/>
          <w:sz w:val="24"/>
          <w:szCs w:val="24"/>
        </w:rPr>
        <w:t>. Notably, some factors such as GCS score and mechanical ventilation had relatively lower consensus but still held important value in specific clinical contexts. For example, GCS score can reflect consciousness level and has important value for assessing consciousness state in postoperative patients with traumatic brain injury</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[29]</w:t>
      </w:r>
      <w:r>
        <w:rPr>
          <w:rFonts w:ascii="Times New Roman" w:hAnsi="Times New Roman" w:cs="Times New Roman"/>
          <w:sz w:val="24"/>
          <w:szCs w:val="24"/>
        </w:rPr>
        <w:t>; prolonged mechanical ventilation duration can cause acute changes in patients</w:t>
      </w:r>
      <w:r w:rsidR="00943A1B">
        <w:rPr>
          <w:rFonts w:ascii="Times New Roman" w:hAnsi="Times New Roman" w:cs="Times New Roman"/>
          <w:sz w:val="24"/>
          <w:szCs w:val="24"/>
        </w:rPr>
        <w:t>’</w:t>
      </w:r>
      <w:r>
        <w:rPr>
          <w:rFonts w:ascii="Times New Roman" w:hAnsi="Times New Roman" w:cs="Times New Roman"/>
          <w:sz w:val="24"/>
          <w:szCs w:val="24"/>
        </w:rPr>
        <w:t xml:space="preserve"> cognitive and consciousness states</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[30]</w:t>
      </w:r>
      <w:r>
        <w:rPr>
          <w:rFonts w:ascii="Times New Roman" w:hAnsi="Times New Roman" w:cs="Times New Roman"/>
          <w:sz w:val="24"/>
          <w:szCs w:val="24"/>
        </w:rPr>
        <w:t>; cardiopulmonary bypass time has critical value in application to post-cardiac surgery patients. Based on this, during clinical practice, stratified screening strategies combining core factors with scenario-specific factors should be appropriately implemented: for modifiable factors such as sedative use and mechanical ventilation, dynamic dose adjustment and daily spontaneous breathing trials should be managed proactively; for high-risk populations such as elderly patients and those with high APACHE II scores, early warning stratified monitoring programs should be established. Additionally, medical-nursing communication and handover systems should be strengthened to ensure effective transmission of high-risk patient information across shifts; at the nursing level, early mobilization interventions, sensory stimulation regulation, and sleep protection measures should be implemented to achieve organic combination of risk identification and preventive intervention.</w:t>
      </w:r>
    </w:p>
    <w:p w14:paraId="3A761113" w14:textId="77777777" w:rsidR="009076EE" w:rsidRDefault="009076EE" w:rsidP="00113A51">
      <w:pPr>
        <w:snapToGrid w:val="0"/>
        <w:rPr>
          <w:rFonts w:ascii="Times New Roman" w:hAnsi="Times New Roman" w:cs="Times New Roman"/>
          <w:sz w:val="24"/>
          <w:szCs w:val="24"/>
        </w:rPr>
      </w:pPr>
    </w:p>
    <w:p w14:paraId="5E79E0F0"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4.3</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Clinical </w:t>
      </w:r>
      <w:r>
        <w:rPr>
          <w:rFonts w:ascii="Times New Roman" w:hAnsi="Times New Roman" w:cs="Times New Roman" w:hint="eastAsia"/>
          <w:b/>
          <w:bCs/>
          <w:sz w:val="24"/>
          <w:szCs w:val="24"/>
        </w:rPr>
        <w:t>s</w:t>
      </w:r>
      <w:r>
        <w:rPr>
          <w:rFonts w:ascii="Times New Roman" w:hAnsi="Times New Roman" w:cs="Times New Roman"/>
          <w:b/>
          <w:bCs/>
          <w:sz w:val="24"/>
          <w:szCs w:val="24"/>
        </w:rPr>
        <w:t xml:space="preserve">creening </w:t>
      </w:r>
      <w:r>
        <w:rPr>
          <w:rFonts w:ascii="Times New Roman" w:hAnsi="Times New Roman" w:cs="Times New Roman" w:hint="eastAsia"/>
          <w:b/>
          <w:bCs/>
          <w:sz w:val="24"/>
          <w:szCs w:val="24"/>
        </w:rPr>
        <w:t>p</w:t>
      </w:r>
      <w:r>
        <w:rPr>
          <w:rFonts w:ascii="Times New Roman" w:hAnsi="Times New Roman" w:cs="Times New Roman"/>
          <w:b/>
          <w:bCs/>
          <w:sz w:val="24"/>
          <w:szCs w:val="24"/>
        </w:rPr>
        <w:t xml:space="preserve">athways for ICU </w:t>
      </w:r>
      <w:r>
        <w:rPr>
          <w:rFonts w:ascii="Times New Roman" w:hAnsi="Times New Roman" w:cs="Times New Roman" w:hint="eastAsia"/>
          <w:b/>
          <w:bCs/>
          <w:sz w:val="24"/>
          <w:szCs w:val="24"/>
        </w:rPr>
        <w:t>d</w:t>
      </w:r>
      <w:r>
        <w:rPr>
          <w:rFonts w:ascii="Times New Roman" w:hAnsi="Times New Roman" w:cs="Times New Roman"/>
          <w:b/>
          <w:bCs/>
          <w:sz w:val="24"/>
          <w:szCs w:val="24"/>
        </w:rPr>
        <w:t xml:space="preserve">elirium </w:t>
      </w:r>
      <w:r>
        <w:rPr>
          <w:rFonts w:ascii="Times New Roman" w:hAnsi="Times New Roman" w:cs="Times New Roman" w:hint="eastAsia"/>
          <w:b/>
          <w:bCs/>
          <w:sz w:val="24"/>
          <w:szCs w:val="24"/>
        </w:rPr>
        <w:t>r</w:t>
      </w:r>
      <w:r>
        <w:rPr>
          <w:rFonts w:ascii="Times New Roman" w:hAnsi="Times New Roman" w:cs="Times New Roman"/>
          <w:b/>
          <w:bCs/>
          <w:sz w:val="24"/>
          <w:szCs w:val="24"/>
        </w:rPr>
        <w:t xml:space="preserve">isk </w:t>
      </w:r>
      <w:r>
        <w:rPr>
          <w:rFonts w:ascii="Times New Roman" w:hAnsi="Times New Roman" w:cs="Times New Roman" w:hint="eastAsia"/>
          <w:b/>
          <w:bCs/>
          <w:sz w:val="24"/>
          <w:szCs w:val="24"/>
        </w:rPr>
        <w:t>p</w:t>
      </w:r>
      <w:r>
        <w:rPr>
          <w:rFonts w:ascii="Times New Roman" w:hAnsi="Times New Roman" w:cs="Times New Roman"/>
          <w:b/>
          <w:bCs/>
          <w:sz w:val="24"/>
          <w:szCs w:val="24"/>
        </w:rPr>
        <w:t xml:space="preserve">rediction </w:t>
      </w:r>
      <w:r>
        <w:rPr>
          <w:rFonts w:ascii="Times New Roman" w:hAnsi="Times New Roman" w:cs="Times New Roman" w:hint="eastAsia"/>
          <w:b/>
          <w:bCs/>
          <w:sz w:val="24"/>
          <w:szCs w:val="24"/>
        </w:rPr>
        <w:t>m</w:t>
      </w:r>
      <w:r>
        <w:rPr>
          <w:rFonts w:ascii="Times New Roman" w:hAnsi="Times New Roman" w:cs="Times New Roman"/>
          <w:b/>
          <w:bCs/>
          <w:sz w:val="24"/>
          <w:szCs w:val="24"/>
        </w:rPr>
        <w:t xml:space="preserve">odels and </w:t>
      </w:r>
      <w:r>
        <w:rPr>
          <w:rFonts w:ascii="Times New Roman" w:hAnsi="Times New Roman" w:cs="Times New Roman" w:hint="eastAsia"/>
          <w:b/>
          <w:bCs/>
          <w:sz w:val="24"/>
          <w:szCs w:val="24"/>
        </w:rPr>
        <w:t>f</w:t>
      </w:r>
      <w:r>
        <w:rPr>
          <w:rFonts w:ascii="Times New Roman" w:hAnsi="Times New Roman" w:cs="Times New Roman"/>
          <w:b/>
          <w:bCs/>
          <w:sz w:val="24"/>
          <w:szCs w:val="24"/>
        </w:rPr>
        <w:t xml:space="preserve">uture </w:t>
      </w:r>
      <w:r>
        <w:rPr>
          <w:rFonts w:ascii="Times New Roman" w:hAnsi="Times New Roman" w:cs="Times New Roman" w:hint="eastAsia"/>
          <w:b/>
          <w:bCs/>
          <w:sz w:val="24"/>
          <w:szCs w:val="24"/>
        </w:rPr>
        <w:t>p</w:t>
      </w:r>
      <w:r>
        <w:rPr>
          <w:rFonts w:ascii="Times New Roman" w:hAnsi="Times New Roman" w:cs="Times New Roman"/>
          <w:b/>
          <w:bCs/>
          <w:sz w:val="24"/>
          <w:szCs w:val="24"/>
        </w:rPr>
        <w:t>rospects</w:t>
      </w:r>
    </w:p>
    <w:p w14:paraId="04B74BA1" w14:textId="178B44D4" w:rsidR="009076EE" w:rsidRDefault="00000000" w:rsidP="00113A51">
      <w:pPr>
        <w:snapToGrid w:val="0"/>
        <w:rPr>
          <w:rFonts w:ascii="Times New Roman" w:hAnsi="Times New Roman" w:cs="Times New Roman"/>
          <w:sz w:val="24"/>
          <w:szCs w:val="24"/>
        </w:rPr>
      </w:pPr>
      <w:r>
        <w:rPr>
          <w:rFonts w:ascii="Times New Roman" w:hAnsi="Times New Roman" w:cs="Times New Roman"/>
          <w:sz w:val="24"/>
          <w:szCs w:val="24"/>
        </w:rPr>
        <w:t>Currently, the number of ICU delirium risk prediction models is increasing, but clinical generalizability still requires verification. Reasons include: model generalization ability is generally insufficient, most are constructed based on specific subpopulations, and performance significantly decreases when applied to general ICU patients, such as E-PRE-DELIRIC showing AUC of only 0.54 in cardiac surgery validation</w:t>
      </w:r>
      <w:r w:rsidR="00943A1B">
        <w:rPr>
          <w:rFonts w:ascii="Times New Roman" w:hAnsi="Times New Roman" w:cs="Times New Roman"/>
          <w:sz w:val="24"/>
          <w:szCs w:val="24"/>
        </w:rPr>
        <w:t xml:space="preserve"> </w:t>
      </w:r>
      <w:r>
        <w:rPr>
          <w:rFonts w:ascii="Times New Roman" w:hAnsi="Times New Roman" w:cs="Times New Roman"/>
          <w:sz w:val="24"/>
          <w:szCs w:val="24"/>
          <w:vertAlign w:val="superscript"/>
        </w:rPr>
        <w:t>[</w:t>
      </w:r>
      <w:r>
        <w:rPr>
          <w:rFonts w:ascii="Times New Roman" w:hAnsi="Times New Roman" w:cs="Times New Roman" w:hint="eastAsia"/>
          <w:sz w:val="24"/>
          <w:szCs w:val="24"/>
          <w:vertAlign w:val="superscript"/>
        </w:rPr>
        <w:t>24,</w:t>
      </w:r>
      <w:r>
        <w:rPr>
          <w:rFonts w:ascii="Times New Roman" w:hAnsi="Times New Roman" w:cs="Times New Roman"/>
          <w:sz w:val="24"/>
          <w:szCs w:val="24"/>
          <w:vertAlign w:val="superscript"/>
        </w:rPr>
        <w:t>31]</w:t>
      </w:r>
      <w:r>
        <w:rPr>
          <w:rFonts w:ascii="Times New Roman" w:hAnsi="Times New Roman" w:cs="Times New Roman"/>
          <w:sz w:val="24"/>
          <w:szCs w:val="24"/>
        </w:rPr>
        <w:t>; differences exist among delirium assessment tools (CAM-ICU, ICDSC, etc.) used in different studies, limiting comparability between models. Additionally, methodologically, 82.4% of studies relied on logistic regression, making it difficult to capture nonlinear relationships, coupled with problems such as insufficient sample size (EPV &lt;</w:t>
      </w:r>
      <w:r w:rsidR="00943A1B">
        <w:rPr>
          <w:rFonts w:ascii="Times New Roman" w:hAnsi="Times New Roman" w:cs="Times New Roman"/>
          <w:sz w:val="24"/>
          <w:szCs w:val="24"/>
        </w:rPr>
        <w:t xml:space="preserve"> </w:t>
      </w:r>
      <w:r>
        <w:rPr>
          <w:rFonts w:ascii="Times New Roman" w:hAnsi="Times New Roman" w:cs="Times New Roman"/>
          <w:sz w:val="24"/>
          <w:szCs w:val="24"/>
        </w:rPr>
        <w:t>20), improper continuous variable processing, and lack of external validation, leading to high bias risk in studies. Therefore, establishing a stratified screening mechanism is recommended: first evaluate compatibility between model and target population, reviewing whether inclusion criteria, assessment tools, and outcome definitions are consistent; second, assess methodological quality according to PROBAST evaluation, prioritizing models with prospective design, sufficient sample size (EPV ≥</w:t>
      </w:r>
      <w:r w:rsidR="00943A1B">
        <w:rPr>
          <w:rFonts w:ascii="Times New Roman" w:hAnsi="Times New Roman" w:cs="Times New Roman"/>
          <w:sz w:val="24"/>
          <w:szCs w:val="24"/>
        </w:rPr>
        <w:t xml:space="preserve"> </w:t>
      </w:r>
      <w:r>
        <w:rPr>
          <w:rFonts w:ascii="Times New Roman" w:hAnsi="Times New Roman" w:cs="Times New Roman"/>
          <w:sz w:val="24"/>
          <w:szCs w:val="24"/>
        </w:rPr>
        <w:t xml:space="preserve">20), reasonable variable processing, and multicenter validation; finally, balance prediction performance with clinical operability, focusing on calibration and accessibility of predictors in routine monitoring. Future study design should prioritize prospective multicenter large-sample cohorts and follow reporting standards such as TRIPOD and CHARMS; modeling can introduce machine learning algorithms to explore complex associations. Meanwhile, urgent need exists to unify delirium assessment standards and core variable definitions, promote database sharing, and enhance comparability. Ultimately, validated </w:t>
      </w:r>
      <w:r>
        <w:rPr>
          <w:rFonts w:ascii="Times New Roman" w:hAnsi="Times New Roman" w:cs="Times New Roman"/>
          <w:sz w:val="24"/>
          <w:szCs w:val="24"/>
        </w:rPr>
        <w:lastRenderedPageBreak/>
        <w:t>models should be embedded in electronic medical records or mobile nursing systems to achieve real-time dynamic assessment and interface with ABCDEF bundle care, constructing a decision-making closed loop from early warning to intervention to effectively reduce delirium incidence.</w:t>
      </w:r>
    </w:p>
    <w:p w14:paraId="06DD1D4F" w14:textId="77777777" w:rsidR="009076EE" w:rsidRDefault="009076EE" w:rsidP="00113A51">
      <w:pPr>
        <w:snapToGrid w:val="0"/>
        <w:rPr>
          <w:rFonts w:ascii="Times New Roman" w:hAnsi="Times New Roman" w:cs="Times New Roman"/>
          <w:sz w:val="24"/>
          <w:szCs w:val="24"/>
        </w:rPr>
      </w:pPr>
    </w:p>
    <w:p w14:paraId="6BBA0D8E"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5. Conclusion</w:t>
      </w:r>
    </w:p>
    <w:p w14:paraId="5BA6E0B8" w14:textId="54DC418C" w:rsidR="009076EE" w:rsidRDefault="00000000" w:rsidP="00113A51">
      <w:pPr>
        <w:snapToGrid w:val="0"/>
        <w:rPr>
          <w:rFonts w:ascii="Times New Roman" w:hAnsi="Times New Roman" w:cs="Times New Roman"/>
          <w:sz w:val="24"/>
          <w:szCs w:val="24"/>
        </w:rPr>
      </w:pPr>
      <w:r>
        <w:rPr>
          <w:rFonts w:ascii="Times New Roman" w:hAnsi="Times New Roman" w:cs="Times New Roman"/>
          <w:sz w:val="24"/>
          <w:szCs w:val="24"/>
        </w:rPr>
        <w:t>This study included 17 studies involving 18 prediction models for adult ICU delirium risk, systematically evaluating participants, predictors, outcomes, and analysis aspects of each model. Results showed that existing adult ICU delirium risk prediction models generally demonstrated good discrimination (AUC range 0.732</w:t>
      </w:r>
      <w:r w:rsidR="00943A1B">
        <w:rPr>
          <w:rFonts w:ascii="Times New Roman" w:hAnsi="Times New Roman" w:cs="Times New Roman"/>
          <w:sz w:val="24"/>
          <w:szCs w:val="24"/>
        </w:rPr>
        <w:t>–</w:t>
      </w:r>
      <w:r>
        <w:rPr>
          <w:rFonts w:ascii="Times New Roman" w:hAnsi="Times New Roman" w:cs="Times New Roman"/>
          <w:sz w:val="24"/>
          <w:szCs w:val="24"/>
        </w:rPr>
        <w:t>0.941), but most studies had high bias risk due to: incomplete model validation system, inconsistent validation methods, improper continuous variable processing, and lack of multicenter large-sample data. Therefore, in future research, referring to PROBAST guidelines, procedures for prediction model construction and validation should be standardized, using combined internal-external validation, cross-validation, and other methods to improve model validation system. Meanwhile, multicenter, large-sample prospective studies should be conducted to enhance model stability and clinical application value. Moreover, during clinical nursing application, models should be carefully selected based on target population, delirium assessment tools, prediction time points, and variable availability, and risk warning should be linked with standardized delirium screening and ABCDEF bundle care interventions to promote translation of prediction models into clinical practice.</w:t>
      </w:r>
    </w:p>
    <w:p w14:paraId="2C07CE7C"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Funding</w:t>
      </w:r>
    </w:p>
    <w:p w14:paraId="42892424" w14:textId="33DA930A" w:rsidR="009076EE" w:rsidRDefault="00000000" w:rsidP="00113A51">
      <w:pPr>
        <w:snapToGrid w:val="0"/>
        <w:rPr>
          <w:rFonts w:ascii="Times New Roman" w:hAnsi="Times New Roman" w:cs="Times New Roman"/>
          <w:sz w:val="24"/>
          <w:szCs w:val="24"/>
        </w:rPr>
      </w:pPr>
      <w:r>
        <w:rPr>
          <w:rFonts w:ascii="Times New Roman" w:hAnsi="Times New Roman" w:cs="Times New Roman"/>
          <w:sz w:val="24"/>
          <w:szCs w:val="24"/>
        </w:rPr>
        <w:t>Chinese Nursing Association Scientific Research Project in 2022 (</w:t>
      </w:r>
      <w:r w:rsidR="00943A1B">
        <w:rPr>
          <w:rFonts w:ascii="Times New Roman" w:hAnsi="Times New Roman" w:cs="Times New Roman"/>
          <w:sz w:val="24"/>
          <w:szCs w:val="24"/>
        </w:rPr>
        <w:t>Project</w:t>
      </w:r>
      <w:r w:rsidR="00943A1B">
        <w:rPr>
          <w:rFonts w:ascii="Times New Roman" w:hAnsi="Times New Roman" w:cs="Times New Roman"/>
          <w:sz w:val="24"/>
          <w:szCs w:val="24"/>
        </w:rPr>
        <w:t xml:space="preserve"> </w:t>
      </w:r>
      <w:r>
        <w:rPr>
          <w:rFonts w:ascii="Times New Roman" w:hAnsi="Times New Roman" w:cs="Times New Roman"/>
          <w:sz w:val="24"/>
          <w:szCs w:val="24"/>
        </w:rPr>
        <w:t>No.</w:t>
      </w:r>
      <w:r w:rsidR="00943A1B">
        <w:rPr>
          <w:rFonts w:ascii="Times New Roman" w:hAnsi="Times New Roman" w:cs="Times New Roman"/>
          <w:sz w:val="24"/>
          <w:szCs w:val="24"/>
        </w:rPr>
        <w:t>:</w:t>
      </w:r>
      <w:r>
        <w:rPr>
          <w:rFonts w:ascii="Times New Roman" w:hAnsi="Times New Roman" w:cs="Times New Roman"/>
          <w:sz w:val="24"/>
          <w:szCs w:val="24"/>
        </w:rPr>
        <w:t xml:space="preserve"> CMAPH-NRD2021023)</w:t>
      </w:r>
    </w:p>
    <w:p w14:paraId="223C62A7" w14:textId="77777777" w:rsidR="009076EE" w:rsidRDefault="009076EE" w:rsidP="00113A51">
      <w:pPr>
        <w:snapToGrid w:val="0"/>
        <w:rPr>
          <w:rFonts w:ascii="Times New Roman" w:hAnsi="Times New Roman" w:cs="Times New Roman"/>
          <w:sz w:val="24"/>
          <w:szCs w:val="24"/>
        </w:rPr>
      </w:pPr>
    </w:p>
    <w:p w14:paraId="01A177E3" w14:textId="77777777" w:rsidR="009076EE" w:rsidRDefault="00000000" w:rsidP="00113A51">
      <w:pPr>
        <w:snapToGrid w:val="0"/>
        <w:rPr>
          <w:rFonts w:ascii="Times New Roman" w:hAnsi="Times New Roman"/>
          <w:b/>
          <w:bCs/>
          <w:sz w:val="24"/>
        </w:rPr>
      </w:pPr>
      <w:r>
        <w:rPr>
          <w:rFonts w:ascii="Times New Roman" w:hAnsi="Times New Roman"/>
          <w:b/>
          <w:bCs/>
          <w:sz w:val="24"/>
        </w:rPr>
        <w:t>Disclosure statement</w:t>
      </w:r>
    </w:p>
    <w:p w14:paraId="2A81036D" w14:textId="77777777" w:rsidR="009076EE" w:rsidRDefault="00000000" w:rsidP="00113A51">
      <w:pPr>
        <w:snapToGrid w:val="0"/>
        <w:rPr>
          <w:rFonts w:ascii="Times New Roman" w:hAnsi="Times New Roman"/>
          <w:sz w:val="24"/>
        </w:rPr>
      </w:pPr>
      <w:r>
        <w:rPr>
          <w:rFonts w:ascii="Times New Roman" w:hAnsi="Times New Roman"/>
          <w:sz w:val="24"/>
        </w:rPr>
        <w:t>The authors declare no conflict of interest.</w:t>
      </w:r>
    </w:p>
    <w:p w14:paraId="326D3CC6" w14:textId="77777777" w:rsidR="009076EE" w:rsidRDefault="009076EE" w:rsidP="00113A51">
      <w:pPr>
        <w:snapToGrid w:val="0"/>
        <w:rPr>
          <w:rFonts w:ascii="Times New Roman" w:hAnsi="Times New Roman"/>
          <w:sz w:val="24"/>
        </w:rPr>
      </w:pPr>
    </w:p>
    <w:p w14:paraId="23C1448C" w14:textId="77777777" w:rsidR="009076EE" w:rsidRDefault="00000000" w:rsidP="00113A51">
      <w:pPr>
        <w:snapToGrid w:val="0"/>
        <w:rPr>
          <w:rFonts w:ascii="Times New Roman" w:hAnsi="Times New Roman" w:cs="Times New Roman"/>
          <w:sz w:val="24"/>
          <w:szCs w:val="24"/>
        </w:rPr>
      </w:pPr>
      <w:r>
        <w:rPr>
          <w:rFonts w:ascii="Times New Roman" w:hAnsi="Times New Roman" w:cs="Times New Roman"/>
          <w:b/>
          <w:bCs/>
          <w:sz w:val="24"/>
          <w:szCs w:val="24"/>
        </w:rPr>
        <w:t>References</w:t>
      </w:r>
    </w:p>
    <w:p w14:paraId="7ABC4268"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[1]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American Geriatrics Society, 2015, Abstracted Clinical Practice Guideline for Postoperative Delirium in Older Adults. Journal of the American Geriatrics Society, 63(1): 142–150.</w:t>
      </w:r>
    </w:p>
    <w:p w14:paraId="4B1C5CB8"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[2]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Stollings J, Kotfis K, Chanques G, et al., 2021, Delirium in Critical Illness: Clinical Manifestations, Outcomes, and Management. Intensive Care Medicine, 47(10): 1089–1103.</w:t>
      </w:r>
    </w:p>
    <w:p w14:paraId="6B0E5154"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[3]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Wilcox M, Girard T, Hough C, 2021, Delirium and Long Term Cognition in Critically Ill Patients. BMJ (Clinical Research Ed), 373: n1007.</w:t>
      </w:r>
    </w:p>
    <w:p w14:paraId="2B826920"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[4]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Vickers A, Holland F, 2021, Decision Curve Analysis to Evaluate the Clinical Benefit of Prediction Models. The Spine Journal: Official Journal of the North American Spine Society, 21(10): 1643–1648.</w:t>
      </w:r>
    </w:p>
    <w:p w14:paraId="620ADB64"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[5]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Wolff R, Moons K, Riley R, et al., 2019, PROBAST: A Tool to Assess the Risk of Bias and Applicability of Prediction Model Studies. Annals of Internal Medicine, 170(1): 51–58.</w:t>
      </w:r>
    </w:p>
    <w:p w14:paraId="6A97E28F"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[6]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Chen X, Zhang Y, Zhuang Y, et al., 2020, PROBAST: An Assessment Tool for Risk of Bias in Diagnostic or Prognostic Multivariable Prediction Model Studies. Chinese Journal of Evidence-Based Medicine, 20(6): 737–744.</w:t>
      </w:r>
    </w:p>
    <w:p w14:paraId="166F5627"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[7]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Sosa F, Roberti J, Franco M, et al., 2018, Assessment of Delirium Using the PRE-DELIRIC Model in an Intensive Care Unit in Argentina. Revista Brasileira de Terapia Intensiva, 30(1): 50–56.</w:t>
      </w:r>
    </w:p>
    <w:p w14:paraId="453DDD06"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[8]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Chen D, Yang X, 2025, Developing a Nomogram to Predict the Risk of Delirium in ICU Patients: A Retrospective Cohort Study. Risk Management and Healthcare Policy, 18: 3221–3233.</w:t>
      </w:r>
    </w:p>
    <w:p w14:paraId="6F3FA7A0"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[9]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Fan H, Ji M, Huang J, et al., 2019, Development and Validation of a Dynamic Delirium Prediction Rule in Patients Admitted to the Intensive Care Units (DYNAMIC-ICU): A Prospective Cohort Study. International Journal of Nursing Studies, 93: 64–73.</w:t>
      </w:r>
    </w:p>
    <w:p w14:paraId="0E7F7C67"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[10]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 xml:space="preserve">Moon K, Jin Y, Jin T, et al., 2018, Development and Validation of an Automated Delirium Risk Assessment System (Auto-DelRAS) Implemented in the Electronic Health Record </w:t>
      </w:r>
      <w:r w:rsidRPr="00943A1B">
        <w:rPr>
          <w:rFonts w:ascii="Times New Roman" w:hAnsi="Times New Roman" w:cs="Times New Roman"/>
          <w:sz w:val="24"/>
          <w:szCs w:val="24"/>
          <w:lang w:val="en-MY"/>
        </w:rPr>
        <w:lastRenderedPageBreak/>
        <w:t>System. International Journal of Nursing Studies, 77: 46–53.</w:t>
      </w:r>
    </w:p>
    <w:p w14:paraId="76F01514"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[11]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Cherak S, Soo A, Brown K, et al., 2020, Development and Validation of Delirium Prediction Model for Critically Ill Adults Parameterized to ICU Admission Acuity. PLoS One, 15(8): e0237639.</w:t>
      </w:r>
    </w:p>
    <w:p w14:paraId="0BFFA3DC"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[12]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Van Den Boogaard M, Pickkers P, Slooter A, et al., 2012, Development and Validation of PRE-DELIRIC (PREdiction of DELIRium in ICu Patients) Delirium Prediction Model for Intensive Care Patients: Observational Multicentre Study. BMJ (Clinical Research Ed), 344: e420.</w:t>
      </w:r>
    </w:p>
    <w:p w14:paraId="3E1E71FA"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[13]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Chen Y, Du H, Wei B, et al., 2017, Development and Validation of Risk-Stratification Delirium Prediction Model for Critically Ill Patients: A Prospective, Observational, Single-Center Study. Medicine, 96(29): e7543.</w:t>
      </w:r>
    </w:p>
    <w:p w14:paraId="0D6AEBE6"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[14]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Wang M, Kuo Y, Kuo L, et al., 2023, Early Prediction of Delirium Upon Intensive Care Unit Admission: Model Development, Validation, and Deployment. Journal of Clinical Anesthesia, 88: 111121.</w:t>
      </w:r>
    </w:p>
    <w:p w14:paraId="26A0CE43"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[15]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 xml:space="preserve">Dai X, Xing Y, Guo D, et al., 2024, Construction and Application of Delirium Risk Prediction Model for ICU Patients </w:t>
      </w:r>
      <w:r>
        <w:rPr>
          <w:rFonts w:ascii="Times New Roman" w:hAnsi="Times New Roman" w:cs="Times New Roman"/>
          <w:sz w:val="24"/>
          <w:szCs w:val="24"/>
          <w:lang w:val="en-MY"/>
        </w:rPr>
        <w:t>w</w:t>
      </w:r>
      <w:r w:rsidRPr="00943A1B">
        <w:rPr>
          <w:rFonts w:ascii="Times New Roman" w:hAnsi="Times New Roman" w:cs="Times New Roman"/>
          <w:sz w:val="24"/>
          <w:szCs w:val="24"/>
          <w:lang w:val="en-MY"/>
        </w:rPr>
        <w:t>ith Respiratory Failure on Mechanical Ventilation. Heilongjiang Medical Journal, 48(5): 624–626.</w:t>
      </w:r>
    </w:p>
    <w:p w14:paraId="480027D7"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[16]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Zhang H, Gan X, Zhou W, et al., 2024, Construction and Validation of Dynamic Nomogram Prediction Model for Hypoactive Delirium Risk in ICU Patients. Chinese Journal of Critical Care &amp; Emergency Nursing, 5(6): 485–492.</w:t>
      </w:r>
    </w:p>
    <w:p w14:paraId="1A2F20E8"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[17]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Zhu X, 2017, Analysis of Risk Factors for ICU Delirium and Construction of Risk Prediction Model, thesis, Third Military Medical University.</w:t>
      </w:r>
    </w:p>
    <w:p w14:paraId="2C7FAA65"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[18]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Shen X, Ma P, Feng G, et al., 2023, Analysis of Risk Factors and Prediction Model for Delirium in Critically Ill ICU Patients. China Modern Doctor, 61(4): 45–49.</w:t>
      </w:r>
    </w:p>
    <w:p w14:paraId="19FB113D"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[19]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Wassenaar A, Van Den Boogaard M, Van Achterberg T, et al., 2015, Multinational Development and Validation of an Early Prediction Model for Delirium in ICU Patients. Intensive Care Medicine, 41(6): 1048–1056.</w:t>
      </w:r>
    </w:p>
    <w:p w14:paraId="710A722F"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[20]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Cao Y, Zhang M, Pan G, et al., 2023, Effectiveness and Predictive Performance of Delirium Management Model Based on E-PRE-DELIRIC Risk Stratification in Intensive Care Unit. Academic Journal of Chinese PLA Medical School, 44(5): 501–507 + 524.</w:t>
      </w:r>
    </w:p>
    <w:p w14:paraId="41DD1905"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[21]</w:t>
      </w:r>
      <w:r>
        <w:rPr>
          <w:rFonts w:ascii="Times New Roman" w:hAnsi="Times New Roman" w:cs="Times New Roman"/>
          <w:sz w:val="24"/>
          <w:szCs w:val="24"/>
          <w:lang w:val="en-MY"/>
        </w:rPr>
        <w:tab/>
      </w:r>
      <w:r w:rsidRPr="00943A1B">
        <w:rPr>
          <w:rFonts w:ascii="Times New Roman" w:hAnsi="Times New Roman" w:cs="Times New Roman"/>
          <w:sz w:val="24"/>
          <w:szCs w:val="24"/>
          <w:lang w:val="en-MY"/>
        </w:rPr>
        <w:t>Zhang S, Liu L, Wu Y, 2025, Construction of Delirium Prediction Model for Middle-Aged and Elderly ICU Patients Based on Logistic Regression and Random Forest Algorithm. Journal of Nurses Training, 40(24): 2663–2670.</w:t>
      </w:r>
    </w:p>
    <w:p w14:paraId="3FCECD8C"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[22]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 xml:space="preserve">Chang J, Ding S, Feng B, 2024, Impact of Delirium During Mechanical Ventilation on Prognosis in Elderly Patients </w:t>
      </w:r>
      <w:r>
        <w:rPr>
          <w:rFonts w:ascii="Times New Roman" w:hAnsi="Times New Roman" w:cs="Times New Roman"/>
          <w:sz w:val="24"/>
          <w:szCs w:val="24"/>
          <w:lang w:val="en-MY"/>
        </w:rPr>
        <w:t>w</w:t>
      </w:r>
      <w:r w:rsidRPr="00943A1B">
        <w:rPr>
          <w:rFonts w:ascii="Times New Roman" w:hAnsi="Times New Roman" w:cs="Times New Roman"/>
          <w:sz w:val="24"/>
          <w:szCs w:val="24"/>
          <w:lang w:val="en-MY"/>
        </w:rPr>
        <w:t>ith Severe Pneumonia and Construction of Prediction Model. Shandong Medical Journal, 64(31): 30–34.</w:t>
      </w:r>
    </w:p>
    <w:p w14:paraId="2F4EA896"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[23]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Huang B, Chen Y, Yang L, 2023, Construction and Validation of Nomogram Prediction Model for Delirium in Intensive Care Unit Patients. Chinese Evidence-Based Nursing, 9(14): 2601–2605.</w:t>
      </w:r>
    </w:p>
    <w:p w14:paraId="785B092C"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[24]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Song Q, Xu H, Cui H, et al., 2025, Current Status and Influencing Factors of ICU Delirium in Patients After Cardiac Surgery. Smart Healthcare, 11(12): 29–36.</w:t>
      </w:r>
    </w:p>
    <w:p w14:paraId="6E480309"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[25]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Shi Q, Mu X, Zhang C, et al., 2019, Risk Factors for Postoperative Delirium in Type A Aortic Dissection Patients: A Retrospective Study. Medical Science Monitor: International Medical Journal of Experimental and Clinical Research, 25: 3692–3699.</w:t>
      </w:r>
    </w:p>
    <w:p w14:paraId="4A22E969"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[26]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Li C, Li D, Bai S, et al., 2019, Progress in Pathophysiological Mechanisms and Risk Factors Prevention and Treatment of Postoperative Delirium. Chinese Journal of Gerontology, 39(5): 1273–1277.</w:t>
      </w:r>
    </w:p>
    <w:p w14:paraId="1E2D6FD4"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[27]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Cortese G, Burger C, 2017, Neuroinflammatory Challenges Compromise Neuronal Function in the Aging Brain: Postoperative Cognitive Delirium and Alzheimer’s Disease. Behavioural Brain Research, 322(Pt B): 269–279.</w:t>
      </w:r>
    </w:p>
    <w:p w14:paraId="79DF4C67"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[28]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Jayaswal A, Sampath H, Soohinda G, et al., 2019, Delirium in Medical Intensive Care Units: Incidence, Subtypes, Risk Factors, and Outcome. Indian Journal of Psychiatry, 61(4): 352–</w:t>
      </w:r>
      <w:r w:rsidRPr="00943A1B">
        <w:rPr>
          <w:rFonts w:ascii="Times New Roman" w:hAnsi="Times New Roman" w:cs="Times New Roman"/>
          <w:sz w:val="24"/>
          <w:szCs w:val="24"/>
          <w:lang w:val="en-MY"/>
        </w:rPr>
        <w:lastRenderedPageBreak/>
        <w:t>358.</w:t>
      </w:r>
    </w:p>
    <w:p w14:paraId="0748ADC5"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[29]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 xml:space="preserve">Reznik M, Kalagara R, Moody S, et al., 2021, Common Biomarkers of Physiologic Stress and Associations </w:t>
      </w:r>
      <w:r>
        <w:rPr>
          <w:rFonts w:ascii="Times New Roman" w:hAnsi="Times New Roman" w:cs="Times New Roman"/>
          <w:sz w:val="24"/>
          <w:szCs w:val="24"/>
          <w:lang w:val="en-MY"/>
        </w:rPr>
        <w:t>w</w:t>
      </w:r>
      <w:r w:rsidRPr="00943A1B">
        <w:rPr>
          <w:rFonts w:ascii="Times New Roman" w:hAnsi="Times New Roman" w:cs="Times New Roman"/>
          <w:sz w:val="24"/>
          <w:szCs w:val="24"/>
          <w:lang w:val="en-MY"/>
        </w:rPr>
        <w:t xml:space="preserve">ith Delirium in Patients </w:t>
      </w:r>
      <w:r>
        <w:rPr>
          <w:rFonts w:ascii="Times New Roman" w:hAnsi="Times New Roman" w:cs="Times New Roman"/>
          <w:sz w:val="24"/>
          <w:szCs w:val="24"/>
          <w:lang w:val="en-MY"/>
        </w:rPr>
        <w:t>w</w:t>
      </w:r>
      <w:r w:rsidRPr="00943A1B">
        <w:rPr>
          <w:rFonts w:ascii="Times New Roman" w:hAnsi="Times New Roman" w:cs="Times New Roman"/>
          <w:sz w:val="24"/>
          <w:szCs w:val="24"/>
          <w:lang w:val="en-MY"/>
        </w:rPr>
        <w:t>ith Intracerebral Hemorrhage. Journal of Critical Care, 64: 62–67.</w:t>
      </w:r>
    </w:p>
    <w:p w14:paraId="23B41C05" w14:textId="77777777" w:rsidR="00943A1B" w:rsidRDefault="00943A1B" w:rsidP="00943A1B">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[30]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Bulic D, Bennett M, Rodgers H, et al., 2017, Delirium After Mechanical Ventilation in Intensive Care Units: The Cognitive and Psychosocial Assessment (CAPA) Study Protocol. JMIR Research Protocols, 6(2): e31.</w:t>
      </w:r>
    </w:p>
    <w:p w14:paraId="05D8F6A3" w14:textId="788F996B" w:rsidR="00943A1B" w:rsidRPr="00943A1B" w:rsidRDefault="00943A1B" w:rsidP="00113A51">
      <w:pPr>
        <w:snapToGrid w:val="0"/>
        <w:ind w:left="709" w:hanging="709"/>
        <w:rPr>
          <w:rFonts w:ascii="Times New Roman" w:hAnsi="Times New Roman" w:cs="Times New Roman"/>
          <w:sz w:val="24"/>
          <w:szCs w:val="24"/>
          <w:lang w:val="en-MY"/>
        </w:rPr>
      </w:pPr>
      <w:r w:rsidRPr="00943A1B">
        <w:rPr>
          <w:rFonts w:ascii="Times New Roman" w:hAnsi="Times New Roman" w:cs="Times New Roman"/>
          <w:sz w:val="24"/>
          <w:szCs w:val="24"/>
          <w:lang w:val="en-MY"/>
        </w:rPr>
        <w:t xml:space="preserve">[31] </w:t>
      </w:r>
      <w:r>
        <w:rPr>
          <w:rFonts w:ascii="Times New Roman" w:hAnsi="Times New Roman" w:cs="Times New Roman"/>
          <w:sz w:val="24"/>
          <w:szCs w:val="24"/>
          <w:lang w:val="en-MY"/>
        </w:rPr>
        <w:tab/>
      </w:r>
      <w:r w:rsidRPr="00943A1B">
        <w:rPr>
          <w:rFonts w:ascii="Times New Roman" w:hAnsi="Times New Roman" w:cs="Times New Roman"/>
          <w:sz w:val="24"/>
          <w:szCs w:val="24"/>
          <w:lang w:val="en-MY"/>
        </w:rPr>
        <w:t>Gao W, Zhang Y, Jin J, 2022, Validation of E-PRE-DELIRIC in Cardiac Surgical ICU Delirium: A Retrospective Cohort Study. Nursing in Critical Care, 27(2): 233–239.</w:t>
      </w:r>
    </w:p>
    <w:p w14:paraId="1967B709" w14:textId="77777777" w:rsidR="00943A1B" w:rsidRDefault="00943A1B" w:rsidP="00943A1B">
      <w:pPr>
        <w:snapToGrid w:val="0"/>
        <w:rPr>
          <w:rFonts w:ascii="Times New Roman" w:hAnsi="Times New Roman" w:cs="Times New Roman"/>
          <w:sz w:val="24"/>
          <w:szCs w:val="24"/>
        </w:rPr>
      </w:pPr>
    </w:p>
    <w:p w14:paraId="0E0C0FE1" w14:textId="77777777" w:rsidR="00943A1B" w:rsidRPr="00113A51" w:rsidRDefault="00943A1B" w:rsidP="00943A1B">
      <w:pPr>
        <w:snapToGrid w:val="0"/>
        <w:rPr>
          <w:rFonts w:ascii="Times New Roman" w:hAnsi="Times New Roman" w:cs="Times New Roman"/>
          <w:b/>
          <w:bCs/>
          <w:color w:val="000000" w:themeColor="text1"/>
          <w:sz w:val="20"/>
          <w:szCs w:val="20"/>
        </w:rPr>
      </w:pPr>
      <w:r w:rsidRPr="00113A51">
        <w:rPr>
          <w:rFonts w:ascii="Times New Roman" w:hAnsi="Times New Roman" w:cs="Times New Roman"/>
          <w:b/>
          <w:bCs/>
          <w:color w:val="000000" w:themeColor="text1"/>
          <w:sz w:val="20"/>
          <w:szCs w:val="20"/>
        </w:rPr>
        <w:t>Publisher’s note</w:t>
      </w:r>
    </w:p>
    <w:p w14:paraId="7FC9DA2A" w14:textId="77777777" w:rsidR="00943A1B" w:rsidRPr="00113A51" w:rsidRDefault="00943A1B" w:rsidP="00943A1B">
      <w:pPr>
        <w:snapToGrid w:val="0"/>
        <w:rPr>
          <w:rFonts w:ascii="Times New Roman" w:hAnsi="Times New Roman" w:cs="Times New Roman"/>
          <w:color w:val="000000" w:themeColor="text1"/>
          <w:sz w:val="20"/>
          <w:szCs w:val="20"/>
        </w:rPr>
      </w:pPr>
      <w:r w:rsidRPr="00113A51">
        <w:rPr>
          <w:rFonts w:ascii="Times New Roman" w:hAnsi="Times New Roman" w:cs="Times New Roman"/>
          <w:color w:val="000000" w:themeColor="text1"/>
          <w:sz w:val="20"/>
          <w:szCs w:val="20"/>
        </w:rPr>
        <w:t xml:space="preserve">Bio-Byword Scientific Publishing remains neutral with regard to jurisdictional claims in published maps and institutional affiliations. </w:t>
      </w:r>
    </w:p>
    <w:p w14:paraId="7C532B05" w14:textId="77777777" w:rsidR="00943A1B" w:rsidRDefault="00943A1B" w:rsidP="00113A51">
      <w:pPr>
        <w:snapToGrid w:val="0"/>
        <w:rPr>
          <w:rFonts w:ascii="Times New Roman" w:hAnsi="Times New Roman" w:cs="Times New Roman"/>
          <w:sz w:val="24"/>
          <w:szCs w:val="24"/>
        </w:rPr>
      </w:pPr>
    </w:p>
    <w:sectPr w:rsidR="00943A1B" w:rsidSect="00113A51">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3A7"/>
    <w:rsid w:val="00011C4B"/>
    <w:rsid w:val="0008327E"/>
    <w:rsid w:val="0008766B"/>
    <w:rsid w:val="000D1E39"/>
    <w:rsid w:val="000E0331"/>
    <w:rsid w:val="00113A51"/>
    <w:rsid w:val="00126DBD"/>
    <w:rsid w:val="00193994"/>
    <w:rsid w:val="001A1EED"/>
    <w:rsid w:val="001D30C9"/>
    <w:rsid w:val="002513C8"/>
    <w:rsid w:val="002B7367"/>
    <w:rsid w:val="003A0631"/>
    <w:rsid w:val="004A56AF"/>
    <w:rsid w:val="004F256C"/>
    <w:rsid w:val="005631BD"/>
    <w:rsid w:val="0057045A"/>
    <w:rsid w:val="005C63A7"/>
    <w:rsid w:val="00662E9A"/>
    <w:rsid w:val="006640BE"/>
    <w:rsid w:val="006904CA"/>
    <w:rsid w:val="006A0C78"/>
    <w:rsid w:val="006B30FF"/>
    <w:rsid w:val="007212BE"/>
    <w:rsid w:val="007518D7"/>
    <w:rsid w:val="007817CA"/>
    <w:rsid w:val="007857E7"/>
    <w:rsid w:val="00790666"/>
    <w:rsid w:val="00805CFB"/>
    <w:rsid w:val="00873DF0"/>
    <w:rsid w:val="00875220"/>
    <w:rsid w:val="008802C1"/>
    <w:rsid w:val="008819F1"/>
    <w:rsid w:val="00903159"/>
    <w:rsid w:val="009076EE"/>
    <w:rsid w:val="00913E20"/>
    <w:rsid w:val="00943A1B"/>
    <w:rsid w:val="009928FB"/>
    <w:rsid w:val="00A52A0F"/>
    <w:rsid w:val="00AE7689"/>
    <w:rsid w:val="00B5126B"/>
    <w:rsid w:val="00BA301D"/>
    <w:rsid w:val="00BC784D"/>
    <w:rsid w:val="00BE545E"/>
    <w:rsid w:val="00C14DE2"/>
    <w:rsid w:val="00C178FC"/>
    <w:rsid w:val="00C27E0F"/>
    <w:rsid w:val="00C848B8"/>
    <w:rsid w:val="00CE2CA6"/>
    <w:rsid w:val="00CE2FDF"/>
    <w:rsid w:val="00CF4668"/>
    <w:rsid w:val="00D1290C"/>
    <w:rsid w:val="00DE37F5"/>
    <w:rsid w:val="00E22B04"/>
    <w:rsid w:val="00EE4F36"/>
    <w:rsid w:val="00EE4F55"/>
    <w:rsid w:val="00F1715E"/>
    <w:rsid w:val="00F65A0B"/>
    <w:rsid w:val="00FC0136"/>
    <w:rsid w:val="00FE3275"/>
    <w:rsid w:val="7FA90D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57BA8"/>
  <w15:docId w15:val="{54660121-7172-45ED-85E7-86EFD4B12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kern w:val="2"/>
      <w:sz w:val="21"/>
      <w:szCs w:val="22"/>
      <w:lang w:val="en-US"/>
      <w14:ligatures w14:val="standardContextual"/>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40"/>
      <w:outlineLvl w:val="2"/>
    </w:pPr>
    <w:rPr>
      <w:rFonts w:eastAsiaTheme="majorEastAsia" w:cstheme="majorBidi"/>
      <w:color w:val="2E74B5"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160" w:after="40"/>
      <w:outlineLvl w:val="3"/>
    </w:pPr>
    <w:rPr>
      <w:rFonts w:eastAsiaTheme="majorEastAsia" w:cstheme="majorBidi"/>
      <w:color w:val="2E74B5"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ind w:leftChars="100" w:left="10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before="40"/>
      <w:ind w:leftChars="200" w:left="20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pPr>
      <w:keepNext/>
      <w:keepLines/>
      <w:spacing w:before="40"/>
      <w:ind w:leftChars="300" w:left="30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153"/>
        <w:tab w:val="right" w:pos="8306"/>
      </w:tabs>
      <w:snapToGrid w:val="0"/>
    </w:pPr>
    <w:rPr>
      <w:sz w:val="20"/>
      <w:szCs w:val="20"/>
    </w:rPr>
  </w:style>
  <w:style w:type="paragraph" w:styleId="Header">
    <w:name w:val="header"/>
    <w:basedOn w:val="Normal"/>
    <w:link w:val="HeaderChar"/>
    <w:uiPriority w:val="99"/>
    <w:unhideWhenUsed/>
    <w:qFormat/>
    <w:pPr>
      <w:tabs>
        <w:tab w:val="center" w:pos="4153"/>
        <w:tab w:val="right" w:pos="8306"/>
      </w:tabs>
      <w:snapToGrid w:val="0"/>
    </w:pPr>
    <w:rPr>
      <w:sz w:val="20"/>
      <w:szCs w:val="20"/>
    </w:rPr>
  </w:style>
  <w:style w:type="paragraph" w:styleId="Subtitle">
    <w:name w:val="Subtitle"/>
    <w:basedOn w:val="Normal"/>
    <w:next w:val="Normal"/>
    <w:link w:val="SubtitleChar"/>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qFormat/>
    <w:rPr>
      <w:color w:val="0563C1" w:themeColor="hyperlink"/>
      <w:u w:val="single"/>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48"/>
      <w:szCs w:val="48"/>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E74B5" w:themeColor="accent1" w:themeShade="BF"/>
      <w:sz w:val="40"/>
      <w:szCs w:val="40"/>
    </w:rPr>
  </w:style>
  <w:style w:type="character" w:customStyle="1" w:styleId="Heading3Char">
    <w:name w:val="Heading 3 Char"/>
    <w:basedOn w:val="DefaultParagraphFont"/>
    <w:link w:val="Heading3"/>
    <w:uiPriority w:val="9"/>
    <w:semiHidden/>
    <w:qFormat/>
    <w:rPr>
      <w:rFonts w:eastAsiaTheme="majorEastAsia" w:cstheme="majorBidi"/>
      <w:color w:val="2E74B5" w:themeColor="accent1" w:themeShade="BF"/>
      <w:sz w:val="32"/>
      <w:szCs w:val="32"/>
    </w:rPr>
  </w:style>
  <w:style w:type="character" w:customStyle="1" w:styleId="Heading4Char">
    <w:name w:val="Heading 4 Char"/>
    <w:basedOn w:val="DefaultParagraphFont"/>
    <w:link w:val="Heading4"/>
    <w:uiPriority w:val="9"/>
    <w:semiHidden/>
    <w:qFormat/>
    <w:rPr>
      <w:rFonts w:eastAsiaTheme="majorEastAsia" w:cstheme="majorBidi"/>
      <w:color w:val="2E74B5" w:themeColor="accent1" w:themeShade="BF"/>
      <w:sz w:val="28"/>
      <w:szCs w:val="28"/>
    </w:rPr>
  </w:style>
  <w:style w:type="character" w:customStyle="1" w:styleId="Heading5Char">
    <w:name w:val="Heading 5 Char"/>
    <w:basedOn w:val="DefaultParagraphFont"/>
    <w:link w:val="Heading5"/>
    <w:uiPriority w:val="9"/>
    <w:semiHidden/>
    <w:qFormat/>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color w:val="272727" w:themeColor="text1" w:themeTint="D8"/>
    </w:rPr>
  </w:style>
  <w:style w:type="character" w:customStyle="1" w:styleId="Heading9Char">
    <w:name w:val="Heading 9 Char"/>
    <w:basedOn w:val="DefaultParagraphFont"/>
    <w:link w:val="Heading9"/>
    <w:uiPriority w:val="9"/>
    <w:semiHidden/>
    <w:qFormat/>
    <w:rPr>
      <w:rFonts w:eastAsiaTheme="majorEastAsia" w:cstheme="majorBidi"/>
      <w:color w:val="272727" w:themeColor="text1" w:themeTint="D8"/>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qFormat/>
    <w:rPr>
      <w:i/>
      <w:iCs/>
      <w:color w:val="2E74B5" w:themeColor="accent1" w:themeShade="BF"/>
    </w:rPr>
  </w:style>
  <w:style w:type="character" w:customStyle="1" w:styleId="IntenseReference1">
    <w:name w:val="Intense Reference1"/>
    <w:basedOn w:val="DefaultParagraphFont"/>
    <w:uiPriority w:val="32"/>
    <w:qFormat/>
    <w:rPr>
      <w:b/>
      <w:bCs/>
      <w:smallCaps/>
      <w:color w:val="2E74B5" w:themeColor="accent1" w:themeShade="BF"/>
      <w:spacing w:val="5"/>
    </w:rPr>
  </w:style>
  <w:style w:type="character" w:customStyle="1" w:styleId="HeaderChar">
    <w:name w:val="Header Char"/>
    <w:basedOn w:val="DefaultParagraphFont"/>
    <w:link w:val="Header"/>
    <w:uiPriority w:val="99"/>
    <w:qFormat/>
    <w:rPr>
      <w:sz w:val="20"/>
      <w:szCs w:val="20"/>
    </w:rPr>
  </w:style>
  <w:style w:type="character" w:customStyle="1" w:styleId="FooterChar">
    <w:name w:val="Footer Char"/>
    <w:basedOn w:val="DefaultParagraphFont"/>
    <w:link w:val="Footer"/>
    <w:uiPriority w:val="99"/>
    <w:qFormat/>
    <w:rPr>
      <w:sz w:val="20"/>
      <w:szCs w:val="20"/>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ListTable6Colorful1">
    <w:name w:val="List Table 6 Colorful1"/>
    <w:basedOn w:val="TableNormal"/>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unhideWhenUsed/>
    <w:rsid w:val="00943A1B"/>
    <w:rPr>
      <w:kern w:val="2"/>
      <w:sz w:val="21"/>
      <w:szCs w:val="22"/>
      <w:lang w:val="en-US"/>
      <w14:ligatures w14:val="standardContextual"/>
    </w:rPr>
  </w:style>
  <w:style w:type="table" w:styleId="TableGrid">
    <w:name w:val="Table Grid"/>
    <w:basedOn w:val="TableNormal"/>
    <w:uiPriority w:val="39"/>
    <w:rsid w:val="00943A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5272</Words>
  <Characters>30054</Characters>
  <Application>Microsoft Office Word</Application>
  <DocSecurity>0</DocSecurity>
  <Lines>250</Lines>
  <Paragraphs>70</Paragraphs>
  <ScaleCrop>false</ScaleCrop>
  <Company/>
  <LinksUpToDate>false</LinksUpToDate>
  <CharactersWithSpaces>35256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 piao</dc:creator>
  <cp:lastModifiedBy>Acer NB1</cp:lastModifiedBy>
  <cp:revision>2</cp:revision>
  <dcterms:created xsi:type="dcterms:W3CDTF">2026-09-25T04:19:00Z</dcterms:created>
  <dcterms:modified xsi:type="dcterms:W3CDTF">2026-09-25T04:19:00Z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eyJoZGlkIjoiZTBiYjBjMzJlZDA2ZWE2YWNmMzQyN2E2MGVlZTcxZjkiLCJ1c2VySWQiOiI2MTA5NTIyOTYifQ==</vt:lpwstr>
  </property>
  <property fmtid="{D5CDD505-2E9C-101B-9397-08002B2CF9AE}" pid="3" name="KSOProductBuildVer">
    <vt:lpwstr>2052-12.1.0.28505</vt:lpwstr>
  </property>
  <property fmtid="{D5CDD505-2E9C-101B-9397-08002B2CF9AE}" pid="4" name="ICV">
    <vt:lpwstr>6CB95068C2C2470CAA4445E8978F0430_12</vt:lpwstr>
  </property>
</Properties>
</file>