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66C87" w14:textId="77777777" w:rsidR="00E3390E" w:rsidRDefault="00000000" w:rsidP="00E229D1">
      <w:pPr>
        <w:snapToGrid w:val="0"/>
        <w:jc w:val="left"/>
        <w:rPr>
          <w:rFonts w:ascii="Times New Roman" w:eastAsia="SimSun" w:hAnsi="Times New Roman"/>
          <w:b/>
          <w:kern w:val="0"/>
          <w:sz w:val="44"/>
          <w:szCs w:val="44"/>
        </w:rPr>
      </w:pPr>
      <w:r>
        <w:rPr>
          <w:rFonts w:ascii="Times New Roman" w:eastAsia="SimSun" w:hAnsi="Times New Roman"/>
          <w:b/>
          <w:kern w:val="0"/>
          <w:sz w:val="44"/>
          <w:szCs w:val="44"/>
        </w:rPr>
        <w:t xml:space="preserve">The </w:t>
      </w:r>
      <w:r>
        <w:rPr>
          <w:rFonts w:ascii="Times New Roman" w:eastAsia="SimSun" w:hAnsi="Times New Roman" w:hint="eastAsia"/>
          <w:b/>
          <w:kern w:val="0"/>
          <w:sz w:val="44"/>
          <w:szCs w:val="44"/>
        </w:rPr>
        <w:t>I</w:t>
      </w:r>
      <w:r>
        <w:rPr>
          <w:rFonts w:ascii="Times New Roman" w:eastAsia="SimSun" w:hAnsi="Times New Roman"/>
          <w:b/>
          <w:kern w:val="0"/>
          <w:sz w:val="44"/>
          <w:szCs w:val="44"/>
        </w:rPr>
        <w:t xml:space="preserve">mpact of </w:t>
      </w:r>
      <w:r>
        <w:rPr>
          <w:rFonts w:ascii="Times New Roman" w:eastAsia="SimSun" w:hAnsi="Times New Roman" w:hint="eastAsia"/>
          <w:b/>
          <w:kern w:val="0"/>
          <w:sz w:val="44"/>
          <w:szCs w:val="44"/>
        </w:rPr>
        <w:t>P</w:t>
      </w:r>
      <w:r>
        <w:rPr>
          <w:rFonts w:ascii="Times New Roman" w:eastAsia="SimSun" w:hAnsi="Times New Roman"/>
          <w:b/>
          <w:kern w:val="0"/>
          <w:sz w:val="44"/>
          <w:szCs w:val="44"/>
        </w:rPr>
        <w:t xml:space="preserve">alliative </w:t>
      </w:r>
      <w:r>
        <w:rPr>
          <w:rFonts w:ascii="Times New Roman" w:eastAsia="SimSun" w:hAnsi="Times New Roman" w:hint="eastAsia"/>
          <w:b/>
          <w:kern w:val="0"/>
          <w:sz w:val="44"/>
          <w:szCs w:val="44"/>
        </w:rPr>
        <w:t>C</w:t>
      </w:r>
      <w:r>
        <w:rPr>
          <w:rFonts w:ascii="Times New Roman" w:eastAsia="SimSun" w:hAnsi="Times New Roman"/>
          <w:b/>
          <w:kern w:val="0"/>
          <w:sz w:val="44"/>
          <w:szCs w:val="44"/>
        </w:rPr>
        <w:t xml:space="preserve">are on </w:t>
      </w:r>
      <w:r>
        <w:rPr>
          <w:rFonts w:ascii="Times New Roman" w:eastAsia="SimSun" w:hAnsi="Times New Roman" w:hint="eastAsia"/>
          <w:b/>
          <w:kern w:val="0"/>
          <w:sz w:val="44"/>
          <w:szCs w:val="44"/>
        </w:rPr>
        <w:t>A</w:t>
      </w:r>
      <w:r>
        <w:rPr>
          <w:rFonts w:ascii="Times New Roman" w:eastAsia="SimSun" w:hAnsi="Times New Roman"/>
          <w:b/>
          <w:kern w:val="0"/>
          <w:sz w:val="44"/>
          <w:szCs w:val="44"/>
        </w:rPr>
        <w:t xml:space="preserve">gitation </w:t>
      </w:r>
      <w:r>
        <w:rPr>
          <w:rFonts w:ascii="Times New Roman" w:eastAsia="SimSun" w:hAnsi="Times New Roman" w:hint="eastAsia"/>
          <w:b/>
          <w:kern w:val="0"/>
          <w:sz w:val="44"/>
          <w:szCs w:val="44"/>
        </w:rPr>
        <w:t>B</w:t>
      </w:r>
      <w:r>
        <w:rPr>
          <w:rFonts w:ascii="Times New Roman" w:eastAsia="SimSun" w:hAnsi="Times New Roman"/>
          <w:b/>
          <w:kern w:val="0"/>
          <w:sz w:val="44"/>
          <w:szCs w:val="44"/>
        </w:rPr>
        <w:t xml:space="preserve">ehavior and </w:t>
      </w:r>
      <w:r>
        <w:rPr>
          <w:rFonts w:ascii="Times New Roman" w:eastAsia="SimSun" w:hAnsi="Times New Roman" w:hint="eastAsia"/>
          <w:b/>
          <w:kern w:val="0"/>
          <w:sz w:val="44"/>
          <w:szCs w:val="44"/>
        </w:rPr>
        <w:t>R</w:t>
      </w:r>
      <w:r>
        <w:rPr>
          <w:rFonts w:ascii="Times New Roman" w:eastAsia="SimSun" w:hAnsi="Times New Roman"/>
          <w:b/>
          <w:kern w:val="0"/>
          <w:sz w:val="44"/>
          <w:szCs w:val="44"/>
        </w:rPr>
        <w:t xml:space="preserve">ehabilitation </w:t>
      </w:r>
      <w:r>
        <w:rPr>
          <w:rFonts w:ascii="Times New Roman" w:eastAsia="SimSun" w:hAnsi="Times New Roman" w:hint="eastAsia"/>
          <w:b/>
          <w:kern w:val="0"/>
          <w:sz w:val="44"/>
          <w:szCs w:val="44"/>
        </w:rPr>
        <w:t>T</w:t>
      </w:r>
      <w:r>
        <w:rPr>
          <w:rFonts w:ascii="Times New Roman" w:eastAsia="SimSun" w:hAnsi="Times New Roman"/>
          <w:b/>
          <w:kern w:val="0"/>
          <w:sz w:val="44"/>
          <w:szCs w:val="44"/>
        </w:rPr>
        <w:t xml:space="preserve">reatment </w:t>
      </w:r>
      <w:r>
        <w:rPr>
          <w:rFonts w:ascii="Times New Roman" w:eastAsia="SimSun" w:hAnsi="Times New Roman" w:hint="eastAsia"/>
          <w:b/>
          <w:kern w:val="0"/>
          <w:sz w:val="44"/>
          <w:szCs w:val="44"/>
        </w:rPr>
        <w:t>C</w:t>
      </w:r>
      <w:r>
        <w:rPr>
          <w:rFonts w:ascii="Times New Roman" w:eastAsia="SimSun" w:hAnsi="Times New Roman"/>
          <w:b/>
          <w:kern w:val="0"/>
          <w:sz w:val="44"/>
          <w:szCs w:val="44"/>
        </w:rPr>
        <w:t xml:space="preserve">ompliance in </w:t>
      </w:r>
      <w:r>
        <w:rPr>
          <w:rFonts w:ascii="Times New Roman" w:eastAsia="SimSun" w:hAnsi="Times New Roman" w:hint="eastAsia"/>
          <w:b/>
          <w:kern w:val="0"/>
          <w:sz w:val="44"/>
          <w:szCs w:val="44"/>
        </w:rPr>
        <w:t>E</w:t>
      </w:r>
      <w:r>
        <w:rPr>
          <w:rFonts w:ascii="Times New Roman" w:eastAsia="SimSun" w:hAnsi="Times New Roman"/>
          <w:b/>
          <w:kern w:val="0"/>
          <w:sz w:val="44"/>
          <w:szCs w:val="44"/>
        </w:rPr>
        <w:t xml:space="preserve">lderly </w:t>
      </w:r>
      <w:r>
        <w:rPr>
          <w:rFonts w:ascii="Times New Roman" w:eastAsia="SimSun" w:hAnsi="Times New Roman" w:hint="eastAsia"/>
          <w:b/>
          <w:kern w:val="0"/>
          <w:sz w:val="44"/>
          <w:szCs w:val="44"/>
        </w:rPr>
        <w:t>D</w:t>
      </w:r>
      <w:r>
        <w:rPr>
          <w:rFonts w:ascii="Times New Roman" w:eastAsia="SimSun" w:hAnsi="Times New Roman"/>
          <w:b/>
          <w:kern w:val="0"/>
          <w:sz w:val="44"/>
          <w:szCs w:val="44"/>
        </w:rPr>
        <w:t xml:space="preserve">ementia </w:t>
      </w:r>
      <w:r>
        <w:rPr>
          <w:rFonts w:ascii="Times New Roman" w:eastAsia="SimSun" w:hAnsi="Times New Roman" w:hint="eastAsia"/>
          <w:b/>
          <w:kern w:val="0"/>
          <w:sz w:val="44"/>
          <w:szCs w:val="44"/>
        </w:rPr>
        <w:t>P</w:t>
      </w:r>
      <w:r>
        <w:rPr>
          <w:rFonts w:ascii="Times New Roman" w:eastAsia="SimSun" w:hAnsi="Times New Roman"/>
          <w:b/>
          <w:kern w:val="0"/>
          <w:sz w:val="44"/>
          <w:szCs w:val="44"/>
        </w:rPr>
        <w:t>atients</w:t>
      </w:r>
    </w:p>
    <w:p w14:paraId="7D0E415E" w14:textId="77777777" w:rsidR="00E3390E" w:rsidRDefault="00000000" w:rsidP="00E229D1">
      <w:pPr>
        <w:snapToGrid w:val="0"/>
        <w:rPr>
          <w:rFonts w:ascii="Times New Roman" w:eastAsia="SimSun" w:hAnsi="Times New Roman"/>
          <w:b/>
          <w:kern w:val="0"/>
          <w:sz w:val="24"/>
          <w:szCs w:val="24"/>
        </w:rPr>
      </w:pPr>
      <w:r>
        <w:rPr>
          <w:rFonts w:ascii="Times New Roman" w:eastAsia="SimSun" w:hAnsi="Times New Roman"/>
          <w:b/>
          <w:kern w:val="0"/>
          <w:sz w:val="24"/>
          <w:szCs w:val="24"/>
        </w:rPr>
        <w:t>Yuan Meng</w:t>
      </w:r>
      <w:r>
        <w:rPr>
          <w:rFonts w:ascii="Times New Roman" w:eastAsia="SimSun" w:hAnsi="Times New Roman" w:hint="eastAsia"/>
          <w:b/>
          <w:kern w:val="0"/>
          <w:sz w:val="24"/>
          <w:szCs w:val="24"/>
        </w:rPr>
        <w:t>*</w:t>
      </w:r>
      <w:r>
        <w:rPr>
          <w:rFonts w:ascii="Times New Roman" w:eastAsia="SimSun" w:hAnsi="Times New Roman"/>
          <w:b/>
          <w:kern w:val="0"/>
          <w:sz w:val="24"/>
          <w:szCs w:val="24"/>
        </w:rPr>
        <w:t xml:space="preserve"> </w:t>
      </w:r>
    </w:p>
    <w:p w14:paraId="26EEBA8C" w14:textId="77777777" w:rsidR="00E3390E" w:rsidRDefault="00000000" w:rsidP="00E229D1">
      <w:pPr>
        <w:snapToGrid w:val="0"/>
        <w:rPr>
          <w:rFonts w:ascii="Times New Roman" w:eastAsia="SimSun" w:hAnsi="Times New Roman"/>
          <w:bCs/>
          <w:kern w:val="0"/>
          <w:sz w:val="24"/>
          <w:szCs w:val="24"/>
        </w:rPr>
      </w:pPr>
      <w:r>
        <w:rPr>
          <w:rFonts w:ascii="Times New Roman" w:eastAsia="SimSun" w:hAnsi="Times New Roman"/>
          <w:bCs/>
          <w:kern w:val="0"/>
          <w:sz w:val="24"/>
          <w:szCs w:val="24"/>
        </w:rPr>
        <w:t>Tianjin Anding Hospital, Tianjin 300202, China</w:t>
      </w:r>
    </w:p>
    <w:p w14:paraId="2F774907" w14:textId="77777777" w:rsidR="00E3390E" w:rsidRDefault="00000000" w:rsidP="00AB360C">
      <w:pPr>
        <w:snapToGrid w:val="0"/>
        <w:rPr>
          <w:rFonts w:ascii="Times New Roman" w:hAnsi="Times New Roman"/>
          <w:b/>
          <w:bCs/>
          <w:i/>
          <w:iCs/>
          <w:sz w:val="24"/>
        </w:rPr>
      </w:pPr>
      <w:r>
        <w:rPr>
          <w:rFonts w:ascii="Times New Roman" w:hAnsi="Times New Roman"/>
          <w:b/>
          <w:bCs/>
          <w:i/>
          <w:iCs/>
          <w:sz w:val="24"/>
        </w:rPr>
        <w:t>*Author to whom correspondence should be addressed.</w:t>
      </w:r>
    </w:p>
    <w:p w14:paraId="0E3965EA" w14:textId="77777777" w:rsidR="00E3390E" w:rsidRDefault="00E3390E" w:rsidP="00E229D1">
      <w:pPr>
        <w:snapToGrid w:val="0"/>
        <w:rPr>
          <w:rFonts w:ascii="Times New Roman" w:eastAsia="SimHei" w:hAnsi="Times New Roman"/>
          <w:b/>
          <w:bCs/>
          <w:sz w:val="24"/>
          <w:szCs w:val="24"/>
        </w:rPr>
      </w:pPr>
    </w:p>
    <w:p w14:paraId="4983B9E8" w14:textId="77777777" w:rsidR="00E229D1" w:rsidRPr="00AB360C" w:rsidRDefault="00E229D1" w:rsidP="00E229D1">
      <w:pPr>
        <w:snapToGrid w:val="0"/>
        <w:rPr>
          <w:rFonts w:ascii="Times New Roman" w:eastAsia="SimHei" w:hAnsi="Times New Roman"/>
          <w:b/>
          <w:bCs/>
          <w:sz w:val="20"/>
          <w:szCs w:val="20"/>
        </w:rPr>
      </w:pPr>
      <w:r w:rsidRPr="00AB360C">
        <w:rPr>
          <w:rFonts w:ascii="Times New Roman" w:eastAsia="SimHei" w:hAnsi="Times New Roman"/>
          <w:b/>
          <w:bCs/>
          <w:sz w:val="20"/>
          <w:szCs w:val="20"/>
        </w:rPr>
        <w:t xml:space="preserve">Copyright: </w:t>
      </w:r>
      <w:r w:rsidRPr="00AB360C">
        <w:rPr>
          <w:rFonts w:ascii="Times New Roman" w:eastAsia="SimHei" w:hAnsi="Times New Roman"/>
          <w:sz w:val="20"/>
          <w:szCs w:val="20"/>
        </w:rPr>
        <w:t>© 2026 Author(s). This is an open-access article distributed under the terms of the Creative Commons Attribution License (CC BY 4.0), permitting distribution and reproduction in any medium, provided the original work is cited.</w:t>
      </w:r>
    </w:p>
    <w:p w14:paraId="50226C2C" w14:textId="77777777" w:rsidR="00E229D1" w:rsidRDefault="00E229D1" w:rsidP="00E229D1">
      <w:pPr>
        <w:snapToGrid w:val="0"/>
        <w:rPr>
          <w:rFonts w:ascii="Times New Roman" w:eastAsia="SimHei" w:hAnsi="Times New Roman"/>
          <w:b/>
          <w:bCs/>
          <w:sz w:val="24"/>
          <w:szCs w:val="24"/>
        </w:rPr>
      </w:pPr>
    </w:p>
    <w:p w14:paraId="4B0789B7" w14:textId="44AEA9BB" w:rsidR="00E3390E" w:rsidRDefault="00000000" w:rsidP="00E229D1">
      <w:pPr>
        <w:snapToGrid w:val="0"/>
        <w:rPr>
          <w:rFonts w:ascii="Times New Roman" w:eastAsia="SimSun" w:hAnsi="Times New Roman"/>
          <w:kern w:val="0"/>
          <w:sz w:val="24"/>
          <w:szCs w:val="24"/>
        </w:rPr>
      </w:pPr>
      <w:r>
        <w:rPr>
          <w:rFonts w:ascii="Times New Roman" w:eastAsia="SimHei" w:hAnsi="Times New Roman"/>
          <w:b/>
          <w:bCs/>
          <w:sz w:val="24"/>
          <w:szCs w:val="24"/>
        </w:rPr>
        <w:t xml:space="preserve">Abstract: </w:t>
      </w:r>
      <w:r>
        <w:rPr>
          <w:rFonts w:ascii="Times New Roman" w:eastAsia="SimHei" w:hAnsi="Times New Roman"/>
          <w:i/>
          <w:iCs/>
          <w:sz w:val="24"/>
          <w:szCs w:val="24"/>
        </w:rPr>
        <w:t>Objective:</w:t>
      </w:r>
      <w:r>
        <w:rPr>
          <w:rFonts w:ascii="Times New Roman" w:eastAsia="SimHei" w:hAnsi="Times New Roman"/>
          <w:b/>
          <w:bCs/>
          <w:sz w:val="24"/>
          <w:szCs w:val="24"/>
        </w:rPr>
        <w:t xml:space="preserve"> </w:t>
      </w:r>
      <w:r>
        <w:rPr>
          <w:rFonts w:ascii="Times New Roman" w:eastAsia="SimSun" w:hAnsi="Times New Roman"/>
          <w:kern w:val="0"/>
          <w:sz w:val="24"/>
          <w:szCs w:val="24"/>
        </w:rPr>
        <w:t xml:space="preserve">To explore the effect of palliative care on agitation behavior and rehabilitation treatment compliance in elderly dementia. </w:t>
      </w:r>
      <w:r>
        <w:rPr>
          <w:rFonts w:ascii="Times New Roman" w:eastAsia="SimHei" w:hAnsi="Times New Roman"/>
          <w:i/>
          <w:iCs/>
          <w:sz w:val="24"/>
          <w:szCs w:val="24"/>
        </w:rPr>
        <w:t>Method:</w:t>
      </w:r>
      <w:r>
        <w:rPr>
          <w:rFonts w:ascii="Times New Roman" w:eastAsia="SimSun" w:hAnsi="Times New Roman"/>
          <w:kern w:val="0"/>
          <w:sz w:val="24"/>
          <w:szCs w:val="24"/>
        </w:rPr>
        <w:t xml:space="preserve"> 80 elderly dementia patients admitted to our hospital from October 2021 to October 2023 were randomly divided into a control group of 40 cases, receiving routine care; Forty cases in the observation group were given palliative care on the basis of routine care. Score the patient’s arousal behavior using the arousal behavior assessment form and observe their compliance with rehabilitation treatment. </w:t>
      </w:r>
      <w:r>
        <w:rPr>
          <w:rFonts w:ascii="Times New Roman" w:eastAsia="SimHei" w:hAnsi="Times New Roman"/>
          <w:i/>
          <w:iCs/>
          <w:sz w:val="24"/>
          <w:szCs w:val="24"/>
        </w:rPr>
        <w:t>Result:</w:t>
      </w:r>
      <w:r>
        <w:rPr>
          <w:rFonts w:ascii="Times New Roman" w:eastAsia="SimHei" w:hAnsi="Times New Roman"/>
          <w:b/>
          <w:bCs/>
          <w:sz w:val="24"/>
          <w:szCs w:val="24"/>
        </w:rPr>
        <w:t xml:space="preserve"> </w:t>
      </w:r>
      <w:r>
        <w:rPr>
          <w:rFonts w:ascii="Times New Roman" w:eastAsia="SimSun" w:hAnsi="Times New Roman"/>
          <w:kern w:val="0"/>
          <w:sz w:val="24"/>
          <w:szCs w:val="24"/>
        </w:rPr>
        <w:t>The agitation behavior score of the observation group was significantly lower than that of the control group (</w:t>
      </w:r>
      <w:r w:rsidR="00E229D1">
        <w:rPr>
          <w:rFonts w:ascii="Times New Roman" w:eastAsia="SimSun" w:hAnsi="Times New Roman"/>
          <w:i/>
          <w:iCs/>
          <w:kern w:val="0"/>
          <w:sz w:val="24"/>
          <w:szCs w:val="24"/>
        </w:rPr>
        <w:t xml:space="preserve">p </w:t>
      </w:r>
      <w:r>
        <w:rPr>
          <w:rFonts w:ascii="Times New Roman" w:eastAsia="SimSun" w:hAnsi="Times New Roman"/>
          <w:kern w:val="0"/>
          <w:sz w:val="24"/>
          <w:szCs w:val="24"/>
        </w:rPr>
        <w:t>&lt;</w:t>
      </w:r>
      <w:r w:rsidR="00E229D1">
        <w:rPr>
          <w:rFonts w:ascii="Times New Roman" w:eastAsia="SimSun" w:hAnsi="Times New Roman"/>
          <w:kern w:val="0"/>
          <w:sz w:val="24"/>
          <w:szCs w:val="24"/>
        </w:rPr>
        <w:t xml:space="preserve"> </w:t>
      </w:r>
      <w:r>
        <w:rPr>
          <w:rFonts w:ascii="Times New Roman" w:eastAsia="SimSun" w:hAnsi="Times New Roman"/>
          <w:kern w:val="0"/>
          <w:sz w:val="24"/>
          <w:szCs w:val="24"/>
        </w:rPr>
        <w:t>0.05), and the complete compliance rate was also significantly higher than that of the control group (</w:t>
      </w:r>
      <w:r w:rsidR="00E229D1">
        <w:rPr>
          <w:rFonts w:ascii="Times New Roman" w:eastAsia="SimSun" w:hAnsi="Times New Roman"/>
          <w:i/>
          <w:iCs/>
          <w:kern w:val="0"/>
          <w:sz w:val="24"/>
          <w:szCs w:val="24"/>
        </w:rPr>
        <w:t xml:space="preserve">p </w:t>
      </w:r>
      <w:r>
        <w:rPr>
          <w:rFonts w:ascii="Times New Roman" w:eastAsia="SimSun" w:hAnsi="Times New Roman"/>
          <w:kern w:val="0"/>
          <w:sz w:val="24"/>
          <w:szCs w:val="24"/>
        </w:rPr>
        <w:t>&lt;</w:t>
      </w:r>
      <w:r w:rsidR="00E229D1">
        <w:rPr>
          <w:rFonts w:ascii="Times New Roman" w:eastAsia="SimSun" w:hAnsi="Times New Roman"/>
          <w:kern w:val="0"/>
          <w:sz w:val="24"/>
          <w:szCs w:val="24"/>
        </w:rPr>
        <w:t xml:space="preserve"> </w:t>
      </w:r>
      <w:r>
        <w:rPr>
          <w:rFonts w:ascii="Times New Roman" w:eastAsia="SimSun" w:hAnsi="Times New Roman"/>
          <w:kern w:val="0"/>
          <w:sz w:val="24"/>
          <w:szCs w:val="24"/>
        </w:rPr>
        <w:t xml:space="preserve">0.05). </w:t>
      </w:r>
      <w:r>
        <w:rPr>
          <w:rFonts w:ascii="Times New Roman" w:eastAsia="SimHei" w:hAnsi="Times New Roman"/>
          <w:i/>
          <w:iCs/>
          <w:sz w:val="24"/>
          <w:szCs w:val="24"/>
        </w:rPr>
        <w:t>Conclusion:</w:t>
      </w:r>
      <w:r>
        <w:rPr>
          <w:rFonts w:ascii="Times New Roman" w:eastAsia="SimSun" w:hAnsi="Times New Roman"/>
          <w:kern w:val="0"/>
          <w:sz w:val="24"/>
          <w:szCs w:val="24"/>
        </w:rPr>
        <w:t xml:space="preserve"> Implementing palliative care for elderly dementia patients can reduce their agitation behavior and improve their compliance with rehabilitation treatment.</w:t>
      </w:r>
    </w:p>
    <w:p w14:paraId="7B3B04CC" w14:textId="77777777" w:rsidR="00E3390E" w:rsidRDefault="00000000" w:rsidP="00E229D1">
      <w:pPr>
        <w:snapToGrid w:val="0"/>
        <w:rPr>
          <w:rFonts w:ascii="Times New Roman" w:eastAsia="SimSun" w:hAnsi="Times New Roman"/>
          <w:bCs/>
          <w:kern w:val="0"/>
          <w:sz w:val="24"/>
          <w:szCs w:val="24"/>
        </w:rPr>
      </w:pPr>
      <w:bookmarkStart w:id="0" w:name="OLE_LINK31"/>
      <w:r>
        <w:rPr>
          <w:rFonts w:ascii="Times New Roman" w:eastAsia="SimHei" w:hAnsi="Times New Roman"/>
          <w:b/>
          <w:bCs/>
          <w:sz w:val="24"/>
          <w:szCs w:val="24"/>
        </w:rPr>
        <w:t>Keywords</w:t>
      </w:r>
      <w:bookmarkEnd w:id="0"/>
      <w:r>
        <w:rPr>
          <w:rFonts w:ascii="Times New Roman" w:eastAsia="SimHei" w:hAnsi="Times New Roman"/>
          <w:b/>
          <w:bCs/>
          <w:sz w:val="24"/>
          <w:szCs w:val="24"/>
        </w:rPr>
        <w:t xml:space="preserve">: </w:t>
      </w:r>
      <w:r>
        <w:rPr>
          <w:rFonts w:ascii="Times New Roman" w:eastAsia="SimSun" w:hAnsi="Times New Roman"/>
          <w:bCs/>
          <w:kern w:val="0"/>
          <w:sz w:val="24"/>
          <w:szCs w:val="24"/>
        </w:rPr>
        <w:t>Senile dementia; Palliative care; Exciting behavior; Rehabilitation therapy</w:t>
      </w:r>
    </w:p>
    <w:p w14:paraId="223405B7" w14:textId="77777777" w:rsidR="00E3390E" w:rsidRDefault="00E3390E" w:rsidP="00E229D1">
      <w:pPr>
        <w:snapToGrid w:val="0"/>
        <w:rPr>
          <w:rFonts w:ascii="Times New Roman" w:hAnsi="Times New Roman"/>
          <w:sz w:val="24"/>
          <w:szCs w:val="24"/>
        </w:rPr>
      </w:pPr>
    </w:p>
    <w:p w14:paraId="40CBFDD8" w14:textId="524C00BE" w:rsidR="00E3390E" w:rsidRPr="00AB360C" w:rsidRDefault="00E229D1" w:rsidP="00E229D1">
      <w:pPr>
        <w:snapToGrid w:val="0"/>
        <w:rPr>
          <w:rFonts w:ascii="Times New Roman" w:hAnsi="Times New Roman"/>
          <w:b/>
          <w:bCs/>
          <w:sz w:val="24"/>
          <w:szCs w:val="24"/>
        </w:rPr>
      </w:pPr>
      <w:r w:rsidRPr="00AB360C">
        <w:rPr>
          <w:rFonts w:ascii="Times New Roman" w:hAnsi="Times New Roman"/>
          <w:b/>
          <w:bCs/>
          <w:sz w:val="24"/>
          <w:szCs w:val="24"/>
        </w:rPr>
        <w:t>Online publication:</w:t>
      </w:r>
    </w:p>
    <w:p w14:paraId="461661EA" w14:textId="77777777" w:rsidR="00E229D1" w:rsidRDefault="00E229D1" w:rsidP="00E229D1">
      <w:pPr>
        <w:snapToGrid w:val="0"/>
        <w:rPr>
          <w:rFonts w:ascii="Times New Roman" w:hAnsi="Times New Roman"/>
          <w:sz w:val="24"/>
          <w:szCs w:val="24"/>
        </w:rPr>
      </w:pPr>
    </w:p>
    <w:p w14:paraId="6CD6226E"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1. Introduction</w:t>
      </w:r>
    </w:p>
    <w:p w14:paraId="6DF3C36E" w14:textId="00A935BF" w:rsidR="00E3390E" w:rsidRDefault="00000000" w:rsidP="00E229D1">
      <w:pPr>
        <w:snapToGrid w:val="0"/>
        <w:rPr>
          <w:rFonts w:ascii="Times New Roman" w:hAnsi="Times New Roman"/>
          <w:sz w:val="24"/>
          <w:szCs w:val="24"/>
        </w:rPr>
      </w:pPr>
      <w:r>
        <w:rPr>
          <w:rFonts w:ascii="Times New Roman" w:hAnsi="Times New Roman"/>
          <w:sz w:val="24"/>
          <w:szCs w:val="24"/>
        </w:rPr>
        <w:t xml:space="preserve">Patients with dementia not only exhibit symptoms of cognitive dysfunction but also experience varying degrees of mental and behavioral abnormalities </w:t>
      </w:r>
      <w:r>
        <w:rPr>
          <w:rFonts w:ascii="Times New Roman" w:hAnsi="Times New Roman"/>
          <w:sz w:val="24"/>
          <w:szCs w:val="24"/>
          <w:vertAlign w:val="superscript"/>
        </w:rPr>
        <w:t>[1]</w:t>
      </w:r>
      <w:r>
        <w:rPr>
          <w:rFonts w:ascii="Times New Roman" w:hAnsi="Times New Roman"/>
          <w:sz w:val="24"/>
          <w:szCs w:val="24"/>
        </w:rPr>
        <w:t xml:space="preserve">. Agitation is one of the most common mental and behavioral abnormalities in dementia patients, characterized by symptoms such as cursing, aggression, irritability, wandering, restlessness, and inappropriate handling of objects </w:t>
      </w:r>
      <w:r>
        <w:rPr>
          <w:rFonts w:ascii="Times New Roman" w:hAnsi="Times New Roman"/>
          <w:sz w:val="24"/>
          <w:szCs w:val="24"/>
          <w:vertAlign w:val="superscript"/>
        </w:rPr>
        <w:t>[2</w:t>
      </w:r>
      <w:r>
        <w:rPr>
          <w:rFonts w:ascii="Times New Roman" w:hAnsi="Times New Roman" w:hint="eastAsia"/>
          <w:sz w:val="24"/>
          <w:szCs w:val="24"/>
          <w:vertAlign w:val="superscript"/>
        </w:rPr>
        <w:t xml:space="preserve">, </w:t>
      </w:r>
      <w:r>
        <w:rPr>
          <w:rFonts w:ascii="Times New Roman" w:hAnsi="Times New Roman"/>
          <w:sz w:val="24"/>
          <w:szCs w:val="24"/>
          <w:vertAlign w:val="superscript"/>
        </w:rPr>
        <w:t>3]</w:t>
      </w:r>
      <w:r>
        <w:rPr>
          <w:rFonts w:ascii="Times New Roman" w:hAnsi="Times New Roman"/>
          <w:sz w:val="24"/>
          <w:szCs w:val="24"/>
        </w:rPr>
        <w:t>. Wei Zhihua et al. found that agitation is prevalent among dementia patients, with diverse manifestations related to mental intelligence, dementia type, and disease severity</w:t>
      </w:r>
      <w:r w:rsidR="00E229D1">
        <w:rPr>
          <w:rFonts w:ascii="Times New Roman" w:hAnsi="Times New Roman"/>
          <w:sz w:val="24"/>
          <w:szCs w:val="24"/>
        </w:rPr>
        <w:t xml:space="preserve"> </w:t>
      </w:r>
      <w:r w:rsidR="00E229D1">
        <w:rPr>
          <w:rFonts w:ascii="Times New Roman" w:hAnsi="Times New Roman"/>
          <w:sz w:val="24"/>
          <w:szCs w:val="24"/>
          <w:vertAlign w:val="superscript"/>
        </w:rPr>
        <w:t>[4]</w:t>
      </w:r>
      <w:r>
        <w:rPr>
          <w:rFonts w:ascii="Times New Roman" w:hAnsi="Times New Roman"/>
          <w:sz w:val="24"/>
          <w:szCs w:val="24"/>
        </w:rPr>
        <w:t xml:space="preserve">. The occurrence of agitation increases the risk of safety incidents such as fractures, falls, self-harm, or harm to others, which, once they occur, exacerbate the suffering of patients and their families. Agitation negatively impacts patients’ daily functioning abilities, increasing the physical and psychological burden on caregivers </w:t>
      </w:r>
      <w:r>
        <w:rPr>
          <w:rFonts w:ascii="Times New Roman" w:hAnsi="Times New Roman"/>
          <w:sz w:val="24"/>
          <w:szCs w:val="24"/>
          <w:vertAlign w:val="superscript"/>
        </w:rPr>
        <w:t>[5]</w:t>
      </w:r>
      <w:r>
        <w:rPr>
          <w:rFonts w:ascii="Times New Roman" w:hAnsi="Times New Roman"/>
          <w:sz w:val="24"/>
          <w:szCs w:val="24"/>
        </w:rPr>
        <w:t xml:space="preserve">. For society, the occurrence of agitation in dementia patients often necessitates hospitalization, increasing the societal burden. When patients no longer respond to curative medical treatments, implementing hospice care, which provides comprehensive care from physiological, psychological, and social perspectives, can uphold the dignity of patients as human beings, offer them peace, and improve the quality of their end-of-life experience </w:t>
      </w:r>
      <w:r>
        <w:rPr>
          <w:rFonts w:ascii="Times New Roman" w:hAnsi="Times New Roman"/>
          <w:sz w:val="24"/>
          <w:szCs w:val="24"/>
          <w:vertAlign w:val="superscript"/>
        </w:rPr>
        <w:t>[6]</w:t>
      </w:r>
      <w:r>
        <w:rPr>
          <w:rFonts w:ascii="Times New Roman" w:hAnsi="Times New Roman"/>
          <w:sz w:val="24"/>
          <w:szCs w:val="24"/>
        </w:rPr>
        <w:t>. This study primarily explores the impact of hospice care on agitation and rehabilitation treatment adherence in dementia patients, as reported below.</w:t>
      </w:r>
    </w:p>
    <w:p w14:paraId="3B9D3B56" w14:textId="77777777" w:rsidR="00E3390E" w:rsidRDefault="00E3390E" w:rsidP="00E229D1">
      <w:pPr>
        <w:snapToGrid w:val="0"/>
        <w:rPr>
          <w:rFonts w:ascii="Times New Roman" w:hAnsi="Times New Roman"/>
          <w:sz w:val="24"/>
          <w:szCs w:val="24"/>
        </w:rPr>
      </w:pPr>
    </w:p>
    <w:p w14:paraId="19FA2D22"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 Materials and </w:t>
      </w:r>
      <w:r>
        <w:rPr>
          <w:rFonts w:ascii="Times New Roman" w:hAnsi="Times New Roman" w:hint="eastAsia"/>
          <w:b/>
          <w:bCs/>
          <w:sz w:val="24"/>
          <w:szCs w:val="24"/>
        </w:rPr>
        <w:t>m</w:t>
      </w:r>
      <w:r>
        <w:rPr>
          <w:rFonts w:ascii="Times New Roman" w:hAnsi="Times New Roman"/>
          <w:b/>
          <w:bCs/>
          <w:sz w:val="24"/>
          <w:szCs w:val="24"/>
        </w:rPr>
        <w:t xml:space="preserve">ethods </w:t>
      </w:r>
    </w:p>
    <w:p w14:paraId="2DA2317E"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.1. General </w:t>
      </w:r>
      <w:r>
        <w:rPr>
          <w:rFonts w:ascii="Times New Roman" w:hAnsi="Times New Roman" w:hint="eastAsia"/>
          <w:b/>
          <w:bCs/>
          <w:sz w:val="24"/>
          <w:szCs w:val="24"/>
        </w:rPr>
        <w:t>i</w:t>
      </w:r>
      <w:r>
        <w:rPr>
          <w:rFonts w:ascii="Times New Roman" w:hAnsi="Times New Roman"/>
          <w:b/>
          <w:bCs/>
          <w:sz w:val="24"/>
          <w:szCs w:val="24"/>
        </w:rPr>
        <w:t xml:space="preserve">nformation </w:t>
      </w:r>
    </w:p>
    <w:p w14:paraId="425174D5" w14:textId="4C05F7CB" w:rsidR="00E3390E" w:rsidRDefault="00000000" w:rsidP="00E229D1">
      <w:pPr>
        <w:snapToGrid w:val="0"/>
        <w:rPr>
          <w:rFonts w:ascii="Times New Roman" w:hAnsi="Times New Roman"/>
          <w:sz w:val="24"/>
          <w:szCs w:val="24"/>
        </w:rPr>
      </w:pPr>
      <w:r>
        <w:rPr>
          <w:rFonts w:ascii="Times New Roman" w:hAnsi="Times New Roman"/>
          <w:sz w:val="24"/>
          <w:szCs w:val="24"/>
        </w:rPr>
        <w:t>Eighty dementia patients admitted to our hospital from October 2021 to October 2023 were included in the study. Patients/family members provided informed consent for participation and were randomly assigned using a random number table to either an observation group or a control group, with 40 patients in each group. The observation group consisted of 19 males and 21 females, aged 60</w:t>
      </w:r>
      <w:r w:rsidR="00E229D1">
        <w:rPr>
          <w:rFonts w:ascii="Times New Roman" w:hAnsi="Times New Roman"/>
          <w:sz w:val="24"/>
          <w:szCs w:val="24"/>
        </w:rPr>
        <w:t>–</w:t>
      </w:r>
      <w:r>
        <w:rPr>
          <w:rFonts w:ascii="Times New Roman" w:hAnsi="Times New Roman"/>
          <w:sz w:val="24"/>
          <w:szCs w:val="24"/>
        </w:rPr>
        <w:t>82 years with an average age of (68.83</w:t>
      </w:r>
      <w:r w:rsidR="00E229D1">
        <w:rPr>
          <w:rFonts w:ascii="Times New Roman" w:hAnsi="Times New Roman"/>
          <w:sz w:val="24"/>
          <w:szCs w:val="24"/>
        </w:rPr>
        <w:t xml:space="preserve"> </w:t>
      </w:r>
      <w:r>
        <w:rPr>
          <w:rFonts w:ascii="Times New Roman" w:hAnsi="Times New Roman"/>
          <w:sz w:val="24"/>
          <w:szCs w:val="24"/>
        </w:rPr>
        <w:t>±</w:t>
      </w:r>
      <w:r w:rsidR="00E229D1">
        <w:rPr>
          <w:rFonts w:ascii="Times New Roman" w:hAnsi="Times New Roman"/>
          <w:sz w:val="24"/>
          <w:szCs w:val="24"/>
        </w:rPr>
        <w:t xml:space="preserve"> </w:t>
      </w:r>
      <w:r>
        <w:rPr>
          <w:rFonts w:ascii="Times New Roman" w:hAnsi="Times New Roman"/>
          <w:sz w:val="24"/>
          <w:szCs w:val="24"/>
        </w:rPr>
        <w:t xml:space="preserve">5.33) years, including 14 cases of vascular dementia, 15 cases </w:t>
      </w:r>
      <w:r>
        <w:rPr>
          <w:rFonts w:ascii="Times New Roman" w:hAnsi="Times New Roman"/>
          <w:sz w:val="24"/>
          <w:szCs w:val="24"/>
        </w:rPr>
        <w:lastRenderedPageBreak/>
        <w:t>of Alzheimer’s disease, and 11 cases of mixed dementia. The control group consisted of 22 males and 18 females, aged 60</w:t>
      </w:r>
      <w:r w:rsidR="00E229D1">
        <w:rPr>
          <w:rFonts w:ascii="Times New Roman" w:hAnsi="Times New Roman"/>
          <w:sz w:val="24"/>
          <w:szCs w:val="24"/>
        </w:rPr>
        <w:t>–</w:t>
      </w:r>
      <w:r>
        <w:rPr>
          <w:rFonts w:ascii="Times New Roman" w:hAnsi="Times New Roman"/>
          <w:sz w:val="24"/>
          <w:szCs w:val="24"/>
        </w:rPr>
        <w:t>85 years with an average age of (68.98</w:t>
      </w:r>
      <w:r w:rsidR="00E229D1">
        <w:rPr>
          <w:rFonts w:ascii="Times New Roman" w:hAnsi="Times New Roman"/>
          <w:sz w:val="24"/>
          <w:szCs w:val="24"/>
        </w:rPr>
        <w:t xml:space="preserve"> </w:t>
      </w:r>
      <w:r>
        <w:rPr>
          <w:rFonts w:ascii="Times New Roman" w:hAnsi="Times New Roman"/>
          <w:sz w:val="24"/>
          <w:szCs w:val="24"/>
        </w:rPr>
        <w:t>±</w:t>
      </w:r>
      <w:r w:rsidR="00E229D1">
        <w:rPr>
          <w:rFonts w:ascii="Times New Roman" w:hAnsi="Times New Roman"/>
          <w:sz w:val="24"/>
          <w:szCs w:val="24"/>
        </w:rPr>
        <w:t xml:space="preserve"> </w:t>
      </w:r>
      <w:r>
        <w:rPr>
          <w:rFonts w:ascii="Times New Roman" w:hAnsi="Times New Roman"/>
          <w:sz w:val="24"/>
          <w:szCs w:val="24"/>
        </w:rPr>
        <w:t>5.42) years, including 16 cases of vascular dementia, 14 cases of Alzheimer’s disease, and 10 cases of mixed dementia. There was no significant difference in general information between the two groups (</w:t>
      </w:r>
      <w:r w:rsidR="00E229D1">
        <w:rPr>
          <w:rFonts w:ascii="Times New Roman" w:hAnsi="Times New Roman"/>
          <w:i/>
          <w:iCs/>
          <w:sz w:val="24"/>
          <w:szCs w:val="24"/>
        </w:rPr>
        <w:t>p</w:t>
      </w:r>
      <w:r w:rsidR="00E229D1">
        <w:rPr>
          <w:rFonts w:ascii="Times New Roman" w:hAnsi="Times New Roman"/>
          <w:sz w:val="24"/>
          <w:szCs w:val="24"/>
        </w:rPr>
        <w:t xml:space="preserve"> </w:t>
      </w:r>
      <w:r>
        <w:rPr>
          <w:rFonts w:ascii="Times New Roman" w:hAnsi="Times New Roman"/>
          <w:sz w:val="24"/>
          <w:szCs w:val="24"/>
        </w:rPr>
        <w:t xml:space="preserve">&gt; 0.05). </w:t>
      </w:r>
    </w:p>
    <w:p w14:paraId="3D6D6357" w14:textId="77777777" w:rsidR="00E229D1" w:rsidRDefault="00E229D1" w:rsidP="00E229D1">
      <w:pPr>
        <w:snapToGrid w:val="0"/>
        <w:rPr>
          <w:rFonts w:ascii="Times New Roman" w:hAnsi="Times New Roman"/>
          <w:sz w:val="24"/>
          <w:szCs w:val="24"/>
        </w:rPr>
      </w:pPr>
    </w:p>
    <w:p w14:paraId="064097D2" w14:textId="77777777" w:rsidR="00E229D1" w:rsidRPr="00AB360C" w:rsidRDefault="00E229D1" w:rsidP="00E229D1">
      <w:pPr>
        <w:snapToGrid w:val="0"/>
        <w:rPr>
          <w:rFonts w:ascii="Times New Roman" w:hAnsi="Times New Roman"/>
          <w:b/>
          <w:bCs/>
          <w:sz w:val="24"/>
          <w:szCs w:val="24"/>
        </w:rPr>
      </w:pPr>
      <w:r w:rsidRPr="00AB360C">
        <w:rPr>
          <w:rFonts w:ascii="Times New Roman" w:hAnsi="Times New Roman"/>
          <w:b/>
          <w:bCs/>
          <w:sz w:val="24"/>
          <w:szCs w:val="24"/>
        </w:rPr>
        <w:t xml:space="preserve">2.1.1. </w:t>
      </w:r>
      <w:r w:rsidR="00000000" w:rsidRPr="00AB360C">
        <w:rPr>
          <w:rFonts w:ascii="Times New Roman" w:hAnsi="Times New Roman"/>
          <w:b/>
          <w:bCs/>
          <w:sz w:val="24"/>
          <w:szCs w:val="24"/>
        </w:rPr>
        <w:t>Inclusion criteria</w:t>
      </w:r>
    </w:p>
    <w:p w14:paraId="6A5661A1" w14:textId="46881326"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(1)</w:t>
      </w:r>
      <w:r w:rsidR="00000000">
        <w:rPr>
          <w:rFonts w:ascii="Times New Roman" w:hAnsi="Times New Roman"/>
          <w:sz w:val="24"/>
          <w:szCs w:val="24"/>
        </w:rPr>
        <w:t xml:space="preserve"> </w:t>
      </w:r>
      <w:r>
        <w:rPr>
          <w:rFonts w:ascii="Times New Roman" w:hAnsi="Times New Roman"/>
          <w:sz w:val="24"/>
          <w:szCs w:val="24"/>
        </w:rPr>
        <w:tab/>
      </w:r>
      <w:r w:rsidR="00000000">
        <w:rPr>
          <w:rFonts w:ascii="Times New Roman" w:hAnsi="Times New Roman"/>
          <w:sz w:val="24"/>
          <w:szCs w:val="24"/>
        </w:rPr>
        <w:t xml:space="preserve">Age ≥ 60 years, gender not limited; </w:t>
      </w:r>
    </w:p>
    <w:p w14:paraId="25A70243" w14:textId="6D536A8D"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000000">
        <w:rPr>
          <w:rFonts w:ascii="Times New Roman" w:hAnsi="Times New Roman"/>
          <w:sz w:val="24"/>
          <w:szCs w:val="24"/>
        </w:rPr>
        <w:t xml:space="preserve">Diagnosed with dementia according to ICD-10; </w:t>
      </w:r>
    </w:p>
    <w:p w14:paraId="49FBE2D9" w14:textId="342B8395" w:rsidR="00E3390E" w:rsidRDefault="00E229D1" w:rsidP="00AB360C">
      <w:pPr>
        <w:snapToGrid w:val="0"/>
        <w:ind w:left="709" w:hanging="709"/>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000000">
        <w:rPr>
          <w:rFonts w:ascii="Times New Roman" w:hAnsi="Times New Roman"/>
          <w:sz w:val="24"/>
          <w:szCs w:val="24"/>
        </w:rPr>
        <w:t xml:space="preserve">Patients/family members provided informed consent. </w:t>
      </w:r>
    </w:p>
    <w:p w14:paraId="7AA563AA" w14:textId="77777777" w:rsidR="00E229D1" w:rsidRDefault="00E229D1" w:rsidP="00E229D1">
      <w:pPr>
        <w:snapToGrid w:val="0"/>
        <w:ind w:firstLineChars="200" w:firstLine="480"/>
        <w:rPr>
          <w:rFonts w:ascii="Times New Roman" w:hAnsi="Times New Roman"/>
          <w:sz w:val="24"/>
          <w:szCs w:val="24"/>
        </w:rPr>
      </w:pPr>
    </w:p>
    <w:p w14:paraId="542F222C" w14:textId="77777777" w:rsidR="00E229D1" w:rsidRPr="00AB360C" w:rsidRDefault="00E229D1" w:rsidP="00E229D1">
      <w:pPr>
        <w:snapToGrid w:val="0"/>
        <w:rPr>
          <w:rFonts w:ascii="Times New Roman" w:hAnsi="Times New Roman"/>
          <w:b/>
          <w:bCs/>
          <w:sz w:val="24"/>
          <w:szCs w:val="24"/>
        </w:rPr>
      </w:pPr>
      <w:r w:rsidRPr="00AB360C">
        <w:rPr>
          <w:rFonts w:ascii="Times New Roman" w:hAnsi="Times New Roman"/>
          <w:b/>
          <w:bCs/>
          <w:sz w:val="24"/>
          <w:szCs w:val="24"/>
        </w:rPr>
        <w:t xml:space="preserve">2.1.2. </w:t>
      </w:r>
      <w:r w:rsidR="00000000" w:rsidRPr="00AB360C">
        <w:rPr>
          <w:rFonts w:ascii="Times New Roman" w:hAnsi="Times New Roman"/>
          <w:b/>
          <w:bCs/>
          <w:sz w:val="24"/>
          <w:szCs w:val="24"/>
        </w:rPr>
        <w:t>Exclusion criteria</w:t>
      </w:r>
    </w:p>
    <w:p w14:paraId="1960C67F" w14:textId="00324AAB"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000000">
        <w:rPr>
          <w:rFonts w:ascii="Times New Roman" w:hAnsi="Times New Roman"/>
          <w:sz w:val="24"/>
          <w:szCs w:val="24"/>
        </w:rPr>
        <w:t xml:space="preserve">Coma; </w:t>
      </w:r>
    </w:p>
    <w:p w14:paraId="6338AC64" w14:textId="24674256"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000000">
        <w:rPr>
          <w:rFonts w:ascii="Times New Roman" w:hAnsi="Times New Roman"/>
          <w:sz w:val="24"/>
          <w:szCs w:val="24"/>
        </w:rPr>
        <w:t xml:space="preserve">Diagnosed with psychiatric disorders such as schizophrenia; </w:t>
      </w:r>
    </w:p>
    <w:p w14:paraId="1EE79871" w14:textId="2868AA46"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000000">
        <w:rPr>
          <w:rFonts w:ascii="Times New Roman" w:hAnsi="Times New Roman"/>
          <w:sz w:val="24"/>
          <w:szCs w:val="24"/>
        </w:rPr>
        <w:t xml:space="preserve">Incomplete medical records; </w:t>
      </w:r>
    </w:p>
    <w:p w14:paraId="45FBC9EF" w14:textId="5258F6CD" w:rsidR="00E229D1" w:rsidRDefault="00E229D1" w:rsidP="00E229D1">
      <w:pPr>
        <w:snapToGrid w:val="0"/>
        <w:ind w:left="709" w:hanging="709"/>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000000">
        <w:rPr>
          <w:rFonts w:ascii="Times New Roman" w:hAnsi="Times New Roman"/>
          <w:sz w:val="24"/>
          <w:szCs w:val="24"/>
        </w:rPr>
        <w:t xml:space="preserve">Severe cardiac, renal, or hepatic diseases; </w:t>
      </w:r>
    </w:p>
    <w:p w14:paraId="5F3A8602" w14:textId="3A00F93B" w:rsidR="00E3390E" w:rsidRDefault="00E229D1" w:rsidP="00AB360C">
      <w:pPr>
        <w:snapToGrid w:val="0"/>
        <w:ind w:left="709" w:hanging="709"/>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sidR="00000000">
        <w:rPr>
          <w:rFonts w:ascii="Times New Roman" w:hAnsi="Times New Roman"/>
          <w:sz w:val="24"/>
          <w:szCs w:val="24"/>
        </w:rPr>
        <w:t xml:space="preserve">Malignant tumors. </w:t>
      </w:r>
    </w:p>
    <w:p w14:paraId="6333D922" w14:textId="77777777" w:rsidR="00E3390E" w:rsidRDefault="00E3390E" w:rsidP="00E229D1">
      <w:pPr>
        <w:snapToGrid w:val="0"/>
        <w:rPr>
          <w:rFonts w:ascii="Times New Roman" w:hAnsi="Times New Roman"/>
          <w:sz w:val="24"/>
          <w:szCs w:val="24"/>
        </w:rPr>
      </w:pPr>
    </w:p>
    <w:p w14:paraId="571DE875"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 Methods </w:t>
      </w:r>
    </w:p>
    <w:p w14:paraId="316BBB0E"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The control group received routine care, where nursing staff provided basic care, assisted with daily activities and movements, intervened in uncomfortable symptoms, and followed medical advice when agitation occurred, while ensuring the safety of both the patient and others. The observation group received hospice care in addition to routine care, as follows: </w:t>
      </w:r>
    </w:p>
    <w:p w14:paraId="0CF3C6CE" w14:textId="77777777" w:rsidR="00E3390E" w:rsidRDefault="00E3390E" w:rsidP="00E229D1">
      <w:pPr>
        <w:snapToGrid w:val="0"/>
        <w:rPr>
          <w:rFonts w:ascii="Times New Roman" w:hAnsi="Times New Roman"/>
          <w:sz w:val="24"/>
          <w:szCs w:val="24"/>
        </w:rPr>
      </w:pPr>
    </w:p>
    <w:p w14:paraId="7F1E8195"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.2.1. Prevention of </w:t>
      </w:r>
      <w:r>
        <w:rPr>
          <w:rFonts w:ascii="Times New Roman" w:hAnsi="Times New Roman" w:hint="eastAsia"/>
          <w:b/>
          <w:bCs/>
          <w:sz w:val="24"/>
          <w:szCs w:val="24"/>
        </w:rPr>
        <w:t>c</w:t>
      </w:r>
      <w:r>
        <w:rPr>
          <w:rFonts w:ascii="Times New Roman" w:hAnsi="Times New Roman"/>
          <w:b/>
          <w:bCs/>
          <w:sz w:val="24"/>
          <w:szCs w:val="24"/>
        </w:rPr>
        <w:t xml:space="preserve">omplications </w:t>
      </w:r>
    </w:p>
    <w:p w14:paraId="505E2C89"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Regular rounds were conducted to comprehensively assess the patient's condition and evaluate the risk of complications and potential risk factors. Nutritional support was provided, with professional dietitians assessing the patient’s nutritional status, identifying nutritional risks, and developing individualized nutritional support plans to reduce nutritional risks and enhance resistance to complications. </w:t>
      </w:r>
    </w:p>
    <w:p w14:paraId="47DF63E7" w14:textId="77777777" w:rsidR="00E3390E" w:rsidRDefault="00E3390E" w:rsidP="00E229D1">
      <w:pPr>
        <w:snapToGrid w:val="0"/>
        <w:rPr>
          <w:rFonts w:ascii="Times New Roman" w:hAnsi="Times New Roman"/>
          <w:sz w:val="24"/>
          <w:szCs w:val="24"/>
        </w:rPr>
      </w:pPr>
    </w:p>
    <w:p w14:paraId="6008707B"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.2.2. Improvement of </w:t>
      </w:r>
      <w:r>
        <w:rPr>
          <w:rFonts w:ascii="Times New Roman" w:hAnsi="Times New Roman" w:hint="eastAsia"/>
          <w:b/>
          <w:bCs/>
          <w:sz w:val="24"/>
          <w:szCs w:val="24"/>
        </w:rPr>
        <w:t>s</w:t>
      </w:r>
      <w:r>
        <w:rPr>
          <w:rFonts w:ascii="Times New Roman" w:hAnsi="Times New Roman"/>
          <w:b/>
          <w:bCs/>
          <w:sz w:val="24"/>
          <w:szCs w:val="24"/>
        </w:rPr>
        <w:t xml:space="preserve">leep </w:t>
      </w:r>
      <w:r>
        <w:rPr>
          <w:rFonts w:ascii="Times New Roman" w:hAnsi="Times New Roman" w:hint="eastAsia"/>
          <w:b/>
          <w:bCs/>
          <w:sz w:val="24"/>
          <w:szCs w:val="24"/>
        </w:rPr>
        <w:t>q</w:t>
      </w:r>
      <w:r>
        <w:rPr>
          <w:rFonts w:ascii="Times New Roman" w:hAnsi="Times New Roman"/>
          <w:b/>
          <w:bCs/>
          <w:sz w:val="24"/>
          <w:szCs w:val="24"/>
        </w:rPr>
        <w:t xml:space="preserve">uality </w:t>
      </w:r>
    </w:p>
    <w:p w14:paraId="3ECFF72D"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The hospital environment was optimized, with appropriate temperatures maintained in activity and sleeping areas, and patients’ favorite items placed to enhance comfort. Before bedtime, indoor lighting was controlled to reduce blue light exposure, and a quiet environment was maintained to minimize disturbances. </w:t>
      </w:r>
    </w:p>
    <w:p w14:paraId="4B4A40AE" w14:textId="77777777" w:rsidR="00E3390E" w:rsidRDefault="00E3390E" w:rsidP="00E229D1">
      <w:pPr>
        <w:snapToGrid w:val="0"/>
        <w:rPr>
          <w:rFonts w:ascii="Times New Roman" w:hAnsi="Times New Roman"/>
          <w:sz w:val="24"/>
          <w:szCs w:val="24"/>
        </w:rPr>
      </w:pPr>
    </w:p>
    <w:p w14:paraId="7AA02A0D"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.2.3. Pain </w:t>
      </w:r>
      <w:r>
        <w:rPr>
          <w:rFonts w:ascii="Times New Roman" w:hAnsi="Times New Roman" w:hint="eastAsia"/>
          <w:b/>
          <w:bCs/>
          <w:sz w:val="24"/>
          <w:szCs w:val="24"/>
        </w:rPr>
        <w:t>i</w:t>
      </w:r>
      <w:r>
        <w:rPr>
          <w:rFonts w:ascii="Times New Roman" w:hAnsi="Times New Roman"/>
          <w:b/>
          <w:bCs/>
          <w:sz w:val="24"/>
          <w:szCs w:val="24"/>
        </w:rPr>
        <w:t xml:space="preserve">ntervention </w:t>
      </w:r>
    </w:p>
    <w:p w14:paraId="6D7A2291"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The patient’s pain intensity was assessed, and a combination of interventions was used to alleviate pain. Non-pharmacological pain management strategies included frequent conversations to divert the patient's attention to topics of interest, music therapy with light and soothing music played when pain did not necessitate medication or before bedtime, and encouraging participation in aerobic exercises such as walking or </w:t>
      </w:r>
      <w:proofErr w:type="spellStart"/>
      <w:r>
        <w:rPr>
          <w:rFonts w:ascii="Times New Roman" w:hAnsi="Times New Roman"/>
          <w:sz w:val="24"/>
          <w:szCs w:val="24"/>
        </w:rPr>
        <w:t>Baduanjin</w:t>
      </w:r>
      <w:proofErr w:type="spellEnd"/>
      <w:r>
        <w:rPr>
          <w:rFonts w:ascii="Times New Roman" w:hAnsi="Times New Roman"/>
          <w:sz w:val="24"/>
          <w:szCs w:val="24"/>
        </w:rPr>
        <w:t xml:space="preserve"> </w:t>
      </w:r>
      <w:r>
        <w:rPr>
          <w:rFonts w:ascii="Times New Roman" w:hAnsi="Times New Roman"/>
          <w:sz w:val="24"/>
          <w:szCs w:val="24"/>
          <w:vertAlign w:val="superscript"/>
        </w:rPr>
        <w:t>[7]</w:t>
      </w:r>
      <w:r>
        <w:rPr>
          <w:rFonts w:ascii="Times New Roman" w:hAnsi="Times New Roman"/>
          <w:sz w:val="24"/>
          <w:szCs w:val="24"/>
        </w:rPr>
        <w:t xml:space="preserve">. When pharmacological interventions were necessary, analgesics were administered according to the patient's treatment status and complication profile, with guidance provided to patients and caregivers to alleviate concerns and emphasize the importance of pain relief in maintaining patient dignity. </w:t>
      </w:r>
    </w:p>
    <w:p w14:paraId="018CF99C" w14:textId="77777777" w:rsidR="00E3390E" w:rsidRDefault="00E3390E" w:rsidP="00E229D1">
      <w:pPr>
        <w:snapToGrid w:val="0"/>
        <w:rPr>
          <w:rFonts w:ascii="Times New Roman" w:hAnsi="Times New Roman"/>
          <w:sz w:val="24"/>
          <w:szCs w:val="24"/>
        </w:rPr>
      </w:pPr>
    </w:p>
    <w:p w14:paraId="18507C90"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.2.4. Emotional </w:t>
      </w:r>
      <w:r>
        <w:rPr>
          <w:rFonts w:ascii="Times New Roman" w:hAnsi="Times New Roman" w:hint="eastAsia"/>
          <w:b/>
          <w:bCs/>
          <w:sz w:val="24"/>
          <w:szCs w:val="24"/>
        </w:rPr>
        <w:t>t</w:t>
      </w:r>
      <w:r>
        <w:rPr>
          <w:rFonts w:ascii="Times New Roman" w:hAnsi="Times New Roman"/>
          <w:b/>
          <w:bCs/>
          <w:sz w:val="24"/>
          <w:szCs w:val="24"/>
        </w:rPr>
        <w:t xml:space="preserve">herapy </w:t>
      </w:r>
    </w:p>
    <w:p w14:paraId="62C75E34"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A combination of videotapes, music, and photographs was used to guide patients in recalling past events, with nursing staff engaging in conversations to help patients recognize the emotions behind their behaviors and language. The causes of aggressive behavior were analyzed, and precursors to such behavior were identified to reduce stressors </w:t>
      </w:r>
      <w:r>
        <w:rPr>
          <w:rFonts w:ascii="Times New Roman" w:hAnsi="Times New Roman"/>
          <w:sz w:val="24"/>
          <w:szCs w:val="24"/>
          <w:vertAlign w:val="superscript"/>
        </w:rPr>
        <w:t>[8]</w:t>
      </w:r>
      <w:r>
        <w:rPr>
          <w:rFonts w:ascii="Times New Roman" w:hAnsi="Times New Roman"/>
          <w:sz w:val="24"/>
          <w:szCs w:val="24"/>
        </w:rPr>
        <w:t xml:space="preserve">. When symptoms such as loneliness, withdrawal, and indifference were severe, empathy dolls were provided for patients to name and treat gently as </w:t>
      </w:r>
      <w:r>
        <w:rPr>
          <w:rFonts w:ascii="Times New Roman" w:hAnsi="Times New Roman"/>
          <w:sz w:val="24"/>
          <w:szCs w:val="24"/>
        </w:rPr>
        <w:lastRenderedPageBreak/>
        <w:t xml:space="preserve">their own infants, with daily contact lasting no less than 1 hour; nursing staff avoided confiscating dolls due to inappropriate patient behavior or language </w:t>
      </w:r>
      <w:r>
        <w:rPr>
          <w:rFonts w:ascii="Times New Roman" w:hAnsi="Times New Roman"/>
          <w:sz w:val="24"/>
          <w:szCs w:val="24"/>
          <w:vertAlign w:val="superscript"/>
        </w:rPr>
        <w:t>[9]</w:t>
      </w:r>
      <w:r>
        <w:rPr>
          <w:rFonts w:ascii="Times New Roman" w:hAnsi="Times New Roman"/>
          <w:sz w:val="24"/>
          <w:szCs w:val="24"/>
        </w:rPr>
        <w:t xml:space="preserve">. Patients were encouraged to engage in activities they enjoyed with family members whenever possible. </w:t>
      </w:r>
    </w:p>
    <w:p w14:paraId="1575D795" w14:textId="77777777" w:rsidR="00E3390E" w:rsidRDefault="00E3390E" w:rsidP="00E229D1">
      <w:pPr>
        <w:snapToGrid w:val="0"/>
        <w:rPr>
          <w:rFonts w:ascii="Times New Roman" w:hAnsi="Times New Roman"/>
          <w:sz w:val="24"/>
          <w:szCs w:val="24"/>
        </w:rPr>
      </w:pPr>
    </w:p>
    <w:p w14:paraId="64DC3376"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.2.5. Behavioral and </w:t>
      </w:r>
      <w:r>
        <w:rPr>
          <w:rFonts w:ascii="Times New Roman" w:hAnsi="Times New Roman" w:hint="eastAsia"/>
          <w:b/>
          <w:bCs/>
          <w:sz w:val="24"/>
          <w:szCs w:val="24"/>
        </w:rPr>
        <w:t>p</w:t>
      </w:r>
      <w:r>
        <w:rPr>
          <w:rFonts w:ascii="Times New Roman" w:hAnsi="Times New Roman"/>
          <w:b/>
          <w:bCs/>
          <w:sz w:val="24"/>
          <w:szCs w:val="24"/>
        </w:rPr>
        <w:t xml:space="preserve">sychological </w:t>
      </w:r>
      <w:r>
        <w:rPr>
          <w:rFonts w:ascii="Times New Roman" w:hAnsi="Times New Roman" w:hint="eastAsia"/>
          <w:b/>
          <w:bCs/>
          <w:sz w:val="24"/>
          <w:szCs w:val="24"/>
        </w:rPr>
        <w:t>s</w:t>
      </w:r>
      <w:r>
        <w:rPr>
          <w:rFonts w:ascii="Times New Roman" w:hAnsi="Times New Roman"/>
          <w:b/>
          <w:bCs/>
          <w:sz w:val="24"/>
          <w:szCs w:val="24"/>
        </w:rPr>
        <w:t xml:space="preserve">ymptom </w:t>
      </w:r>
      <w:r>
        <w:rPr>
          <w:rFonts w:ascii="Times New Roman" w:hAnsi="Times New Roman" w:hint="eastAsia"/>
          <w:b/>
          <w:bCs/>
          <w:sz w:val="24"/>
          <w:szCs w:val="24"/>
        </w:rPr>
        <w:t>t</w:t>
      </w:r>
      <w:r>
        <w:rPr>
          <w:rFonts w:ascii="Times New Roman" w:hAnsi="Times New Roman"/>
          <w:b/>
          <w:bCs/>
          <w:sz w:val="24"/>
          <w:szCs w:val="24"/>
        </w:rPr>
        <w:t xml:space="preserve">herapy </w:t>
      </w:r>
    </w:p>
    <w:p w14:paraId="6EAF28E1"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The activity space was optimized to provide sufficient room for patients while ensuring safety. Patients were encouraged to participate in outdoor activities. Cognitive, memory, and thinking skills were trained through activities such as number sequencing, picture recognition, chess, and card games. Language communication skills were trained by fully utilizing gestures, smiles, and nods during conversations with patients </w:t>
      </w:r>
      <w:r>
        <w:rPr>
          <w:rFonts w:ascii="Times New Roman" w:hAnsi="Times New Roman"/>
          <w:sz w:val="24"/>
          <w:szCs w:val="24"/>
          <w:vertAlign w:val="superscript"/>
        </w:rPr>
        <w:t>[10]</w:t>
      </w:r>
      <w:r>
        <w:rPr>
          <w:rFonts w:ascii="Times New Roman" w:hAnsi="Times New Roman"/>
          <w:sz w:val="24"/>
          <w:szCs w:val="24"/>
        </w:rPr>
        <w:t xml:space="preserve">. In daily life, assistance was provided without forcing patients to adhere to specific schedules or routes, minimizing psychological pressure. Patients’ social adaptability was enhanced by organizing activities such as origami and flower watering, encouraging participation and helping patients identify their social roles. </w:t>
      </w:r>
    </w:p>
    <w:p w14:paraId="50C038F9" w14:textId="77777777" w:rsidR="00E3390E" w:rsidRDefault="00E3390E" w:rsidP="00E229D1">
      <w:pPr>
        <w:snapToGrid w:val="0"/>
        <w:rPr>
          <w:rFonts w:ascii="Times New Roman" w:hAnsi="Times New Roman"/>
          <w:sz w:val="24"/>
          <w:szCs w:val="24"/>
        </w:rPr>
      </w:pPr>
    </w:p>
    <w:p w14:paraId="79567E66"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.3. Observation </w:t>
      </w:r>
      <w:r>
        <w:rPr>
          <w:rFonts w:ascii="Times New Roman" w:hAnsi="Times New Roman" w:hint="eastAsia"/>
          <w:b/>
          <w:bCs/>
          <w:sz w:val="24"/>
          <w:szCs w:val="24"/>
        </w:rPr>
        <w:t>i</w:t>
      </w:r>
      <w:r>
        <w:rPr>
          <w:rFonts w:ascii="Times New Roman" w:hAnsi="Times New Roman"/>
          <w:b/>
          <w:bCs/>
          <w:sz w:val="24"/>
          <w:szCs w:val="24"/>
        </w:rPr>
        <w:t xml:space="preserve">ndicators and </w:t>
      </w:r>
      <w:r>
        <w:rPr>
          <w:rFonts w:ascii="Times New Roman" w:hAnsi="Times New Roman" w:hint="eastAsia"/>
          <w:b/>
          <w:bCs/>
          <w:sz w:val="24"/>
          <w:szCs w:val="24"/>
        </w:rPr>
        <w:t>e</w:t>
      </w:r>
      <w:r>
        <w:rPr>
          <w:rFonts w:ascii="Times New Roman" w:hAnsi="Times New Roman"/>
          <w:b/>
          <w:bCs/>
          <w:sz w:val="24"/>
          <w:szCs w:val="24"/>
        </w:rPr>
        <w:t xml:space="preserve">valuation </w:t>
      </w:r>
      <w:r>
        <w:rPr>
          <w:rFonts w:ascii="Times New Roman" w:hAnsi="Times New Roman" w:hint="eastAsia"/>
          <w:b/>
          <w:bCs/>
          <w:sz w:val="24"/>
          <w:szCs w:val="24"/>
        </w:rPr>
        <w:t>c</w:t>
      </w:r>
      <w:r>
        <w:rPr>
          <w:rFonts w:ascii="Times New Roman" w:hAnsi="Times New Roman"/>
          <w:b/>
          <w:bCs/>
          <w:sz w:val="24"/>
          <w:szCs w:val="24"/>
        </w:rPr>
        <w:t xml:space="preserve">riteria </w:t>
      </w:r>
    </w:p>
    <w:p w14:paraId="063BF603" w14:textId="306784AD" w:rsidR="00E3390E" w:rsidRDefault="00000000" w:rsidP="00E229D1">
      <w:pPr>
        <w:snapToGrid w:val="0"/>
        <w:rPr>
          <w:rFonts w:ascii="Times New Roman" w:hAnsi="Times New Roman"/>
          <w:sz w:val="24"/>
          <w:szCs w:val="24"/>
        </w:rPr>
      </w:pPr>
      <w:r>
        <w:rPr>
          <w:rFonts w:ascii="Times New Roman" w:hAnsi="Times New Roman"/>
          <w:sz w:val="24"/>
          <w:szCs w:val="24"/>
        </w:rPr>
        <w:t>After one month of nursing intervention, agitation scores were observed before and after intervention. The community version of the Chinese Cohen-Mansfield Agitation Inventory was used for assessment, with a reliability coefficient of 0.86. The inventory consists of 23 items categorized into verbal and behavioral types, further subdivided into aggressive and non-aggressive verbal/behavioral types</w:t>
      </w:r>
      <w:r w:rsidR="00E229D1">
        <w:rPr>
          <w:rFonts w:ascii="Times New Roman" w:hAnsi="Times New Roman"/>
          <w:sz w:val="24"/>
          <w:szCs w:val="24"/>
        </w:rPr>
        <w:t xml:space="preserve"> </w:t>
      </w:r>
      <w:r w:rsidR="00E229D1">
        <w:rPr>
          <w:rFonts w:ascii="Times New Roman" w:hAnsi="Times New Roman"/>
          <w:sz w:val="24"/>
          <w:szCs w:val="24"/>
          <w:vertAlign w:val="superscript"/>
        </w:rPr>
        <w:t>[11]</w:t>
      </w:r>
      <w:r>
        <w:rPr>
          <w:rFonts w:ascii="Times New Roman" w:hAnsi="Times New Roman"/>
          <w:sz w:val="24"/>
          <w:szCs w:val="24"/>
        </w:rPr>
        <w:t xml:space="preserve">. Scores were assigned based on the frequency of behaviors over the past 14 days, ranging from 1 (never occurred) to 7 (occurred several times per hour). Total scores ranged from 23 to 161, with higher scores indicating more severe agitation. Rehabilitation treatment adherence was assessed using a self-designed questionnaire, evaluating whether patients could follow rehabilitation instructions, the frequency of rehabilitation, and daily rehabilitation duration. Patients were classified as fully adherent if they actively engaged in rehabilitation under guidance, partially adherent if daily rehabilitation duration or weekly frequency was insufficient or methods were inappropriate, and non-adherent if unwilling to participate in functional exercises. The fully adherent rate was calculated. </w:t>
      </w:r>
    </w:p>
    <w:p w14:paraId="45597462" w14:textId="77777777" w:rsidR="00E3390E" w:rsidRDefault="00E3390E" w:rsidP="00E229D1">
      <w:pPr>
        <w:snapToGrid w:val="0"/>
        <w:rPr>
          <w:rFonts w:ascii="Times New Roman" w:hAnsi="Times New Roman"/>
          <w:sz w:val="24"/>
          <w:szCs w:val="24"/>
        </w:rPr>
      </w:pPr>
    </w:p>
    <w:p w14:paraId="13D29C49"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2</w:t>
      </w:r>
      <w:r>
        <w:rPr>
          <w:rFonts w:ascii="Times New Roman" w:hAnsi="Times New Roman"/>
          <w:b/>
          <w:bCs/>
          <w:sz w:val="24"/>
          <w:szCs w:val="24"/>
        </w:rPr>
        <w:t xml:space="preserve">.4. Statistical </w:t>
      </w:r>
      <w:r>
        <w:rPr>
          <w:rFonts w:ascii="Times New Roman" w:hAnsi="Times New Roman" w:hint="eastAsia"/>
          <w:b/>
          <w:bCs/>
          <w:sz w:val="24"/>
          <w:szCs w:val="24"/>
        </w:rPr>
        <w:t>a</w:t>
      </w:r>
      <w:r>
        <w:rPr>
          <w:rFonts w:ascii="Times New Roman" w:hAnsi="Times New Roman"/>
          <w:b/>
          <w:bCs/>
          <w:sz w:val="24"/>
          <w:szCs w:val="24"/>
        </w:rPr>
        <w:t xml:space="preserve">nalysis </w:t>
      </w:r>
    </w:p>
    <w:p w14:paraId="11C25757" w14:textId="77777777" w:rsidR="00E3390E" w:rsidRDefault="00000000" w:rsidP="00E229D1">
      <w:pPr>
        <w:snapToGrid w:val="0"/>
        <w:rPr>
          <w:rFonts w:ascii="Times New Roman" w:hAnsi="Times New Roman"/>
          <w:sz w:val="24"/>
          <w:szCs w:val="24"/>
        </w:rPr>
      </w:pPr>
      <w:r>
        <w:rPr>
          <w:rFonts w:ascii="Times New Roman" w:hAnsi="Times New Roman"/>
          <w:sz w:val="24"/>
          <w:szCs w:val="24"/>
        </w:rPr>
        <w:t xml:space="preserve">Data were processed using SPSS 23.0, with </w:t>
      </w:r>
      <w:r>
        <w:rPr>
          <w:rFonts w:ascii="Times New Roman" w:hAnsi="Times New Roman"/>
          <w:i/>
          <w:iCs/>
          <w:sz w:val="24"/>
          <w:szCs w:val="24"/>
        </w:rPr>
        <w:t>t</w:t>
      </w:r>
      <w:r>
        <w:rPr>
          <w:rFonts w:ascii="Times New Roman" w:hAnsi="Times New Roman"/>
          <w:sz w:val="24"/>
          <w:szCs w:val="24"/>
        </w:rPr>
        <w:t>-tests for continuous data (</w:t>
      </w:r>
      <w:r>
        <w:rPr>
          <w:rFonts w:ascii="Times New Roman" w:eastAsia="SimSun" w:hAnsi="Times New Roman"/>
          <w:color w:val="0000FF"/>
          <w:position w:val="-6"/>
          <w:sz w:val="24"/>
          <w:szCs w:val="24"/>
        </w:rPr>
        <w:object w:dxaOrig="220" w:dyaOrig="270" w14:anchorId="4FCD7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4" o:title=""/>
          </v:shape>
          <o:OLEObject Type="Embed" ProgID="Equation.DSMT4" ShapeID="_x0000_i1025" DrawAspect="Content" ObjectID="_1852019733" r:id="rId5"/>
        </w:object>
      </w:r>
      <w:r>
        <w:rPr>
          <w:rFonts w:ascii="Times New Roman" w:hAnsi="Times New Roman"/>
          <w:sz w:val="24"/>
          <w:szCs w:val="24"/>
        </w:rPr>
        <w:t>± s</w:t>
      </w:r>
      <w:r>
        <w:rPr>
          <w:rFonts w:ascii="Times New Roman" w:hAnsi="Times New Roman" w:hint="eastAsia"/>
          <w:sz w:val="24"/>
          <w:szCs w:val="24"/>
        </w:rPr>
        <w:t>)</w:t>
      </w:r>
      <w:r>
        <w:rPr>
          <w:rFonts w:ascii="Times New Roman" w:hAnsi="Times New Roman"/>
          <w:sz w:val="24"/>
          <w:szCs w:val="24"/>
        </w:rPr>
        <w:t xml:space="preserve"> and chi-square tests for categorical data. The significance level was set at α = 0.05.</w:t>
      </w:r>
    </w:p>
    <w:p w14:paraId="679D6EA2" w14:textId="77777777" w:rsidR="00E3390E" w:rsidRDefault="00E3390E" w:rsidP="00E229D1">
      <w:pPr>
        <w:snapToGrid w:val="0"/>
        <w:rPr>
          <w:rFonts w:ascii="Times New Roman" w:hAnsi="Times New Roman"/>
          <w:sz w:val="24"/>
          <w:szCs w:val="24"/>
        </w:rPr>
      </w:pPr>
    </w:p>
    <w:p w14:paraId="1DAA2860"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3</w:t>
      </w:r>
      <w:r>
        <w:rPr>
          <w:rFonts w:ascii="Times New Roman" w:hAnsi="Times New Roman"/>
          <w:b/>
          <w:bCs/>
          <w:sz w:val="24"/>
          <w:szCs w:val="24"/>
        </w:rPr>
        <w:t xml:space="preserve">. Results </w:t>
      </w:r>
    </w:p>
    <w:p w14:paraId="23DBB774" w14:textId="77777777" w:rsidR="00E3390E" w:rsidRDefault="00000000" w:rsidP="00E229D1">
      <w:pPr>
        <w:snapToGrid w:val="0"/>
        <w:rPr>
          <w:rFonts w:ascii="Times New Roman" w:hAnsi="Times New Roman"/>
          <w:b/>
          <w:bCs/>
          <w:sz w:val="24"/>
          <w:szCs w:val="24"/>
        </w:rPr>
      </w:pPr>
      <w:r>
        <w:rPr>
          <w:rFonts w:ascii="Times New Roman" w:hAnsi="Times New Roman" w:hint="eastAsia"/>
          <w:b/>
          <w:bCs/>
          <w:sz w:val="24"/>
          <w:szCs w:val="24"/>
        </w:rPr>
        <w:t>3</w:t>
      </w:r>
      <w:r>
        <w:rPr>
          <w:rFonts w:ascii="Times New Roman" w:hAnsi="Times New Roman"/>
          <w:b/>
          <w:bCs/>
          <w:sz w:val="24"/>
          <w:szCs w:val="24"/>
        </w:rPr>
        <w:t xml:space="preserve">.1. Comparison of </w:t>
      </w:r>
      <w:r>
        <w:rPr>
          <w:rFonts w:ascii="Times New Roman" w:hAnsi="Times New Roman" w:hint="eastAsia"/>
          <w:b/>
          <w:bCs/>
          <w:sz w:val="24"/>
          <w:szCs w:val="24"/>
        </w:rPr>
        <w:t>a</w:t>
      </w:r>
      <w:r>
        <w:rPr>
          <w:rFonts w:ascii="Times New Roman" w:hAnsi="Times New Roman"/>
          <w:b/>
          <w:bCs/>
          <w:sz w:val="24"/>
          <w:szCs w:val="24"/>
        </w:rPr>
        <w:t xml:space="preserve">gitation </w:t>
      </w:r>
      <w:r>
        <w:rPr>
          <w:rFonts w:ascii="Times New Roman" w:hAnsi="Times New Roman" w:hint="eastAsia"/>
          <w:b/>
          <w:bCs/>
          <w:sz w:val="24"/>
          <w:szCs w:val="24"/>
        </w:rPr>
        <w:t>s</w:t>
      </w:r>
      <w:r>
        <w:rPr>
          <w:rFonts w:ascii="Times New Roman" w:hAnsi="Times New Roman"/>
          <w:b/>
          <w:bCs/>
          <w:sz w:val="24"/>
          <w:szCs w:val="24"/>
        </w:rPr>
        <w:t xml:space="preserve">cores </w:t>
      </w:r>
    </w:p>
    <w:p w14:paraId="3F19A90B" w14:textId="1A857A63" w:rsidR="00E3390E" w:rsidRDefault="00000000" w:rsidP="00E229D1">
      <w:pPr>
        <w:snapToGrid w:val="0"/>
        <w:rPr>
          <w:rFonts w:ascii="Times New Roman" w:hAnsi="Times New Roman"/>
          <w:sz w:val="24"/>
          <w:szCs w:val="24"/>
        </w:rPr>
      </w:pPr>
      <w:r>
        <w:rPr>
          <w:rFonts w:ascii="Times New Roman" w:hAnsi="Times New Roman"/>
          <w:sz w:val="24"/>
          <w:szCs w:val="24"/>
        </w:rPr>
        <w:t xml:space="preserve">As shown in </w:t>
      </w:r>
      <w:r>
        <w:rPr>
          <w:rFonts w:ascii="Times New Roman" w:hAnsi="Times New Roman"/>
          <w:b/>
          <w:bCs/>
          <w:sz w:val="24"/>
          <w:szCs w:val="24"/>
        </w:rPr>
        <w:t>Table 1</w:t>
      </w:r>
      <w:r>
        <w:rPr>
          <w:rFonts w:ascii="Times New Roman" w:hAnsi="Times New Roman"/>
          <w:sz w:val="24"/>
          <w:szCs w:val="24"/>
        </w:rPr>
        <w:t>, after intervention, all agitation scores and the total score significantly decreased in the observation group (</w:t>
      </w:r>
      <w:r w:rsidR="00E229D1">
        <w:rPr>
          <w:rFonts w:ascii="Times New Roman" w:hAnsi="Times New Roman"/>
          <w:i/>
          <w:iCs/>
          <w:sz w:val="24"/>
          <w:szCs w:val="24"/>
        </w:rPr>
        <w:t xml:space="preserve">p </w:t>
      </w:r>
      <w:r>
        <w:rPr>
          <w:rFonts w:ascii="Times New Roman" w:hAnsi="Times New Roman"/>
          <w:sz w:val="24"/>
          <w:szCs w:val="24"/>
        </w:rPr>
        <w:t>&lt; 0.001). In the control group, physical aggressive behavior, verbal non-aggressive behavior, and the total score significantly decreased after intervention (</w:t>
      </w:r>
      <w:r w:rsidR="00E229D1">
        <w:rPr>
          <w:rFonts w:ascii="Times New Roman" w:hAnsi="Times New Roman"/>
          <w:i/>
          <w:iCs/>
          <w:sz w:val="24"/>
          <w:szCs w:val="24"/>
        </w:rPr>
        <w:t>p</w:t>
      </w:r>
      <w:r w:rsidR="00E229D1">
        <w:rPr>
          <w:rFonts w:ascii="Times New Roman" w:hAnsi="Times New Roman"/>
          <w:sz w:val="24"/>
          <w:szCs w:val="24"/>
        </w:rPr>
        <w:t xml:space="preserve"> </w:t>
      </w:r>
      <w:r>
        <w:rPr>
          <w:rFonts w:ascii="Times New Roman" w:hAnsi="Times New Roman"/>
          <w:sz w:val="24"/>
          <w:szCs w:val="24"/>
        </w:rPr>
        <w:t>&lt; 0.001), while physical non-aggressive behavior and verbal aggressive behavior showed no significant difference compared to before intervention (</w:t>
      </w:r>
      <w:r w:rsidR="00E229D1">
        <w:rPr>
          <w:rFonts w:ascii="Times New Roman" w:hAnsi="Times New Roman"/>
          <w:i/>
          <w:iCs/>
          <w:sz w:val="24"/>
          <w:szCs w:val="24"/>
        </w:rPr>
        <w:t>p</w:t>
      </w:r>
      <w:r w:rsidR="00E229D1">
        <w:rPr>
          <w:rFonts w:ascii="Times New Roman" w:hAnsi="Times New Roman"/>
          <w:sz w:val="24"/>
          <w:szCs w:val="24"/>
        </w:rPr>
        <w:t xml:space="preserve"> </w:t>
      </w:r>
      <w:r>
        <w:rPr>
          <w:rFonts w:ascii="Times New Roman" w:hAnsi="Times New Roman"/>
          <w:sz w:val="24"/>
          <w:szCs w:val="24"/>
        </w:rPr>
        <w:t>&gt; 0.05). Additionally, there was no significant difference in agitation scores between the two groups before intervention (</w:t>
      </w:r>
      <w:r w:rsidR="00E229D1">
        <w:rPr>
          <w:rFonts w:ascii="Times New Roman" w:hAnsi="Times New Roman"/>
          <w:i/>
          <w:iCs/>
          <w:sz w:val="24"/>
          <w:szCs w:val="24"/>
        </w:rPr>
        <w:t>p</w:t>
      </w:r>
      <w:r w:rsidR="00E229D1">
        <w:rPr>
          <w:rFonts w:ascii="Times New Roman" w:hAnsi="Times New Roman"/>
          <w:sz w:val="24"/>
          <w:szCs w:val="24"/>
        </w:rPr>
        <w:t xml:space="preserve"> </w:t>
      </w:r>
      <w:r>
        <w:rPr>
          <w:rFonts w:ascii="Times New Roman" w:hAnsi="Times New Roman"/>
          <w:sz w:val="24"/>
          <w:szCs w:val="24"/>
        </w:rPr>
        <w:t>&gt; 0.05), but after intervention, all agitation scores in the observation group were significantly lower than those in the control group (</w:t>
      </w:r>
      <w:r w:rsidR="00E229D1">
        <w:rPr>
          <w:rFonts w:ascii="Times New Roman" w:hAnsi="Times New Roman"/>
          <w:i/>
          <w:iCs/>
          <w:sz w:val="24"/>
          <w:szCs w:val="24"/>
        </w:rPr>
        <w:t>p</w:t>
      </w:r>
      <w:r w:rsidR="00E229D1">
        <w:rPr>
          <w:rFonts w:ascii="Times New Roman" w:hAnsi="Times New Roman"/>
          <w:sz w:val="24"/>
          <w:szCs w:val="24"/>
        </w:rPr>
        <w:t xml:space="preserve"> </w:t>
      </w:r>
      <w:r>
        <w:rPr>
          <w:rFonts w:ascii="Times New Roman" w:hAnsi="Times New Roman"/>
          <w:sz w:val="24"/>
          <w:szCs w:val="24"/>
        </w:rPr>
        <w:t xml:space="preserve">&lt; 0.001). </w:t>
      </w:r>
    </w:p>
    <w:p w14:paraId="5676E4E9" w14:textId="77777777" w:rsidR="00E3390E" w:rsidRDefault="00E3390E" w:rsidP="00E229D1">
      <w:pPr>
        <w:snapToGrid w:val="0"/>
        <w:rPr>
          <w:rFonts w:ascii="Times New Roman" w:hAnsi="Times New Roman"/>
          <w:sz w:val="24"/>
          <w:szCs w:val="24"/>
        </w:rPr>
      </w:pPr>
    </w:p>
    <w:p w14:paraId="2A389749" w14:textId="77777777" w:rsidR="00E3390E" w:rsidRDefault="00000000" w:rsidP="00E229D1">
      <w:pPr>
        <w:snapToGrid w:val="0"/>
        <w:rPr>
          <w:rFonts w:ascii="Times New Roman" w:hAnsi="Times New Roman"/>
          <w:sz w:val="24"/>
          <w:szCs w:val="24"/>
        </w:rPr>
      </w:pPr>
      <w:r>
        <w:rPr>
          <w:rFonts w:ascii="Times New Roman" w:hAnsi="Times New Roman"/>
          <w:b/>
          <w:bCs/>
          <w:sz w:val="24"/>
          <w:szCs w:val="24"/>
        </w:rPr>
        <w:t>Table 1.</w:t>
      </w:r>
      <w:r>
        <w:rPr>
          <w:rFonts w:ascii="Times New Roman" w:hAnsi="Times New Roman"/>
          <w:sz w:val="24"/>
          <w:szCs w:val="24"/>
        </w:rPr>
        <w:t xml:space="preserve"> Comparison of </w:t>
      </w:r>
      <w:r>
        <w:rPr>
          <w:rFonts w:ascii="Times New Roman" w:hAnsi="Times New Roman" w:hint="eastAsia"/>
          <w:sz w:val="24"/>
          <w:szCs w:val="24"/>
        </w:rPr>
        <w:t>a</w:t>
      </w:r>
      <w:r>
        <w:rPr>
          <w:rFonts w:ascii="Times New Roman" w:hAnsi="Times New Roman"/>
          <w:sz w:val="24"/>
          <w:szCs w:val="24"/>
        </w:rPr>
        <w:t xml:space="preserve">gitation </w:t>
      </w:r>
      <w:r>
        <w:rPr>
          <w:rFonts w:ascii="Times New Roman" w:hAnsi="Times New Roman" w:hint="eastAsia"/>
          <w:sz w:val="24"/>
          <w:szCs w:val="24"/>
        </w:rPr>
        <w:t>s</w:t>
      </w:r>
      <w:r>
        <w:rPr>
          <w:rFonts w:ascii="Times New Roman" w:hAnsi="Times New Roman"/>
          <w:sz w:val="24"/>
          <w:szCs w:val="24"/>
        </w:rPr>
        <w:t>cores (</w:t>
      </w:r>
      <w:r>
        <w:rPr>
          <w:rFonts w:ascii="Times New Roman" w:eastAsia="SimSun" w:hAnsi="Times New Roman"/>
          <w:b/>
          <w:bCs/>
          <w:position w:val="-6"/>
          <w:sz w:val="24"/>
          <w:szCs w:val="24"/>
        </w:rPr>
        <w:object w:dxaOrig="530" w:dyaOrig="269" w14:anchorId="1824F6E7">
          <v:shape id="_x0000_i1026" type="#_x0000_t75" style="width:26.4pt;height:13.2pt" o:ole="">
            <v:imagedata r:id="rId6" o:title=""/>
          </v:shape>
          <o:OLEObject Type="Embed" ProgID="Equation.KSEE3" ShapeID="_x0000_i1026" DrawAspect="Content" ObjectID="_1852019734" r:id="rId7"/>
        </w:object>
      </w:r>
      <w:r>
        <w:rPr>
          <w:rFonts w:ascii="Times New Roman" w:hAnsi="Times New Roman"/>
          <w:sz w:val="24"/>
          <w:szCs w:val="24"/>
        </w:rPr>
        <w:t>, points)</w:t>
      </w:r>
    </w:p>
    <w:tbl>
      <w:tblPr>
        <w:tblStyle w:val="TableGrid"/>
        <w:tblW w:w="5113"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631"/>
        <w:gridCol w:w="1324"/>
        <w:gridCol w:w="1218"/>
        <w:gridCol w:w="1666"/>
        <w:gridCol w:w="1218"/>
        <w:gridCol w:w="1666"/>
        <w:gridCol w:w="1133"/>
      </w:tblGrid>
      <w:tr w:rsidR="00E3390E" w14:paraId="3D98EDA5" w14:textId="77777777" w:rsidTr="00AB360C">
        <w:trPr>
          <w:tblHeader/>
          <w:jc w:val="center"/>
        </w:trPr>
        <w:tc>
          <w:tcPr>
            <w:tcW w:w="827" w:type="pct"/>
            <w:tcBorders>
              <w:top w:val="single" w:sz="4" w:space="0" w:color="auto"/>
              <w:left w:val="nil"/>
              <w:bottom w:val="nil"/>
              <w:right w:val="nil"/>
            </w:tcBorders>
            <w:tcMar>
              <w:top w:w="-1" w:type="dxa"/>
              <w:left w:w="-1" w:type="dxa"/>
              <w:bottom w:w="-1" w:type="dxa"/>
              <w:right w:w="-1" w:type="dxa"/>
            </w:tcMar>
            <w:vAlign w:val="center"/>
          </w:tcPr>
          <w:p w14:paraId="5810A0C9"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lastRenderedPageBreak/>
              <w:t>Group</w:t>
            </w:r>
          </w:p>
        </w:tc>
        <w:tc>
          <w:tcPr>
            <w:tcW w:w="671" w:type="pct"/>
            <w:tcBorders>
              <w:top w:val="single" w:sz="4" w:space="0" w:color="auto"/>
              <w:left w:val="nil"/>
              <w:bottom w:val="nil"/>
              <w:right w:val="nil"/>
            </w:tcBorders>
            <w:tcMar>
              <w:top w:w="-1" w:type="dxa"/>
              <w:left w:w="-1" w:type="dxa"/>
              <w:bottom w:w="-1" w:type="dxa"/>
              <w:right w:w="-1" w:type="dxa"/>
            </w:tcMar>
            <w:vAlign w:val="center"/>
          </w:tcPr>
          <w:p w14:paraId="10F533FC"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Time</w:t>
            </w:r>
          </w:p>
        </w:tc>
        <w:tc>
          <w:tcPr>
            <w:tcW w:w="618" w:type="pct"/>
            <w:tcBorders>
              <w:top w:val="single" w:sz="4" w:space="0" w:color="auto"/>
              <w:left w:val="nil"/>
              <w:bottom w:val="nil"/>
              <w:right w:val="nil"/>
            </w:tcBorders>
            <w:tcMar>
              <w:top w:w="-1" w:type="dxa"/>
              <w:left w:w="-1" w:type="dxa"/>
              <w:bottom w:w="-1" w:type="dxa"/>
              <w:right w:w="-1" w:type="dxa"/>
            </w:tcMar>
            <w:vAlign w:val="center"/>
          </w:tcPr>
          <w:p w14:paraId="29D812C8"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Physical aggressive behavior</w:t>
            </w:r>
          </w:p>
        </w:tc>
        <w:tc>
          <w:tcPr>
            <w:tcW w:w="844" w:type="pct"/>
            <w:tcBorders>
              <w:top w:val="single" w:sz="4" w:space="0" w:color="auto"/>
              <w:left w:val="nil"/>
              <w:bottom w:val="nil"/>
              <w:right w:val="nil"/>
            </w:tcBorders>
            <w:tcMar>
              <w:top w:w="-1" w:type="dxa"/>
              <w:left w:w="-1" w:type="dxa"/>
              <w:bottom w:w="-1" w:type="dxa"/>
              <w:right w:w="-1" w:type="dxa"/>
            </w:tcMar>
            <w:vAlign w:val="center"/>
          </w:tcPr>
          <w:p w14:paraId="61553A07"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Physical non-aggressive behavior</w:t>
            </w:r>
          </w:p>
        </w:tc>
        <w:tc>
          <w:tcPr>
            <w:tcW w:w="618" w:type="pct"/>
            <w:tcBorders>
              <w:top w:val="single" w:sz="4" w:space="0" w:color="auto"/>
              <w:left w:val="nil"/>
              <w:bottom w:val="nil"/>
              <w:right w:val="nil"/>
            </w:tcBorders>
            <w:tcMar>
              <w:top w:w="-1" w:type="dxa"/>
              <w:left w:w="-1" w:type="dxa"/>
              <w:bottom w:w="-1" w:type="dxa"/>
              <w:right w:w="-1" w:type="dxa"/>
            </w:tcMar>
            <w:vAlign w:val="center"/>
          </w:tcPr>
          <w:p w14:paraId="1DA0014D"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Verbal aggressive behavior</w:t>
            </w:r>
          </w:p>
        </w:tc>
        <w:tc>
          <w:tcPr>
            <w:tcW w:w="844" w:type="pct"/>
            <w:tcBorders>
              <w:top w:val="single" w:sz="4" w:space="0" w:color="auto"/>
              <w:left w:val="nil"/>
              <w:bottom w:val="nil"/>
              <w:right w:val="nil"/>
            </w:tcBorders>
            <w:tcMar>
              <w:top w:w="-1" w:type="dxa"/>
              <w:left w:w="-1" w:type="dxa"/>
              <w:bottom w:w="-1" w:type="dxa"/>
              <w:right w:w="-1" w:type="dxa"/>
            </w:tcMar>
            <w:vAlign w:val="center"/>
          </w:tcPr>
          <w:p w14:paraId="1E5EA9E3"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Verbal non-aggressive behavior</w:t>
            </w:r>
          </w:p>
        </w:tc>
        <w:tc>
          <w:tcPr>
            <w:tcW w:w="575" w:type="pct"/>
            <w:tcBorders>
              <w:top w:val="single" w:sz="4" w:space="0" w:color="auto"/>
              <w:left w:val="nil"/>
              <w:bottom w:val="nil"/>
              <w:right w:val="nil"/>
            </w:tcBorders>
            <w:tcMar>
              <w:top w:w="-1" w:type="dxa"/>
              <w:left w:w="-1" w:type="dxa"/>
              <w:bottom w:w="-1" w:type="dxa"/>
              <w:right w:w="-1" w:type="dxa"/>
            </w:tcMar>
            <w:vAlign w:val="center"/>
          </w:tcPr>
          <w:p w14:paraId="30A824CF" w14:textId="77777777" w:rsidR="00E3390E" w:rsidRPr="00AB360C" w:rsidRDefault="00000000" w:rsidP="00E229D1">
            <w:pPr>
              <w:pStyle w:val="NormalWeb"/>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Total score</w:t>
            </w:r>
          </w:p>
        </w:tc>
      </w:tr>
      <w:tr w:rsidR="00E3390E" w14:paraId="6F32400C" w14:textId="77777777">
        <w:trPr>
          <w:tblHeader/>
          <w:jc w:val="center"/>
        </w:trPr>
        <w:tc>
          <w:tcPr>
            <w:tcW w:w="827" w:type="pct"/>
            <w:tcBorders>
              <w:top w:val="single" w:sz="4" w:space="0" w:color="auto"/>
              <w:left w:val="nil"/>
              <w:bottom w:val="nil"/>
              <w:right w:val="nil"/>
            </w:tcBorders>
            <w:tcMar>
              <w:top w:w="-1" w:type="dxa"/>
              <w:left w:w="-1" w:type="dxa"/>
              <w:bottom w:w="-1" w:type="dxa"/>
              <w:right w:w="-1" w:type="dxa"/>
            </w:tcMar>
            <w:vAlign w:val="center"/>
          </w:tcPr>
          <w:p w14:paraId="2EE1A19E"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Observation group</w:t>
            </w:r>
          </w:p>
        </w:tc>
        <w:tc>
          <w:tcPr>
            <w:tcW w:w="671" w:type="pct"/>
            <w:tcBorders>
              <w:top w:val="single" w:sz="4" w:space="0" w:color="auto"/>
              <w:left w:val="nil"/>
              <w:bottom w:val="nil"/>
              <w:right w:val="nil"/>
            </w:tcBorders>
            <w:tcMar>
              <w:top w:w="-1" w:type="dxa"/>
              <w:left w:w="-1" w:type="dxa"/>
              <w:bottom w:w="-1" w:type="dxa"/>
              <w:right w:w="-1" w:type="dxa"/>
            </w:tcMar>
            <w:vAlign w:val="center"/>
          </w:tcPr>
          <w:p w14:paraId="2101F99A"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Before intervention</w:t>
            </w:r>
          </w:p>
        </w:tc>
        <w:tc>
          <w:tcPr>
            <w:tcW w:w="618" w:type="pct"/>
            <w:tcBorders>
              <w:top w:val="single" w:sz="4" w:space="0" w:color="auto"/>
              <w:left w:val="nil"/>
              <w:bottom w:val="nil"/>
              <w:right w:val="nil"/>
            </w:tcBorders>
            <w:tcMar>
              <w:top w:w="-1" w:type="dxa"/>
              <w:left w:w="-1" w:type="dxa"/>
              <w:bottom w:w="-1" w:type="dxa"/>
              <w:right w:w="-1" w:type="dxa"/>
            </w:tcMar>
            <w:vAlign w:val="center"/>
          </w:tcPr>
          <w:p w14:paraId="63D13C3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12.501.22</w:t>
            </w:r>
          </w:p>
        </w:tc>
        <w:tc>
          <w:tcPr>
            <w:tcW w:w="844" w:type="pct"/>
            <w:tcBorders>
              <w:top w:val="single" w:sz="4" w:space="0" w:color="auto"/>
              <w:left w:val="nil"/>
              <w:bottom w:val="nil"/>
              <w:right w:val="nil"/>
            </w:tcBorders>
            <w:tcMar>
              <w:top w:w="-1" w:type="dxa"/>
              <w:left w:w="-1" w:type="dxa"/>
              <w:bottom w:w="-1" w:type="dxa"/>
              <w:right w:w="-1" w:type="dxa"/>
            </w:tcMar>
            <w:vAlign w:val="center"/>
          </w:tcPr>
          <w:p w14:paraId="6CFF2D4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13.034.72</w:t>
            </w:r>
          </w:p>
        </w:tc>
        <w:tc>
          <w:tcPr>
            <w:tcW w:w="618" w:type="pct"/>
            <w:tcBorders>
              <w:top w:val="single" w:sz="4" w:space="0" w:color="auto"/>
              <w:left w:val="nil"/>
              <w:bottom w:val="nil"/>
              <w:right w:val="nil"/>
            </w:tcBorders>
            <w:tcMar>
              <w:top w:w="-1" w:type="dxa"/>
              <w:left w:w="-1" w:type="dxa"/>
              <w:bottom w:w="-1" w:type="dxa"/>
              <w:right w:w="-1" w:type="dxa"/>
            </w:tcMar>
            <w:vAlign w:val="center"/>
          </w:tcPr>
          <w:p w14:paraId="14797C00"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4.651.34</w:t>
            </w:r>
          </w:p>
        </w:tc>
        <w:tc>
          <w:tcPr>
            <w:tcW w:w="844" w:type="pct"/>
            <w:tcBorders>
              <w:top w:val="single" w:sz="4" w:space="0" w:color="auto"/>
              <w:left w:val="nil"/>
              <w:bottom w:val="nil"/>
              <w:right w:val="nil"/>
            </w:tcBorders>
            <w:tcMar>
              <w:top w:w="-1" w:type="dxa"/>
              <w:left w:w="-1" w:type="dxa"/>
              <w:bottom w:w="-1" w:type="dxa"/>
              <w:right w:w="-1" w:type="dxa"/>
            </w:tcMar>
            <w:vAlign w:val="center"/>
          </w:tcPr>
          <w:p w14:paraId="1396D94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6.582.54</w:t>
            </w:r>
          </w:p>
        </w:tc>
        <w:tc>
          <w:tcPr>
            <w:tcW w:w="575" w:type="pct"/>
            <w:tcBorders>
              <w:top w:val="single" w:sz="4" w:space="0" w:color="auto"/>
              <w:left w:val="nil"/>
              <w:bottom w:val="nil"/>
              <w:right w:val="nil"/>
            </w:tcBorders>
            <w:tcMar>
              <w:top w:w="-1" w:type="dxa"/>
              <w:left w:w="-1" w:type="dxa"/>
              <w:bottom w:w="-1" w:type="dxa"/>
              <w:right w:w="-1" w:type="dxa"/>
            </w:tcMar>
            <w:vAlign w:val="center"/>
          </w:tcPr>
          <w:p w14:paraId="1D19508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38.829.53</w:t>
            </w:r>
          </w:p>
        </w:tc>
      </w:tr>
      <w:tr w:rsidR="00E3390E" w14:paraId="590E7EE5"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75D00EBB"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49D21E3C"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After intervention</w:t>
            </w:r>
          </w:p>
        </w:tc>
        <w:tc>
          <w:tcPr>
            <w:tcW w:w="618" w:type="pct"/>
            <w:tcBorders>
              <w:top w:val="nil"/>
              <w:left w:val="nil"/>
              <w:bottom w:val="nil"/>
              <w:right w:val="nil"/>
            </w:tcBorders>
            <w:tcMar>
              <w:top w:w="-1" w:type="dxa"/>
              <w:left w:w="-1" w:type="dxa"/>
              <w:bottom w:w="-1" w:type="dxa"/>
              <w:right w:w="-1" w:type="dxa"/>
            </w:tcMar>
            <w:vAlign w:val="center"/>
          </w:tcPr>
          <w:p w14:paraId="1CDEB8D8"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8.891.34</w:t>
            </w:r>
          </w:p>
        </w:tc>
        <w:tc>
          <w:tcPr>
            <w:tcW w:w="844" w:type="pct"/>
            <w:tcBorders>
              <w:top w:val="nil"/>
              <w:left w:val="nil"/>
              <w:bottom w:val="nil"/>
              <w:right w:val="nil"/>
            </w:tcBorders>
            <w:tcMar>
              <w:top w:w="-1" w:type="dxa"/>
              <w:left w:w="-1" w:type="dxa"/>
              <w:bottom w:w="-1" w:type="dxa"/>
              <w:right w:w="-1" w:type="dxa"/>
            </w:tcMar>
            <w:vAlign w:val="center"/>
          </w:tcPr>
          <w:p w14:paraId="2765F02A"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10.181.44</w:t>
            </w:r>
          </w:p>
        </w:tc>
        <w:tc>
          <w:tcPr>
            <w:tcW w:w="618" w:type="pct"/>
            <w:tcBorders>
              <w:top w:val="nil"/>
              <w:left w:val="nil"/>
              <w:bottom w:val="nil"/>
              <w:right w:val="nil"/>
            </w:tcBorders>
            <w:tcMar>
              <w:top w:w="-1" w:type="dxa"/>
              <w:left w:w="-1" w:type="dxa"/>
              <w:bottom w:w="-1" w:type="dxa"/>
              <w:right w:w="-1" w:type="dxa"/>
            </w:tcMar>
            <w:vAlign w:val="center"/>
          </w:tcPr>
          <w:p w14:paraId="0CBB4FD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3.081.20</w:t>
            </w:r>
          </w:p>
        </w:tc>
        <w:tc>
          <w:tcPr>
            <w:tcW w:w="844" w:type="pct"/>
            <w:tcBorders>
              <w:top w:val="nil"/>
              <w:left w:val="nil"/>
              <w:bottom w:val="nil"/>
              <w:right w:val="nil"/>
            </w:tcBorders>
            <w:tcMar>
              <w:top w:w="-1" w:type="dxa"/>
              <w:left w:w="-1" w:type="dxa"/>
              <w:bottom w:w="-1" w:type="dxa"/>
              <w:right w:w="-1" w:type="dxa"/>
            </w:tcMar>
            <w:vAlign w:val="center"/>
          </w:tcPr>
          <w:p w14:paraId="08F33ACF"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4.021.10</w:t>
            </w:r>
          </w:p>
        </w:tc>
        <w:tc>
          <w:tcPr>
            <w:tcW w:w="575" w:type="pct"/>
            <w:tcBorders>
              <w:top w:val="nil"/>
              <w:left w:val="nil"/>
              <w:bottom w:val="nil"/>
              <w:right w:val="nil"/>
            </w:tcBorders>
            <w:tcMar>
              <w:top w:w="-1" w:type="dxa"/>
              <w:left w:w="-1" w:type="dxa"/>
              <w:bottom w:w="-1" w:type="dxa"/>
              <w:right w:w="-1" w:type="dxa"/>
            </w:tcMar>
            <w:vAlign w:val="center"/>
          </w:tcPr>
          <w:p w14:paraId="7623DE2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24.476.22</w:t>
            </w:r>
          </w:p>
        </w:tc>
      </w:tr>
      <w:tr w:rsidR="00E3390E" w14:paraId="5B791710"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1C26F36E"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1D558D7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hAnsi="Times New Roman"/>
                <w:i/>
                <w:iCs/>
                <w:szCs w:val="24"/>
              </w:rPr>
              <w:t>t</w:t>
            </w:r>
          </w:p>
        </w:tc>
        <w:tc>
          <w:tcPr>
            <w:tcW w:w="618" w:type="pct"/>
            <w:tcBorders>
              <w:top w:val="nil"/>
              <w:left w:val="nil"/>
              <w:bottom w:val="nil"/>
              <w:right w:val="nil"/>
            </w:tcBorders>
            <w:tcMar>
              <w:top w:w="-1" w:type="dxa"/>
              <w:left w:w="-1" w:type="dxa"/>
              <w:bottom w:w="-1" w:type="dxa"/>
              <w:right w:w="-1" w:type="dxa"/>
            </w:tcMar>
            <w:vAlign w:val="center"/>
          </w:tcPr>
          <w:p w14:paraId="761FF0A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12.599</w:t>
            </w:r>
          </w:p>
        </w:tc>
        <w:tc>
          <w:tcPr>
            <w:tcW w:w="844" w:type="pct"/>
            <w:tcBorders>
              <w:top w:val="nil"/>
              <w:left w:val="nil"/>
              <w:bottom w:val="nil"/>
              <w:right w:val="nil"/>
            </w:tcBorders>
            <w:tcMar>
              <w:top w:w="-1" w:type="dxa"/>
              <w:left w:w="-1" w:type="dxa"/>
              <w:bottom w:w="-1" w:type="dxa"/>
              <w:right w:w="-1" w:type="dxa"/>
            </w:tcMar>
            <w:vAlign w:val="center"/>
          </w:tcPr>
          <w:p w14:paraId="4260373F"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3.653</w:t>
            </w:r>
          </w:p>
        </w:tc>
        <w:tc>
          <w:tcPr>
            <w:tcW w:w="618" w:type="pct"/>
            <w:tcBorders>
              <w:top w:val="nil"/>
              <w:left w:val="nil"/>
              <w:bottom w:val="nil"/>
              <w:right w:val="nil"/>
            </w:tcBorders>
            <w:tcMar>
              <w:top w:w="-1" w:type="dxa"/>
              <w:left w:w="-1" w:type="dxa"/>
              <w:bottom w:w="-1" w:type="dxa"/>
              <w:right w:w="-1" w:type="dxa"/>
            </w:tcMar>
            <w:vAlign w:val="center"/>
          </w:tcPr>
          <w:p w14:paraId="00343A0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5.520</w:t>
            </w:r>
          </w:p>
        </w:tc>
        <w:tc>
          <w:tcPr>
            <w:tcW w:w="844" w:type="pct"/>
            <w:tcBorders>
              <w:top w:val="nil"/>
              <w:left w:val="nil"/>
              <w:bottom w:val="nil"/>
              <w:right w:val="nil"/>
            </w:tcBorders>
            <w:tcMar>
              <w:top w:w="-1" w:type="dxa"/>
              <w:left w:w="-1" w:type="dxa"/>
              <w:bottom w:w="-1" w:type="dxa"/>
              <w:right w:w="-1" w:type="dxa"/>
            </w:tcMar>
            <w:vAlign w:val="center"/>
          </w:tcPr>
          <w:p w14:paraId="6EA3566A"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5.849</w:t>
            </w:r>
          </w:p>
        </w:tc>
        <w:tc>
          <w:tcPr>
            <w:tcW w:w="575" w:type="pct"/>
            <w:tcBorders>
              <w:top w:val="nil"/>
              <w:left w:val="nil"/>
              <w:bottom w:val="nil"/>
              <w:right w:val="nil"/>
            </w:tcBorders>
            <w:tcMar>
              <w:top w:w="-1" w:type="dxa"/>
              <w:left w:w="-1" w:type="dxa"/>
              <w:bottom w:w="-1" w:type="dxa"/>
              <w:right w:w="-1" w:type="dxa"/>
            </w:tcMar>
            <w:vAlign w:val="center"/>
          </w:tcPr>
          <w:p w14:paraId="0B3716F9"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7.975</w:t>
            </w:r>
          </w:p>
        </w:tc>
      </w:tr>
      <w:tr w:rsidR="00E3390E" w14:paraId="0232C6E0"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4F769B07"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142629B2" w14:textId="0DB4E496" w:rsidR="00E3390E" w:rsidRPr="00AB360C" w:rsidRDefault="00E229D1" w:rsidP="00E229D1">
            <w:pPr>
              <w:pStyle w:val="NormalWeb"/>
              <w:snapToGrid w:val="0"/>
              <w:jc w:val="center"/>
              <w:rPr>
                <w:rFonts w:ascii="Times New Roman" w:hAnsi="Times New Roman"/>
                <w:szCs w:val="24"/>
              </w:rPr>
            </w:pPr>
            <w:r>
              <w:rPr>
                <w:rFonts w:ascii="Times New Roman" w:hAnsi="Times New Roman"/>
                <w:i/>
                <w:iCs/>
                <w:szCs w:val="24"/>
              </w:rPr>
              <w:t>p</w:t>
            </w:r>
          </w:p>
        </w:tc>
        <w:tc>
          <w:tcPr>
            <w:tcW w:w="618" w:type="pct"/>
            <w:tcBorders>
              <w:top w:val="nil"/>
              <w:left w:val="nil"/>
              <w:bottom w:val="nil"/>
              <w:right w:val="nil"/>
            </w:tcBorders>
            <w:tcMar>
              <w:top w:w="-1" w:type="dxa"/>
              <w:left w:w="-1" w:type="dxa"/>
              <w:bottom w:w="-1" w:type="dxa"/>
              <w:right w:w="-1" w:type="dxa"/>
            </w:tcMar>
            <w:vAlign w:val="center"/>
          </w:tcPr>
          <w:p w14:paraId="171A5673" w14:textId="0510385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844" w:type="pct"/>
            <w:tcBorders>
              <w:top w:val="nil"/>
              <w:left w:val="nil"/>
              <w:bottom w:val="nil"/>
              <w:right w:val="nil"/>
            </w:tcBorders>
            <w:tcMar>
              <w:top w:w="-1" w:type="dxa"/>
              <w:left w:w="-1" w:type="dxa"/>
              <w:bottom w:w="-1" w:type="dxa"/>
              <w:right w:w="-1" w:type="dxa"/>
            </w:tcMar>
            <w:vAlign w:val="center"/>
          </w:tcPr>
          <w:p w14:paraId="687349E0"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0.001</w:t>
            </w:r>
          </w:p>
        </w:tc>
        <w:tc>
          <w:tcPr>
            <w:tcW w:w="618" w:type="pct"/>
            <w:tcBorders>
              <w:top w:val="nil"/>
              <w:left w:val="nil"/>
              <w:bottom w:val="nil"/>
              <w:right w:val="nil"/>
            </w:tcBorders>
            <w:tcMar>
              <w:top w:w="-1" w:type="dxa"/>
              <w:left w:w="-1" w:type="dxa"/>
              <w:bottom w:w="-1" w:type="dxa"/>
              <w:right w:w="-1" w:type="dxa"/>
            </w:tcMar>
            <w:vAlign w:val="center"/>
          </w:tcPr>
          <w:p w14:paraId="29E5F6E2" w14:textId="627A91D3"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844" w:type="pct"/>
            <w:tcBorders>
              <w:top w:val="nil"/>
              <w:left w:val="nil"/>
              <w:bottom w:val="nil"/>
              <w:right w:val="nil"/>
            </w:tcBorders>
            <w:tcMar>
              <w:top w:w="-1" w:type="dxa"/>
              <w:left w:w="-1" w:type="dxa"/>
              <w:bottom w:w="-1" w:type="dxa"/>
              <w:right w:w="-1" w:type="dxa"/>
            </w:tcMar>
            <w:vAlign w:val="center"/>
          </w:tcPr>
          <w:p w14:paraId="763D1424" w14:textId="0ED8A099"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575" w:type="pct"/>
            <w:tcBorders>
              <w:top w:val="nil"/>
              <w:left w:val="nil"/>
              <w:bottom w:val="nil"/>
              <w:right w:val="nil"/>
            </w:tcBorders>
            <w:tcMar>
              <w:top w:w="-1" w:type="dxa"/>
              <w:left w:w="-1" w:type="dxa"/>
              <w:bottom w:w="-1" w:type="dxa"/>
              <w:right w:w="-1" w:type="dxa"/>
            </w:tcMar>
            <w:vAlign w:val="center"/>
          </w:tcPr>
          <w:p w14:paraId="203A9354" w14:textId="1B396E4A"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r>
      <w:tr w:rsidR="00E3390E" w14:paraId="7C28BD68"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71042C2E"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Control group</w:t>
            </w:r>
          </w:p>
        </w:tc>
        <w:tc>
          <w:tcPr>
            <w:tcW w:w="671" w:type="pct"/>
            <w:tcBorders>
              <w:top w:val="nil"/>
              <w:left w:val="nil"/>
              <w:bottom w:val="nil"/>
              <w:right w:val="nil"/>
            </w:tcBorders>
            <w:tcMar>
              <w:top w:w="-1" w:type="dxa"/>
              <w:left w:w="-1" w:type="dxa"/>
              <w:bottom w:w="-1" w:type="dxa"/>
              <w:right w:w="-1" w:type="dxa"/>
            </w:tcMar>
            <w:vAlign w:val="center"/>
          </w:tcPr>
          <w:p w14:paraId="481FD26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Before intervention</w:t>
            </w:r>
          </w:p>
        </w:tc>
        <w:tc>
          <w:tcPr>
            <w:tcW w:w="618" w:type="pct"/>
            <w:tcBorders>
              <w:top w:val="nil"/>
              <w:left w:val="nil"/>
              <w:bottom w:val="nil"/>
              <w:right w:val="nil"/>
            </w:tcBorders>
            <w:tcMar>
              <w:top w:w="-1" w:type="dxa"/>
              <w:left w:w="-1" w:type="dxa"/>
              <w:bottom w:w="-1" w:type="dxa"/>
              <w:right w:w="-1" w:type="dxa"/>
            </w:tcMar>
            <w:vAlign w:val="center"/>
          </w:tcPr>
          <w:p w14:paraId="07D6B2C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12.842.31</w:t>
            </w:r>
          </w:p>
        </w:tc>
        <w:tc>
          <w:tcPr>
            <w:tcW w:w="844" w:type="pct"/>
            <w:tcBorders>
              <w:top w:val="nil"/>
              <w:left w:val="nil"/>
              <w:bottom w:val="nil"/>
              <w:right w:val="nil"/>
            </w:tcBorders>
            <w:tcMar>
              <w:top w:w="-1" w:type="dxa"/>
              <w:left w:w="-1" w:type="dxa"/>
              <w:bottom w:w="-1" w:type="dxa"/>
              <w:right w:w="-1" w:type="dxa"/>
            </w:tcMar>
            <w:vAlign w:val="center"/>
          </w:tcPr>
          <w:p w14:paraId="5295201C"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13.404.38</w:t>
            </w:r>
          </w:p>
        </w:tc>
        <w:tc>
          <w:tcPr>
            <w:tcW w:w="618" w:type="pct"/>
            <w:tcBorders>
              <w:top w:val="nil"/>
              <w:left w:val="nil"/>
              <w:bottom w:val="nil"/>
              <w:right w:val="nil"/>
            </w:tcBorders>
            <w:tcMar>
              <w:top w:w="-1" w:type="dxa"/>
              <w:left w:w="-1" w:type="dxa"/>
              <w:bottom w:w="-1" w:type="dxa"/>
              <w:right w:w="-1" w:type="dxa"/>
            </w:tcMar>
            <w:vAlign w:val="center"/>
          </w:tcPr>
          <w:p w14:paraId="3DFDA545"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4.481.26</w:t>
            </w:r>
          </w:p>
        </w:tc>
        <w:tc>
          <w:tcPr>
            <w:tcW w:w="844" w:type="pct"/>
            <w:tcBorders>
              <w:top w:val="nil"/>
              <w:left w:val="nil"/>
              <w:bottom w:val="nil"/>
              <w:right w:val="nil"/>
            </w:tcBorders>
            <w:tcMar>
              <w:top w:w="-1" w:type="dxa"/>
              <w:left w:w="-1" w:type="dxa"/>
              <w:bottom w:w="-1" w:type="dxa"/>
              <w:right w:w="-1" w:type="dxa"/>
            </w:tcMar>
            <w:vAlign w:val="center"/>
          </w:tcPr>
          <w:p w14:paraId="46BA0C6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6.802.43</w:t>
            </w:r>
          </w:p>
        </w:tc>
        <w:tc>
          <w:tcPr>
            <w:tcW w:w="575" w:type="pct"/>
            <w:tcBorders>
              <w:top w:val="nil"/>
              <w:left w:val="nil"/>
              <w:bottom w:val="nil"/>
              <w:right w:val="nil"/>
            </w:tcBorders>
            <w:tcMar>
              <w:top w:w="-1" w:type="dxa"/>
              <w:left w:w="-1" w:type="dxa"/>
              <w:bottom w:w="-1" w:type="dxa"/>
              <w:right w:w="-1" w:type="dxa"/>
            </w:tcMar>
            <w:vAlign w:val="center"/>
          </w:tcPr>
          <w:p w14:paraId="6A7A981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39.029.43</w:t>
            </w:r>
          </w:p>
        </w:tc>
      </w:tr>
      <w:tr w:rsidR="00E3390E" w14:paraId="0F6E6263"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41F73AF0"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449CE24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After intervention</w:t>
            </w:r>
          </w:p>
        </w:tc>
        <w:tc>
          <w:tcPr>
            <w:tcW w:w="618" w:type="pct"/>
            <w:tcBorders>
              <w:top w:val="nil"/>
              <w:left w:val="nil"/>
              <w:bottom w:val="nil"/>
              <w:right w:val="nil"/>
            </w:tcBorders>
            <w:tcMar>
              <w:top w:w="-1" w:type="dxa"/>
              <w:left w:w="-1" w:type="dxa"/>
              <w:bottom w:w="-1" w:type="dxa"/>
              <w:right w:w="-1" w:type="dxa"/>
            </w:tcMar>
            <w:vAlign w:val="center"/>
          </w:tcPr>
          <w:p w14:paraId="51A1968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10.321.47</w:t>
            </w:r>
          </w:p>
        </w:tc>
        <w:tc>
          <w:tcPr>
            <w:tcW w:w="844" w:type="pct"/>
            <w:tcBorders>
              <w:top w:val="nil"/>
              <w:left w:val="nil"/>
              <w:bottom w:val="nil"/>
              <w:right w:val="nil"/>
            </w:tcBorders>
            <w:tcMar>
              <w:top w:w="-1" w:type="dxa"/>
              <w:left w:w="-1" w:type="dxa"/>
              <w:bottom w:w="-1" w:type="dxa"/>
              <w:right w:w="-1" w:type="dxa"/>
            </w:tcMar>
            <w:vAlign w:val="center"/>
          </w:tcPr>
          <w:p w14:paraId="3F17D57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12.311.53</w:t>
            </w:r>
          </w:p>
        </w:tc>
        <w:tc>
          <w:tcPr>
            <w:tcW w:w="618" w:type="pct"/>
            <w:tcBorders>
              <w:top w:val="nil"/>
              <w:left w:val="nil"/>
              <w:bottom w:val="nil"/>
              <w:right w:val="nil"/>
            </w:tcBorders>
            <w:tcMar>
              <w:top w:w="-1" w:type="dxa"/>
              <w:left w:w="-1" w:type="dxa"/>
              <w:bottom w:w="-1" w:type="dxa"/>
              <w:right w:w="-1" w:type="dxa"/>
            </w:tcMar>
            <w:vAlign w:val="center"/>
          </w:tcPr>
          <w:p w14:paraId="106500B6"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3.890.84</w:t>
            </w:r>
          </w:p>
        </w:tc>
        <w:tc>
          <w:tcPr>
            <w:tcW w:w="844" w:type="pct"/>
            <w:tcBorders>
              <w:top w:val="nil"/>
              <w:left w:val="nil"/>
              <w:bottom w:val="nil"/>
              <w:right w:val="nil"/>
            </w:tcBorders>
            <w:tcMar>
              <w:top w:w="-1" w:type="dxa"/>
              <w:left w:w="-1" w:type="dxa"/>
              <w:bottom w:w="-1" w:type="dxa"/>
              <w:right w:w="-1" w:type="dxa"/>
            </w:tcMar>
            <w:vAlign w:val="center"/>
          </w:tcPr>
          <w:p w14:paraId="0DD90EBA"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5.060.82</w:t>
            </w:r>
          </w:p>
        </w:tc>
        <w:tc>
          <w:tcPr>
            <w:tcW w:w="575" w:type="pct"/>
            <w:tcBorders>
              <w:top w:val="nil"/>
              <w:left w:val="nil"/>
              <w:bottom w:val="nil"/>
              <w:right w:val="nil"/>
            </w:tcBorders>
            <w:tcMar>
              <w:top w:w="-1" w:type="dxa"/>
              <w:left w:w="-1" w:type="dxa"/>
              <w:bottom w:w="-1" w:type="dxa"/>
              <w:right w:w="-1" w:type="dxa"/>
            </w:tcMar>
            <w:vAlign w:val="center"/>
          </w:tcPr>
          <w:p w14:paraId="5B16A96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30.147.38</w:t>
            </w:r>
          </w:p>
        </w:tc>
      </w:tr>
      <w:tr w:rsidR="00E3390E" w14:paraId="085CFDEA"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18C134C0"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471179D9" w14:textId="6FB1FFF1" w:rsidR="00E3390E" w:rsidRPr="00AB360C" w:rsidRDefault="00E229D1" w:rsidP="00E229D1">
            <w:pPr>
              <w:pStyle w:val="NormalWeb"/>
              <w:snapToGrid w:val="0"/>
              <w:jc w:val="center"/>
              <w:rPr>
                <w:rFonts w:ascii="Times New Roman" w:hAnsi="Times New Roman"/>
                <w:szCs w:val="24"/>
              </w:rPr>
            </w:pPr>
            <w:r>
              <w:rPr>
                <w:rFonts w:ascii="Times New Roman" w:hAnsi="Times New Roman"/>
                <w:i/>
                <w:iCs/>
                <w:szCs w:val="24"/>
              </w:rPr>
              <w:t>t</w:t>
            </w:r>
          </w:p>
        </w:tc>
        <w:tc>
          <w:tcPr>
            <w:tcW w:w="618" w:type="pct"/>
            <w:tcBorders>
              <w:top w:val="nil"/>
              <w:left w:val="nil"/>
              <w:bottom w:val="nil"/>
              <w:right w:val="nil"/>
            </w:tcBorders>
            <w:tcMar>
              <w:top w:w="-1" w:type="dxa"/>
              <w:left w:w="-1" w:type="dxa"/>
              <w:bottom w:w="-1" w:type="dxa"/>
              <w:right w:w="-1" w:type="dxa"/>
            </w:tcMar>
            <w:vAlign w:val="center"/>
          </w:tcPr>
          <w:p w14:paraId="047C5A58"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5.821</w:t>
            </w:r>
          </w:p>
        </w:tc>
        <w:tc>
          <w:tcPr>
            <w:tcW w:w="844" w:type="pct"/>
            <w:tcBorders>
              <w:top w:val="nil"/>
              <w:left w:val="nil"/>
              <w:bottom w:val="nil"/>
              <w:right w:val="nil"/>
            </w:tcBorders>
            <w:tcMar>
              <w:top w:w="-1" w:type="dxa"/>
              <w:left w:w="-1" w:type="dxa"/>
              <w:bottom w:w="-1" w:type="dxa"/>
              <w:right w:w="-1" w:type="dxa"/>
            </w:tcMar>
            <w:vAlign w:val="center"/>
          </w:tcPr>
          <w:p w14:paraId="31A293A6"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1.486</w:t>
            </w:r>
          </w:p>
        </w:tc>
        <w:tc>
          <w:tcPr>
            <w:tcW w:w="618" w:type="pct"/>
            <w:tcBorders>
              <w:top w:val="nil"/>
              <w:left w:val="nil"/>
              <w:bottom w:val="nil"/>
              <w:right w:val="nil"/>
            </w:tcBorders>
            <w:tcMar>
              <w:top w:w="-1" w:type="dxa"/>
              <w:left w:w="-1" w:type="dxa"/>
              <w:bottom w:w="-1" w:type="dxa"/>
              <w:right w:w="-1" w:type="dxa"/>
            </w:tcMar>
            <w:vAlign w:val="center"/>
          </w:tcPr>
          <w:p w14:paraId="45070B3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2.464</w:t>
            </w:r>
          </w:p>
        </w:tc>
        <w:tc>
          <w:tcPr>
            <w:tcW w:w="844" w:type="pct"/>
            <w:tcBorders>
              <w:top w:val="nil"/>
              <w:left w:val="nil"/>
              <w:bottom w:val="nil"/>
              <w:right w:val="nil"/>
            </w:tcBorders>
            <w:tcMar>
              <w:top w:w="-1" w:type="dxa"/>
              <w:left w:w="-1" w:type="dxa"/>
              <w:bottom w:w="-1" w:type="dxa"/>
              <w:right w:w="-1" w:type="dxa"/>
            </w:tcMar>
            <w:vAlign w:val="center"/>
          </w:tcPr>
          <w:p w14:paraId="3A45200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4.291</w:t>
            </w:r>
          </w:p>
        </w:tc>
        <w:tc>
          <w:tcPr>
            <w:tcW w:w="575" w:type="pct"/>
            <w:tcBorders>
              <w:top w:val="nil"/>
              <w:left w:val="nil"/>
              <w:bottom w:val="nil"/>
              <w:right w:val="nil"/>
            </w:tcBorders>
            <w:tcMar>
              <w:top w:w="-1" w:type="dxa"/>
              <w:left w:w="-1" w:type="dxa"/>
              <w:bottom w:w="-1" w:type="dxa"/>
              <w:right w:w="-1" w:type="dxa"/>
            </w:tcMar>
            <w:vAlign w:val="center"/>
          </w:tcPr>
          <w:p w14:paraId="08E9B1F7"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4.690</w:t>
            </w:r>
          </w:p>
        </w:tc>
      </w:tr>
      <w:tr w:rsidR="00E3390E" w14:paraId="576EFDA5"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7285C1C9"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10683CAD" w14:textId="1AB4BC43" w:rsidR="00E3390E" w:rsidRPr="00AB360C" w:rsidRDefault="00E229D1" w:rsidP="00E229D1">
            <w:pPr>
              <w:pStyle w:val="NormalWeb"/>
              <w:snapToGrid w:val="0"/>
              <w:jc w:val="center"/>
              <w:rPr>
                <w:rFonts w:ascii="Times New Roman" w:hAnsi="Times New Roman"/>
                <w:szCs w:val="24"/>
              </w:rPr>
            </w:pPr>
            <w:r>
              <w:rPr>
                <w:rFonts w:ascii="Times New Roman" w:hAnsi="Times New Roman"/>
                <w:i/>
                <w:iCs/>
                <w:szCs w:val="24"/>
              </w:rPr>
              <w:t>p</w:t>
            </w:r>
          </w:p>
        </w:tc>
        <w:tc>
          <w:tcPr>
            <w:tcW w:w="618" w:type="pct"/>
            <w:tcBorders>
              <w:top w:val="nil"/>
              <w:left w:val="nil"/>
              <w:bottom w:val="nil"/>
              <w:right w:val="nil"/>
            </w:tcBorders>
            <w:tcMar>
              <w:top w:w="-1" w:type="dxa"/>
              <w:left w:w="-1" w:type="dxa"/>
              <w:bottom w:w="-1" w:type="dxa"/>
              <w:right w:w="-1" w:type="dxa"/>
            </w:tcMar>
            <w:vAlign w:val="center"/>
          </w:tcPr>
          <w:p w14:paraId="09EC67AE" w14:textId="2C4AF92A"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844" w:type="pct"/>
            <w:tcBorders>
              <w:top w:val="nil"/>
              <w:left w:val="nil"/>
              <w:bottom w:val="nil"/>
              <w:right w:val="nil"/>
            </w:tcBorders>
            <w:tcMar>
              <w:top w:w="-1" w:type="dxa"/>
              <w:left w:w="-1" w:type="dxa"/>
              <w:bottom w:w="-1" w:type="dxa"/>
              <w:right w:w="-1" w:type="dxa"/>
            </w:tcMar>
            <w:vAlign w:val="center"/>
          </w:tcPr>
          <w:p w14:paraId="4D5245D8"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0.144</w:t>
            </w:r>
          </w:p>
        </w:tc>
        <w:tc>
          <w:tcPr>
            <w:tcW w:w="618" w:type="pct"/>
            <w:tcBorders>
              <w:top w:val="nil"/>
              <w:left w:val="nil"/>
              <w:bottom w:val="nil"/>
              <w:right w:val="nil"/>
            </w:tcBorders>
            <w:tcMar>
              <w:top w:w="-1" w:type="dxa"/>
              <w:left w:w="-1" w:type="dxa"/>
              <w:bottom w:w="-1" w:type="dxa"/>
              <w:right w:w="-1" w:type="dxa"/>
            </w:tcMar>
            <w:vAlign w:val="center"/>
          </w:tcPr>
          <w:p w14:paraId="684E3BD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0.016</w:t>
            </w:r>
          </w:p>
        </w:tc>
        <w:tc>
          <w:tcPr>
            <w:tcW w:w="844" w:type="pct"/>
            <w:tcBorders>
              <w:top w:val="nil"/>
              <w:left w:val="nil"/>
              <w:bottom w:val="nil"/>
              <w:right w:val="nil"/>
            </w:tcBorders>
            <w:tcMar>
              <w:top w:w="-1" w:type="dxa"/>
              <w:left w:w="-1" w:type="dxa"/>
              <w:bottom w:w="-1" w:type="dxa"/>
              <w:right w:w="-1" w:type="dxa"/>
            </w:tcMar>
            <w:vAlign w:val="center"/>
          </w:tcPr>
          <w:p w14:paraId="1C59C4A7" w14:textId="743DD60F"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575" w:type="pct"/>
            <w:tcBorders>
              <w:top w:val="nil"/>
              <w:left w:val="nil"/>
              <w:bottom w:val="nil"/>
              <w:right w:val="nil"/>
            </w:tcBorders>
            <w:tcMar>
              <w:top w:w="-1" w:type="dxa"/>
              <w:left w:w="-1" w:type="dxa"/>
              <w:bottom w:w="-1" w:type="dxa"/>
              <w:right w:w="-1" w:type="dxa"/>
            </w:tcMar>
            <w:vAlign w:val="center"/>
          </w:tcPr>
          <w:p w14:paraId="3AD9FA95" w14:textId="2BC3CB0D"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r>
      <w:tr w:rsidR="00E3390E" w14:paraId="24CB372A"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580582C6"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Between-group comparison before intervention</w:t>
            </w:r>
          </w:p>
        </w:tc>
        <w:tc>
          <w:tcPr>
            <w:tcW w:w="671" w:type="pct"/>
            <w:tcBorders>
              <w:top w:val="nil"/>
              <w:left w:val="nil"/>
              <w:bottom w:val="nil"/>
              <w:right w:val="nil"/>
            </w:tcBorders>
            <w:tcMar>
              <w:top w:w="-1" w:type="dxa"/>
              <w:left w:w="-1" w:type="dxa"/>
              <w:bottom w:w="-1" w:type="dxa"/>
              <w:right w:w="-1" w:type="dxa"/>
            </w:tcMar>
            <w:vAlign w:val="center"/>
          </w:tcPr>
          <w:p w14:paraId="6676CBFB" w14:textId="22A7059F" w:rsidR="00E3390E" w:rsidRPr="00AB360C" w:rsidRDefault="00E229D1" w:rsidP="00E229D1">
            <w:pPr>
              <w:pStyle w:val="NormalWeb"/>
              <w:snapToGrid w:val="0"/>
              <w:jc w:val="center"/>
              <w:rPr>
                <w:rFonts w:ascii="Times New Roman" w:hAnsi="Times New Roman"/>
                <w:szCs w:val="24"/>
              </w:rPr>
            </w:pPr>
            <w:r>
              <w:rPr>
                <w:rFonts w:ascii="Times New Roman" w:eastAsia="Segoe UI" w:hAnsi="Times New Roman"/>
                <w:i/>
                <w:iCs/>
                <w:color w:val="0F1115"/>
                <w:szCs w:val="24"/>
                <w:shd w:val="clear" w:color="auto" w:fill="FFFFFF"/>
              </w:rPr>
              <w:t>t</w:t>
            </w:r>
          </w:p>
        </w:tc>
        <w:tc>
          <w:tcPr>
            <w:tcW w:w="618" w:type="pct"/>
            <w:tcBorders>
              <w:top w:val="nil"/>
              <w:left w:val="nil"/>
              <w:bottom w:val="nil"/>
              <w:right w:val="nil"/>
            </w:tcBorders>
            <w:tcMar>
              <w:top w:w="-1" w:type="dxa"/>
              <w:left w:w="-1" w:type="dxa"/>
              <w:bottom w:w="-1" w:type="dxa"/>
              <w:right w:w="-1" w:type="dxa"/>
            </w:tcMar>
            <w:vAlign w:val="center"/>
          </w:tcPr>
          <w:p w14:paraId="767C4528"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0.823</w:t>
            </w:r>
          </w:p>
        </w:tc>
        <w:tc>
          <w:tcPr>
            <w:tcW w:w="844" w:type="pct"/>
            <w:tcBorders>
              <w:top w:val="nil"/>
              <w:left w:val="nil"/>
              <w:bottom w:val="nil"/>
              <w:right w:val="nil"/>
            </w:tcBorders>
            <w:tcMar>
              <w:top w:w="-1" w:type="dxa"/>
              <w:left w:w="-1" w:type="dxa"/>
              <w:bottom w:w="-1" w:type="dxa"/>
              <w:right w:w="-1" w:type="dxa"/>
            </w:tcMar>
            <w:vAlign w:val="center"/>
          </w:tcPr>
          <w:p w14:paraId="1875FBB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0.363</w:t>
            </w:r>
          </w:p>
        </w:tc>
        <w:tc>
          <w:tcPr>
            <w:tcW w:w="618" w:type="pct"/>
            <w:tcBorders>
              <w:top w:val="nil"/>
              <w:left w:val="nil"/>
              <w:bottom w:val="nil"/>
              <w:right w:val="nil"/>
            </w:tcBorders>
            <w:tcMar>
              <w:top w:w="-1" w:type="dxa"/>
              <w:left w:w="-1" w:type="dxa"/>
              <w:bottom w:w="-1" w:type="dxa"/>
              <w:right w:w="-1" w:type="dxa"/>
            </w:tcMar>
            <w:vAlign w:val="center"/>
          </w:tcPr>
          <w:p w14:paraId="0146F38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0.585</w:t>
            </w:r>
          </w:p>
        </w:tc>
        <w:tc>
          <w:tcPr>
            <w:tcW w:w="844" w:type="pct"/>
            <w:tcBorders>
              <w:top w:val="nil"/>
              <w:left w:val="nil"/>
              <w:bottom w:val="nil"/>
              <w:right w:val="nil"/>
            </w:tcBorders>
            <w:tcMar>
              <w:top w:w="-1" w:type="dxa"/>
              <w:left w:w="-1" w:type="dxa"/>
              <w:bottom w:w="-1" w:type="dxa"/>
              <w:right w:w="-1" w:type="dxa"/>
            </w:tcMar>
            <w:vAlign w:val="center"/>
          </w:tcPr>
          <w:p w14:paraId="19F842AE"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0.396</w:t>
            </w:r>
          </w:p>
        </w:tc>
        <w:tc>
          <w:tcPr>
            <w:tcW w:w="575" w:type="pct"/>
            <w:tcBorders>
              <w:top w:val="nil"/>
              <w:left w:val="nil"/>
              <w:bottom w:val="nil"/>
              <w:right w:val="nil"/>
            </w:tcBorders>
            <w:tcMar>
              <w:top w:w="-1" w:type="dxa"/>
              <w:left w:w="-1" w:type="dxa"/>
              <w:bottom w:w="-1" w:type="dxa"/>
              <w:right w:w="-1" w:type="dxa"/>
            </w:tcMar>
            <w:vAlign w:val="center"/>
          </w:tcPr>
          <w:p w14:paraId="6422C42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0.094</w:t>
            </w:r>
          </w:p>
        </w:tc>
      </w:tr>
      <w:tr w:rsidR="00E3390E" w14:paraId="4A4C563B" w14:textId="77777777" w:rsidTr="00AB360C">
        <w:trPr>
          <w:tblHeader/>
          <w:jc w:val="center"/>
        </w:trPr>
        <w:tc>
          <w:tcPr>
            <w:tcW w:w="827" w:type="pct"/>
            <w:tcBorders>
              <w:top w:val="nil"/>
              <w:left w:val="nil"/>
              <w:bottom w:val="nil"/>
              <w:right w:val="nil"/>
            </w:tcBorders>
            <w:tcMar>
              <w:top w:w="-1" w:type="dxa"/>
              <w:left w:w="-1" w:type="dxa"/>
              <w:bottom w:w="-1" w:type="dxa"/>
              <w:right w:w="-1" w:type="dxa"/>
            </w:tcMar>
            <w:vAlign w:val="center"/>
          </w:tcPr>
          <w:p w14:paraId="23100A25"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nil"/>
              <w:right w:val="nil"/>
            </w:tcBorders>
            <w:tcMar>
              <w:top w:w="-1" w:type="dxa"/>
              <w:left w:w="-1" w:type="dxa"/>
              <w:bottom w:w="-1" w:type="dxa"/>
              <w:right w:w="-1" w:type="dxa"/>
            </w:tcMar>
            <w:vAlign w:val="center"/>
          </w:tcPr>
          <w:p w14:paraId="3961F6A6" w14:textId="7C8F6FD6" w:rsidR="00E3390E" w:rsidRPr="00AB360C" w:rsidRDefault="00E229D1" w:rsidP="00E229D1">
            <w:pPr>
              <w:pStyle w:val="NormalWeb"/>
              <w:snapToGrid w:val="0"/>
              <w:jc w:val="center"/>
              <w:rPr>
                <w:rFonts w:ascii="Times New Roman" w:hAnsi="Times New Roman"/>
                <w:szCs w:val="24"/>
              </w:rPr>
            </w:pPr>
            <w:r>
              <w:rPr>
                <w:rFonts w:ascii="Times New Roman" w:eastAsia="Segoe UI" w:hAnsi="Times New Roman"/>
                <w:i/>
                <w:iCs/>
                <w:color w:val="0F1115"/>
                <w:szCs w:val="24"/>
                <w:shd w:val="clear" w:color="auto" w:fill="FFFFFF"/>
              </w:rPr>
              <w:t>p</w:t>
            </w:r>
          </w:p>
        </w:tc>
        <w:tc>
          <w:tcPr>
            <w:tcW w:w="618" w:type="pct"/>
            <w:tcBorders>
              <w:top w:val="nil"/>
              <w:left w:val="nil"/>
              <w:bottom w:val="nil"/>
              <w:right w:val="nil"/>
            </w:tcBorders>
            <w:tcMar>
              <w:top w:w="-1" w:type="dxa"/>
              <w:left w:w="-1" w:type="dxa"/>
              <w:bottom w:w="-1" w:type="dxa"/>
              <w:right w:w="-1" w:type="dxa"/>
            </w:tcMar>
            <w:vAlign w:val="center"/>
          </w:tcPr>
          <w:p w14:paraId="7E400389"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0.414</w:t>
            </w:r>
          </w:p>
        </w:tc>
        <w:tc>
          <w:tcPr>
            <w:tcW w:w="844" w:type="pct"/>
            <w:tcBorders>
              <w:top w:val="nil"/>
              <w:left w:val="nil"/>
              <w:bottom w:val="nil"/>
              <w:right w:val="nil"/>
            </w:tcBorders>
            <w:tcMar>
              <w:top w:w="-1" w:type="dxa"/>
              <w:left w:w="-1" w:type="dxa"/>
              <w:bottom w:w="-1" w:type="dxa"/>
              <w:right w:w="-1" w:type="dxa"/>
            </w:tcMar>
            <w:vAlign w:val="center"/>
          </w:tcPr>
          <w:p w14:paraId="78D498AD"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0.717</w:t>
            </w:r>
          </w:p>
        </w:tc>
        <w:tc>
          <w:tcPr>
            <w:tcW w:w="618" w:type="pct"/>
            <w:tcBorders>
              <w:top w:val="nil"/>
              <w:left w:val="nil"/>
              <w:bottom w:val="nil"/>
              <w:right w:val="nil"/>
            </w:tcBorders>
            <w:tcMar>
              <w:top w:w="-1" w:type="dxa"/>
              <w:left w:w="-1" w:type="dxa"/>
              <w:bottom w:w="-1" w:type="dxa"/>
              <w:right w:w="-1" w:type="dxa"/>
            </w:tcMar>
            <w:vAlign w:val="center"/>
          </w:tcPr>
          <w:p w14:paraId="0EF2131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0.561</w:t>
            </w:r>
          </w:p>
        </w:tc>
        <w:tc>
          <w:tcPr>
            <w:tcW w:w="844" w:type="pct"/>
            <w:tcBorders>
              <w:top w:val="nil"/>
              <w:left w:val="nil"/>
              <w:bottom w:val="nil"/>
              <w:right w:val="nil"/>
            </w:tcBorders>
            <w:tcMar>
              <w:top w:w="-1" w:type="dxa"/>
              <w:left w:w="-1" w:type="dxa"/>
              <w:bottom w:w="-1" w:type="dxa"/>
              <w:right w:w="-1" w:type="dxa"/>
            </w:tcMar>
            <w:vAlign w:val="center"/>
          </w:tcPr>
          <w:p w14:paraId="77D2548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0.693</w:t>
            </w:r>
          </w:p>
        </w:tc>
        <w:tc>
          <w:tcPr>
            <w:tcW w:w="575" w:type="pct"/>
            <w:tcBorders>
              <w:top w:val="nil"/>
              <w:left w:val="nil"/>
              <w:bottom w:val="nil"/>
              <w:right w:val="nil"/>
            </w:tcBorders>
            <w:tcMar>
              <w:top w:w="-1" w:type="dxa"/>
              <w:left w:w="-1" w:type="dxa"/>
              <w:bottom w:w="-1" w:type="dxa"/>
              <w:right w:w="-1" w:type="dxa"/>
            </w:tcMar>
            <w:vAlign w:val="center"/>
          </w:tcPr>
          <w:p w14:paraId="5B00D731"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0.925</w:t>
            </w:r>
          </w:p>
        </w:tc>
      </w:tr>
      <w:tr w:rsidR="00E3390E" w14:paraId="008E80AC" w14:textId="77777777">
        <w:trPr>
          <w:tblHeader/>
          <w:jc w:val="center"/>
        </w:trPr>
        <w:tc>
          <w:tcPr>
            <w:tcW w:w="827" w:type="pct"/>
            <w:tcBorders>
              <w:top w:val="nil"/>
              <w:left w:val="nil"/>
              <w:bottom w:val="nil"/>
              <w:right w:val="nil"/>
            </w:tcBorders>
            <w:tcMar>
              <w:top w:w="-1" w:type="dxa"/>
              <w:left w:w="-1" w:type="dxa"/>
              <w:bottom w:w="-1" w:type="dxa"/>
              <w:right w:w="-1" w:type="dxa"/>
            </w:tcMar>
            <w:vAlign w:val="center"/>
          </w:tcPr>
          <w:p w14:paraId="6D94F0B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Between-group comparison after intervention</w:t>
            </w:r>
          </w:p>
        </w:tc>
        <w:tc>
          <w:tcPr>
            <w:tcW w:w="671" w:type="pct"/>
            <w:tcBorders>
              <w:top w:val="nil"/>
              <w:left w:val="nil"/>
              <w:bottom w:val="nil"/>
              <w:right w:val="nil"/>
            </w:tcBorders>
            <w:tcMar>
              <w:top w:w="-1" w:type="dxa"/>
              <w:left w:w="-1" w:type="dxa"/>
              <w:bottom w:w="-1" w:type="dxa"/>
              <w:right w:w="-1" w:type="dxa"/>
            </w:tcMar>
            <w:vAlign w:val="center"/>
          </w:tcPr>
          <w:p w14:paraId="05E2BFA6"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i/>
                <w:iCs/>
                <w:color w:val="0F1115"/>
                <w:szCs w:val="24"/>
                <w:shd w:val="clear" w:color="auto" w:fill="FFFFFF"/>
              </w:rPr>
              <w:t>t</w:t>
            </w:r>
          </w:p>
        </w:tc>
        <w:tc>
          <w:tcPr>
            <w:tcW w:w="618" w:type="pct"/>
            <w:tcBorders>
              <w:top w:val="nil"/>
              <w:left w:val="nil"/>
              <w:bottom w:val="nil"/>
              <w:right w:val="nil"/>
            </w:tcBorders>
            <w:tcMar>
              <w:top w:w="-1" w:type="dxa"/>
              <w:left w:w="-1" w:type="dxa"/>
              <w:bottom w:w="-1" w:type="dxa"/>
              <w:right w:w="-1" w:type="dxa"/>
            </w:tcMar>
            <w:vAlign w:val="center"/>
          </w:tcPr>
          <w:p w14:paraId="66DEF4D5"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4.547</w:t>
            </w:r>
          </w:p>
        </w:tc>
        <w:tc>
          <w:tcPr>
            <w:tcW w:w="844" w:type="pct"/>
            <w:tcBorders>
              <w:top w:val="nil"/>
              <w:left w:val="nil"/>
              <w:bottom w:val="nil"/>
              <w:right w:val="nil"/>
            </w:tcBorders>
            <w:tcMar>
              <w:top w:w="-1" w:type="dxa"/>
              <w:left w:w="-1" w:type="dxa"/>
              <w:bottom w:w="-1" w:type="dxa"/>
              <w:right w:w="-1" w:type="dxa"/>
            </w:tcMar>
            <w:vAlign w:val="center"/>
          </w:tcPr>
          <w:p w14:paraId="12636BB2"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6.412</w:t>
            </w:r>
          </w:p>
        </w:tc>
        <w:tc>
          <w:tcPr>
            <w:tcW w:w="618" w:type="pct"/>
            <w:tcBorders>
              <w:top w:val="nil"/>
              <w:left w:val="nil"/>
              <w:bottom w:val="nil"/>
              <w:right w:val="nil"/>
            </w:tcBorders>
            <w:tcMar>
              <w:top w:w="-1" w:type="dxa"/>
              <w:left w:w="-1" w:type="dxa"/>
              <w:bottom w:w="-1" w:type="dxa"/>
              <w:right w:w="-1" w:type="dxa"/>
            </w:tcMar>
            <w:vAlign w:val="center"/>
          </w:tcPr>
          <w:p w14:paraId="0B2736C0"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3.497</w:t>
            </w:r>
          </w:p>
        </w:tc>
        <w:tc>
          <w:tcPr>
            <w:tcW w:w="844" w:type="pct"/>
            <w:tcBorders>
              <w:top w:val="nil"/>
              <w:left w:val="nil"/>
              <w:bottom w:val="nil"/>
              <w:right w:val="nil"/>
            </w:tcBorders>
            <w:tcMar>
              <w:top w:w="-1" w:type="dxa"/>
              <w:left w:w="-1" w:type="dxa"/>
              <w:bottom w:w="-1" w:type="dxa"/>
              <w:right w:w="-1" w:type="dxa"/>
            </w:tcMar>
            <w:vAlign w:val="center"/>
          </w:tcPr>
          <w:p w14:paraId="7A6C283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4.794</w:t>
            </w:r>
          </w:p>
        </w:tc>
        <w:tc>
          <w:tcPr>
            <w:tcW w:w="575" w:type="pct"/>
            <w:tcBorders>
              <w:top w:val="nil"/>
              <w:left w:val="nil"/>
              <w:bottom w:val="nil"/>
              <w:right w:val="nil"/>
            </w:tcBorders>
            <w:tcMar>
              <w:top w:w="-1" w:type="dxa"/>
              <w:left w:w="-1" w:type="dxa"/>
              <w:bottom w:w="-1" w:type="dxa"/>
              <w:right w:w="-1" w:type="dxa"/>
            </w:tcMar>
            <w:vAlign w:val="center"/>
          </w:tcPr>
          <w:p w14:paraId="22506063"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3.716</w:t>
            </w:r>
          </w:p>
        </w:tc>
      </w:tr>
      <w:tr w:rsidR="00E3390E" w14:paraId="1E443451" w14:textId="77777777" w:rsidTr="00AB360C">
        <w:trPr>
          <w:tblHeader/>
          <w:jc w:val="center"/>
        </w:trPr>
        <w:tc>
          <w:tcPr>
            <w:tcW w:w="827" w:type="pct"/>
            <w:tcBorders>
              <w:top w:val="nil"/>
              <w:left w:val="nil"/>
              <w:bottom w:val="single" w:sz="4" w:space="0" w:color="auto"/>
              <w:right w:val="nil"/>
            </w:tcBorders>
            <w:tcMar>
              <w:top w:w="-1" w:type="dxa"/>
              <w:left w:w="-1" w:type="dxa"/>
              <w:bottom w:w="-1" w:type="dxa"/>
              <w:right w:w="-1" w:type="dxa"/>
            </w:tcMar>
            <w:vAlign w:val="center"/>
          </w:tcPr>
          <w:p w14:paraId="75EAFDA1" w14:textId="77777777" w:rsidR="00E3390E" w:rsidRPr="00AB360C" w:rsidRDefault="00E3390E" w:rsidP="00E229D1">
            <w:pPr>
              <w:pStyle w:val="NormalWeb"/>
              <w:snapToGrid w:val="0"/>
              <w:jc w:val="center"/>
              <w:rPr>
                <w:rFonts w:ascii="Times New Roman" w:hAnsi="Times New Roman"/>
                <w:szCs w:val="24"/>
              </w:rPr>
            </w:pPr>
          </w:p>
        </w:tc>
        <w:tc>
          <w:tcPr>
            <w:tcW w:w="671" w:type="pct"/>
            <w:tcBorders>
              <w:top w:val="nil"/>
              <w:left w:val="nil"/>
              <w:bottom w:val="single" w:sz="4" w:space="0" w:color="auto"/>
              <w:right w:val="nil"/>
            </w:tcBorders>
            <w:tcMar>
              <w:top w:w="-1" w:type="dxa"/>
              <w:left w:w="-1" w:type="dxa"/>
              <w:bottom w:w="-1" w:type="dxa"/>
              <w:right w:w="-1" w:type="dxa"/>
            </w:tcMar>
            <w:vAlign w:val="center"/>
          </w:tcPr>
          <w:p w14:paraId="5310FDB4" w14:textId="25C26519" w:rsidR="00E3390E" w:rsidRPr="00AB360C" w:rsidRDefault="00E229D1" w:rsidP="00E229D1">
            <w:pPr>
              <w:pStyle w:val="NormalWeb"/>
              <w:snapToGrid w:val="0"/>
              <w:jc w:val="center"/>
              <w:rPr>
                <w:rFonts w:ascii="Times New Roman" w:hAnsi="Times New Roman"/>
                <w:szCs w:val="24"/>
              </w:rPr>
            </w:pPr>
            <w:r>
              <w:rPr>
                <w:rFonts w:ascii="Times New Roman" w:eastAsia="Segoe UI" w:hAnsi="Times New Roman"/>
                <w:i/>
                <w:iCs/>
                <w:color w:val="0F1115"/>
                <w:szCs w:val="24"/>
                <w:shd w:val="clear" w:color="auto" w:fill="FFFFFF"/>
              </w:rPr>
              <w:t>p</w:t>
            </w:r>
          </w:p>
        </w:tc>
        <w:tc>
          <w:tcPr>
            <w:tcW w:w="618" w:type="pct"/>
            <w:tcBorders>
              <w:top w:val="nil"/>
              <w:left w:val="nil"/>
              <w:bottom w:val="single" w:sz="4" w:space="0" w:color="auto"/>
              <w:right w:val="nil"/>
            </w:tcBorders>
            <w:tcMar>
              <w:top w:w="-1" w:type="dxa"/>
              <w:left w:w="-1" w:type="dxa"/>
              <w:bottom w:w="-1" w:type="dxa"/>
              <w:right w:w="-1" w:type="dxa"/>
            </w:tcMar>
            <w:vAlign w:val="center"/>
          </w:tcPr>
          <w:p w14:paraId="4DE1BD47" w14:textId="353D86CF"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844" w:type="pct"/>
            <w:tcBorders>
              <w:top w:val="nil"/>
              <w:left w:val="nil"/>
              <w:bottom w:val="single" w:sz="4" w:space="0" w:color="auto"/>
              <w:right w:val="nil"/>
            </w:tcBorders>
            <w:tcMar>
              <w:top w:w="-1" w:type="dxa"/>
              <w:left w:w="-1" w:type="dxa"/>
              <w:bottom w:w="-1" w:type="dxa"/>
              <w:right w:w="-1" w:type="dxa"/>
            </w:tcMar>
            <w:vAlign w:val="center"/>
          </w:tcPr>
          <w:p w14:paraId="6827334B" w14:textId="640501FF"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618" w:type="pct"/>
            <w:tcBorders>
              <w:top w:val="nil"/>
              <w:left w:val="nil"/>
              <w:bottom w:val="single" w:sz="4" w:space="0" w:color="auto"/>
              <w:right w:val="nil"/>
            </w:tcBorders>
            <w:tcMar>
              <w:top w:w="-1" w:type="dxa"/>
              <w:left w:w="-1" w:type="dxa"/>
              <w:bottom w:w="-1" w:type="dxa"/>
              <w:right w:w="-1" w:type="dxa"/>
            </w:tcMar>
            <w:vAlign w:val="center"/>
          </w:tcPr>
          <w:p w14:paraId="42E7B0AB" w14:textId="7777777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0.001</w:t>
            </w:r>
          </w:p>
        </w:tc>
        <w:tc>
          <w:tcPr>
            <w:tcW w:w="844" w:type="pct"/>
            <w:tcBorders>
              <w:top w:val="nil"/>
              <w:left w:val="nil"/>
              <w:bottom w:val="single" w:sz="4" w:space="0" w:color="auto"/>
              <w:right w:val="nil"/>
            </w:tcBorders>
            <w:tcMar>
              <w:top w:w="-1" w:type="dxa"/>
              <w:left w:w="-1" w:type="dxa"/>
              <w:bottom w:w="-1" w:type="dxa"/>
              <w:right w:w="-1" w:type="dxa"/>
            </w:tcMar>
            <w:vAlign w:val="center"/>
          </w:tcPr>
          <w:p w14:paraId="4D716397" w14:textId="16CB95C5"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c>
          <w:tcPr>
            <w:tcW w:w="575" w:type="pct"/>
            <w:tcBorders>
              <w:top w:val="nil"/>
              <w:left w:val="nil"/>
              <w:bottom w:val="single" w:sz="4" w:space="0" w:color="auto"/>
              <w:right w:val="nil"/>
            </w:tcBorders>
            <w:tcMar>
              <w:top w:w="-1" w:type="dxa"/>
              <w:left w:w="-1" w:type="dxa"/>
              <w:bottom w:w="-1" w:type="dxa"/>
              <w:right w:w="-1" w:type="dxa"/>
            </w:tcMar>
            <w:vAlign w:val="center"/>
          </w:tcPr>
          <w:p w14:paraId="12067F09" w14:textId="7BE553F7" w:rsidR="00E3390E" w:rsidRPr="00AB360C" w:rsidRDefault="00000000" w:rsidP="00E229D1">
            <w:pPr>
              <w:pStyle w:val="NormalWeb"/>
              <w:snapToGrid w:val="0"/>
              <w:jc w:val="center"/>
              <w:rPr>
                <w:rFonts w:ascii="Times New Roman" w:hAnsi="Times New Roman"/>
                <w:szCs w:val="24"/>
              </w:rPr>
            </w:pPr>
            <w:r w:rsidRPr="00AB360C">
              <w:rPr>
                <w:rFonts w:ascii="Times New Roman" w:eastAsia="Segoe UI" w:hAnsi="Times New Roman"/>
                <w:color w:val="0F1115"/>
                <w:szCs w:val="24"/>
                <w:shd w:val="clear" w:color="auto" w:fill="FFFFFF"/>
              </w:rPr>
              <w:t>&lt;</w:t>
            </w:r>
            <w:r w:rsidR="00E229D1">
              <w:rPr>
                <w:rFonts w:ascii="Times New Roman" w:eastAsia="Segoe UI" w:hAnsi="Times New Roman"/>
                <w:color w:val="0F1115"/>
                <w:szCs w:val="24"/>
                <w:shd w:val="clear" w:color="auto" w:fill="FFFFFF"/>
              </w:rPr>
              <w:t xml:space="preserve"> </w:t>
            </w:r>
            <w:r w:rsidRPr="00AB360C">
              <w:rPr>
                <w:rFonts w:ascii="Times New Roman" w:eastAsia="Segoe UI" w:hAnsi="Times New Roman"/>
                <w:color w:val="0F1115"/>
                <w:szCs w:val="24"/>
                <w:shd w:val="clear" w:color="auto" w:fill="FFFFFF"/>
              </w:rPr>
              <w:t>0.001</w:t>
            </w:r>
          </w:p>
        </w:tc>
      </w:tr>
    </w:tbl>
    <w:p w14:paraId="3997DC2C" w14:textId="77777777" w:rsidR="00E3390E" w:rsidRDefault="00E3390E" w:rsidP="00E229D1">
      <w:pPr>
        <w:snapToGrid w:val="0"/>
        <w:rPr>
          <w:rFonts w:ascii="Times New Roman" w:hAnsi="Times New Roman"/>
          <w:sz w:val="24"/>
          <w:szCs w:val="24"/>
        </w:rPr>
      </w:pPr>
    </w:p>
    <w:p w14:paraId="11E6482C" w14:textId="77777777" w:rsidR="00E3390E" w:rsidRDefault="00000000" w:rsidP="00E229D1">
      <w:pPr>
        <w:snapToGrid w:val="0"/>
        <w:rPr>
          <w:rFonts w:ascii="Times New Roman" w:hAnsi="Times New Roman"/>
          <w:sz w:val="24"/>
          <w:szCs w:val="24"/>
        </w:rPr>
      </w:pPr>
      <w:r>
        <w:rPr>
          <w:rFonts w:ascii="Times New Roman" w:hAnsi="Times New Roman" w:hint="eastAsia"/>
          <w:b/>
          <w:bCs/>
          <w:sz w:val="24"/>
          <w:szCs w:val="24"/>
        </w:rPr>
        <w:t>3</w:t>
      </w:r>
      <w:r>
        <w:rPr>
          <w:rFonts w:ascii="Times New Roman" w:hAnsi="Times New Roman"/>
          <w:b/>
          <w:bCs/>
          <w:sz w:val="24"/>
          <w:szCs w:val="24"/>
        </w:rPr>
        <w:t xml:space="preserve">.2. Comparison of </w:t>
      </w:r>
      <w:r>
        <w:rPr>
          <w:rFonts w:ascii="Times New Roman" w:hAnsi="Times New Roman" w:hint="eastAsia"/>
          <w:b/>
          <w:bCs/>
          <w:sz w:val="24"/>
          <w:szCs w:val="24"/>
        </w:rPr>
        <w:t>r</w:t>
      </w:r>
      <w:r>
        <w:rPr>
          <w:rFonts w:ascii="Times New Roman" w:hAnsi="Times New Roman"/>
          <w:b/>
          <w:bCs/>
          <w:sz w:val="24"/>
          <w:szCs w:val="24"/>
        </w:rPr>
        <w:t xml:space="preserve">ehabilitation </w:t>
      </w:r>
      <w:r>
        <w:rPr>
          <w:rFonts w:ascii="Times New Roman" w:hAnsi="Times New Roman" w:hint="eastAsia"/>
          <w:b/>
          <w:bCs/>
          <w:sz w:val="24"/>
          <w:szCs w:val="24"/>
        </w:rPr>
        <w:t>t</w:t>
      </w:r>
      <w:r>
        <w:rPr>
          <w:rFonts w:ascii="Times New Roman" w:hAnsi="Times New Roman"/>
          <w:b/>
          <w:bCs/>
          <w:sz w:val="24"/>
          <w:szCs w:val="24"/>
        </w:rPr>
        <w:t xml:space="preserve">reatment </w:t>
      </w:r>
      <w:r>
        <w:rPr>
          <w:rFonts w:ascii="Times New Roman" w:hAnsi="Times New Roman" w:hint="eastAsia"/>
          <w:b/>
          <w:bCs/>
          <w:sz w:val="24"/>
          <w:szCs w:val="24"/>
        </w:rPr>
        <w:t>a</w:t>
      </w:r>
      <w:r>
        <w:rPr>
          <w:rFonts w:ascii="Times New Roman" w:hAnsi="Times New Roman"/>
          <w:b/>
          <w:bCs/>
          <w:sz w:val="24"/>
          <w:szCs w:val="24"/>
        </w:rPr>
        <w:t>dherence</w:t>
      </w:r>
    </w:p>
    <w:p w14:paraId="4A6B7EB3" w14:textId="77777777" w:rsidR="00E3390E" w:rsidRDefault="00000000" w:rsidP="00E229D1">
      <w:pPr>
        <w:snapToGrid w:val="0"/>
        <w:rPr>
          <w:rFonts w:ascii="Times New Roman" w:hAnsi="Times New Roman"/>
          <w:sz w:val="24"/>
          <w:szCs w:val="24"/>
        </w:rPr>
      </w:pPr>
      <w:r>
        <w:rPr>
          <w:rFonts w:ascii="Times New Roman" w:hAnsi="Times New Roman"/>
          <w:sz w:val="24"/>
          <w:szCs w:val="24"/>
        </w:rPr>
        <w:t>After the intervention, the full adherence rate in the observation group was significantly higher than that in the control group (</w:t>
      </w:r>
      <w:r>
        <w:rPr>
          <w:rFonts w:ascii="Times New Roman" w:hAnsi="Times New Roman"/>
          <w:i/>
          <w:iCs/>
          <w:sz w:val="24"/>
          <w:szCs w:val="24"/>
        </w:rPr>
        <w:t>P</w:t>
      </w:r>
      <w:r>
        <w:rPr>
          <w:rFonts w:ascii="Times New Roman" w:hAnsi="Times New Roman"/>
          <w:sz w:val="24"/>
          <w:szCs w:val="24"/>
        </w:rPr>
        <w:t xml:space="preserve"> &lt; 0.05), as shown in </w:t>
      </w:r>
      <w:r>
        <w:rPr>
          <w:rFonts w:ascii="Times New Roman" w:hAnsi="Times New Roman"/>
          <w:b/>
          <w:bCs/>
          <w:sz w:val="24"/>
          <w:szCs w:val="24"/>
        </w:rPr>
        <w:t>Table 2</w:t>
      </w:r>
      <w:r>
        <w:rPr>
          <w:rFonts w:ascii="Times New Roman" w:hAnsi="Times New Roman" w:hint="eastAsia"/>
          <w:b/>
          <w:bCs/>
          <w:sz w:val="24"/>
          <w:szCs w:val="24"/>
        </w:rPr>
        <w:t xml:space="preserve"> </w:t>
      </w:r>
      <w:r>
        <w:rPr>
          <w:rFonts w:ascii="Times New Roman" w:hAnsi="Times New Roman" w:hint="eastAsia"/>
          <w:sz w:val="24"/>
          <w:szCs w:val="24"/>
        </w:rPr>
        <w:t>and</w:t>
      </w:r>
      <w:r>
        <w:rPr>
          <w:rFonts w:ascii="Times New Roman" w:hAnsi="Times New Roman" w:hint="eastAsia"/>
          <w:b/>
          <w:bCs/>
          <w:sz w:val="24"/>
          <w:szCs w:val="24"/>
        </w:rPr>
        <w:t xml:space="preserve"> Table 3</w:t>
      </w:r>
      <w:r>
        <w:rPr>
          <w:rFonts w:ascii="Times New Roman" w:hAnsi="Times New Roman"/>
          <w:sz w:val="24"/>
          <w:szCs w:val="24"/>
        </w:rPr>
        <w:t>.</w:t>
      </w:r>
    </w:p>
    <w:p w14:paraId="18E87425" w14:textId="77777777" w:rsidR="00E3390E" w:rsidRDefault="00E3390E" w:rsidP="00E229D1">
      <w:pPr>
        <w:snapToGrid w:val="0"/>
        <w:rPr>
          <w:rFonts w:ascii="Times New Roman" w:hAnsi="Times New Roman"/>
          <w:b/>
          <w:bCs/>
          <w:sz w:val="24"/>
          <w:szCs w:val="24"/>
        </w:rPr>
      </w:pPr>
    </w:p>
    <w:p w14:paraId="28BC5E20" w14:textId="77777777" w:rsidR="00E3390E" w:rsidRDefault="00000000" w:rsidP="00E229D1">
      <w:pPr>
        <w:snapToGrid w:val="0"/>
        <w:rPr>
          <w:rFonts w:ascii="Times New Roman" w:hAnsi="Times New Roman"/>
          <w:sz w:val="24"/>
          <w:szCs w:val="24"/>
        </w:rPr>
      </w:pPr>
      <w:r>
        <w:rPr>
          <w:rFonts w:ascii="Times New Roman" w:hAnsi="Times New Roman"/>
          <w:b/>
          <w:bCs/>
          <w:sz w:val="24"/>
          <w:szCs w:val="24"/>
        </w:rPr>
        <w:t>Table 2.</w:t>
      </w:r>
      <w:r>
        <w:rPr>
          <w:rFonts w:ascii="Times New Roman" w:hAnsi="Times New Roman"/>
          <w:sz w:val="24"/>
          <w:szCs w:val="24"/>
        </w:rPr>
        <w:t xml:space="preserve"> Comparison of </w:t>
      </w:r>
      <w:r>
        <w:rPr>
          <w:rFonts w:ascii="Times New Roman" w:hAnsi="Times New Roman" w:hint="eastAsia"/>
          <w:sz w:val="24"/>
          <w:szCs w:val="24"/>
        </w:rPr>
        <w:t>r</w:t>
      </w:r>
      <w:r>
        <w:rPr>
          <w:rFonts w:ascii="Times New Roman" w:hAnsi="Times New Roman"/>
          <w:sz w:val="24"/>
          <w:szCs w:val="24"/>
        </w:rPr>
        <w:t xml:space="preserve">ehabilitation </w:t>
      </w:r>
      <w:r>
        <w:rPr>
          <w:rFonts w:ascii="Times New Roman" w:hAnsi="Times New Roman" w:hint="eastAsia"/>
          <w:sz w:val="24"/>
          <w:szCs w:val="24"/>
        </w:rPr>
        <w:t>t</w:t>
      </w:r>
      <w:r>
        <w:rPr>
          <w:rFonts w:ascii="Times New Roman" w:hAnsi="Times New Roman"/>
          <w:sz w:val="24"/>
          <w:szCs w:val="24"/>
        </w:rPr>
        <w:t xml:space="preserve">reatment </w:t>
      </w:r>
      <w:r>
        <w:rPr>
          <w:rFonts w:ascii="Times New Roman" w:hAnsi="Times New Roman" w:hint="eastAsia"/>
          <w:sz w:val="24"/>
          <w:szCs w:val="24"/>
        </w:rPr>
        <w:t>a</w:t>
      </w:r>
      <w:r>
        <w:rPr>
          <w:rFonts w:ascii="Times New Roman" w:hAnsi="Times New Roman"/>
          <w:sz w:val="24"/>
          <w:szCs w:val="24"/>
        </w:rPr>
        <w:t>dherence (n, %)</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842"/>
        <w:gridCol w:w="444"/>
        <w:gridCol w:w="2069"/>
        <w:gridCol w:w="1831"/>
        <w:gridCol w:w="1777"/>
        <w:gridCol w:w="1675"/>
      </w:tblGrid>
      <w:tr w:rsidR="00E3390E" w14:paraId="287F949B" w14:textId="77777777" w:rsidTr="00AB360C">
        <w:trPr>
          <w:tblHeader/>
          <w:jc w:val="center"/>
        </w:trPr>
        <w:tc>
          <w:tcPr>
            <w:tcW w:w="955" w:type="pct"/>
            <w:tcBorders>
              <w:top w:val="single" w:sz="4" w:space="0" w:color="auto"/>
              <w:left w:val="nil"/>
              <w:bottom w:val="nil"/>
              <w:right w:val="nil"/>
            </w:tcBorders>
            <w:tcMar>
              <w:top w:w="-1" w:type="dxa"/>
              <w:left w:w="-1" w:type="dxa"/>
              <w:bottom w:w="-1" w:type="dxa"/>
              <w:right w:w="-1" w:type="dxa"/>
            </w:tcMar>
          </w:tcPr>
          <w:p w14:paraId="5D73AB51" w14:textId="77777777" w:rsidR="00E3390E" w:rsidRPr="00AB360C" w:rsidRDefault="00000000" w:rsidP="00E229D1">
            <w:pPr>
              <w:snapToGrid w:val="0"/>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Group</w:t>
            </w:r>
          </w:p>
        </w:tc>
        <w:tc>
          <w:tcPr>
            <w:tcW w:w="231" w:type="pct"/>
            <w:tcBorders>
              <w:top w:val="single" w:sz="4" w:space="0" w:color="auto"/>
              <w:left w:val="nil"/>
              <w:bottom w:val="nil"/>
              <w:right w:val="nil"/>
            </w:tcBorders>
            <w:tcMar>
              <w:top w:w="-1" w:type="dxa"/>
              <w:left w:w="-1" w:type="dxa"/>
              <w:bottom w:w="-1" w:type="dxa"/>
              <w:right w:w="-1" w:type="dxa"/>
            </w:tcMar>
          </w:tcPr>
          <w:p w14:paraId="39803D62" w14:textId="77777777" w:rsidR="00E3390E" w:rsidRPr="00AB360C" w:rsidRDefault="00000000" w:rsidP="00AB360C">
            <w:pPr>
              <w:snapToGrid w:val="0"/>
              <w:jc w:val="center"/>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n</w:t>
            </w:r>
          </w:p>
        </w:tc>
        <w:tc>
          <w:tcPr>
            <w:tcW w:w="1073" w:type="pct"/>
            <w:tcBorders>
              <w:top w:val="single" w:sz="4" w:space="0" w:color="auto"/>
              <w:left w:val="nil"/>
              <w:bottom w:val="nil"/>
              <w:right w:val="nil"/>
            </w:tcBorders>
            <w:tcMar>
              <w:top w:w="-1" w:type="dxa"/>
              <w:left w:w="-1" w:type="dxa"/>
              <w:bottom w:w="-1" w:type="dxa"/>
              <w:right w:w="-1" w:type="dxa"/>
            </w:tcMar>
          </w:tcPr>
          <w:p w14:paraId="07BFB537" w14:textId="77777777" w:rsidR="00E3390E" w:rsidRPr="00AB360C" w:rsidRDefault="00000000" w:rsidP="00AB360C">
            <w:pPr>
              <w:snapToGrid w:val="0"/>
              <w:jc w:val="center"/>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Complete compliance</w:t>
            </w:r>
          </w:p>
        </w:tc>
        <w:tc>
          <w:tcPr>
            <w:tcW w:w="949" w:type="pct"/>
            <w:tcBorders>
              <w:top w:val="single" w:sz="4" w:space="0" w:color="auto"/>
              <w:left w:val="nil"/>
              <w:bottom w:val="nil"/>
              <w:right w:val="nil"/>
            </w:tcBorders>
            <w:tcMar>
              <w:top w:w="-1" w:type="dxa"/>
              <w:left w:w="-1" w:type="dxa"/>
              <w:bottom w:w="-1" w:type="dxa"/>
              <w:right w:w="-1" w:type="dxa"/>
            </w:tcMar>
          </w:tcPr>
          <w:p w14:paraId="6097C5F0" w14:textId="77777777" w:rsidR="00E3390E" w:rsidRPr="00AB360C" w:rsidRDefault="00000000" w:rsidP="00AB360C">
            <w:pPr>
              <w:snapToGrid w:val="0"/>
              <w:jc w:val="center"/>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Partial compliance</w:t>
            </w:r>
          </w:p>
        </w:tc>
        <w:tc>
          <w:tcPr>
            <w:tcW w:w="921" w:type="pct"/>
            <w:tcBorders>
              <w:top w:val="single" w:sz="4" w:space="0" w:color="auto"/>
              <w:left w:val="nil"/>
              <w:bottom w:val="nil"/>
              <w:right w:val="nil"/>
            </w:tcBorders>
            <w:tcMar>
              <w:top w:w="-1" w:type="dxa"/>
              <w:left w:w="-1" w:type="dxa"/>
              <w:bottom w:w="-1" w:type="dxa"/>
              <w:right w:w="-1" w:type="dxa"/>
            </w:tcMar>
          </w:tcPr>
          <w:p w14:paraId="3991628D" w14:textId="77777777" w:rsidR="00E3390E" w:rsidRPr="00AB360C" w:rsidRDefault="00000000" w:rsidP="00AB360C">
            <w:pPr>
              <w:snapToGrid w:val="0"/>
              <w:jc w:val="center"/>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Non-compliance</w:t>
            </w:r>
          </w:p>
        </w:tc>
        <w:tc>
          <w:tcPr>
            <w:tcW w:w="868" w:type="pct"/>
            <w:tcBorders>
              <w:top w:val="single" w:sz="4" w:space="0" w:color="auto"/>
              <w:left w:val="nil"/>
              <w:bottom w:val="nil"/>
              <w:right w:val="nil"/>
            </w:tcBorders>
            <w:tcMar>
              <w:top w:w="-1" w:type="dxa"/>
              <w:left w:w="-1" w:type="dxa"/>
              <w:bottom w:w="-1" w:type="dxa"/>
              <w:right w:w="-1" w:type="dxa"/>
            </w:tcMar>
          </w:tcPr>
          <w:p w14:paraId="197E9750" w14:textId="77777777" w:rsidR="00E3390E" w:rsidRPr="00AB360C" w:rsidRDefault="00000000" w:rsidP="00AB360C">
            <w:pPr>
              <w:snapToGrid w:val="0"/>
              <w:jc w:val="center"/>
              <w:rPr>
                <w:rFonts w:ascii="Times New Roman" w:hAnsi="Times New Roman"/>
                <w:b/>
                <w:bCs/>
                <w:sz w:val="24"/>
                <w:szCs w:val="24"/>
              </w:rPr>
            </w:pPr>
            <w:r w:rsidRPr="00AB360C">
              <w:rPr>
                <w:rFonts w:ascii="Times New Roman" w:eastAsia="Segoe UI" w:hAnsi="Times New Roman"/>
                <w:b/>
                <w:bCs/>
                <w:color w:val="0F1115"/>
                <w:sz w:val="24"/>
                <w:szCs w:val="24"/>
                <w:shd w:val="clear" w:color="auto" w:fill="FFFFFF"/>
              </w:rPr>
              <w:t>Compliance rate</w:t>
            </w:r>
          </w:p>
        </w:tc>
      </w:tr>
      <w:tr w:rsidR="00E3390E" w14:paraId="61DEF16B" w14:textId="77777777">
        <w:trPr>
          <w:tblHeader/>
          <w:jc w:val="center"/>
        </w:trPr>
        <w:tc>
          <w:tcPr>
            <w:tcW w:w="955" w:type="pct"/>
            <w:tcBorders>
              <w:top w:val="single" w:sz="4" w:space="0" w:color="auto"/>
              <w:left w:val="nil"/>
              <w:bottom w:val="nil"/>
              <w:right w:val="nil"/>
            </w:tcBorders>
            <w:tcMar>
              <w:top w:w="-1" w:type="dxa"/>
              <w:left w:w="-1" w:type="dxa"/>
              <w:bottom w:w="-1" w:type="dxa"/>
              <w:right w:w="-1" w:type="dxa"/>
            </w:tcMar>
          </w:tcPr>
          <w:p w14:paraId="4174CF28" w14:textId="77777777" w:rsidR="00E3390E" w:rsidRDefault="00000000" w:rsidP="00E229D1">
            <w:pPr>
              <w:snapToGrid w:val="0"/>
              <w:rPr>
                <w:rFonts w:ascii="Times New Roman" w:hAnsi="Times New Roman"/>
                <w:sz w:val="24"/>
                <w:szCs w:val="24"/>
              </w:rPr>
            </w:pPr>
            <w:r>
              <w:rPr>
                <w:rFonts w:ascii="Times New Roman" w:eastAsia="Segoe UI" w:hAnsi="Times New Roman"/>
                <w:color w:val="0F1115"/>
                <w:sz w:val="24"/>
                <w:szCs w:val="24"/>
                <w:shd w:val="clear" w:color="auto" w:fill="FFFFFF"/>
              </w:rPr>
              <w:t>Observation group</w:t>
            </w:r>
          </w:p>
        </w:tc>
        <w:tc>
          <w:tcPr>
            <w:tcW w:w="231" w:type="pct"/>
            <w:tcBorders>
              <w:top w:val="single" w:sz="4" w:space="0" w:color="auto"/>
              <w:left w:val="nil"/>
              <w:bottom w:val="nil"/>
              <w:right w:val="nil"/>
            </w:tcBorders>
            <w:tcMar>
              <w:top w:w="-1" w:type="dxa"/>
              <w:left w:w="-1" w:type="dxa"/>
              <w:bottom w:w="-1" w:type="dxa"/>
              <w:right w:w="-1" w:type="dxa"/>
            </w:tcMar>
          </w:tcPr>
          <w:p w14:paraId="393C0AFF"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40</w:t>
            </w:r>
          </w:p>
        </w:tc>
        <w:tc>
          <w:tcPr>
            <w:tcW w:w="1073" w:type="pct"/>
            <w:tcBorders>
              <w:top w:val="single" w:sz="4" w:space="0" w:color="auto"/>
              <w:left w:val="nil"/>
              <w:bottom w:val="nil"/>
              <w:right w:val="nil"/>
            </w:tcBorders>
            <w:tcMar>
              <w:top w:w="-1" w:type="dxa"/>
              <w:left w:w="-1" w:type="dxa"/>
              <w:bottom w:w="-1" w:type="dxa"/>
              <w:right w:w="-1" w:type="dxa"/>
            </w:tcMar>
          </w:tcPr>
          <w:p w14:paraId="4F7EADD4"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22(55.00)</w:t>
            </w:r>
          </w:p>
        </w:tc>
        <w:tc>
          <w:tcPr>
            <w:tcW w:w="949" w:type="pct"/>
            <w:tcBorders>
              <w:top w:val="single" w:sz="4" w:space="0" w:color="auto"/>
              <w:left w:val="nil"/>
              <w:bottom w:val="nil"/>
              <w:right w:val="nil"/>
            </w:tcBorders>
            <w:tcMar>
              <w:top w:w="-1" w:type="dxa"/>
              <w:left w:w="-1" w:type="dxa"/>
              <w:bottom w:w="-1" w:type="dxa"/>
              <w:right w:w="-1" w:type="dxa"/>
            </w:tcMar>
          </w:tcPr>
          <w:p w14:paraId="49DF8C03"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16(40.00)</w:t>
            </w:r>
          </w:p>
        </w:tc>
        <w:tc>
          <w:tcPr>
            <w:tcW w:w="921" w:type="pct"/>
            <w:tcBorders>
              <w:top w:val="single" w:sz="4" w:space="0" w:color="auto"/>
              <w:left w:val="nil"/>
              <w:bottom w:val="nil"/>
              <w:right w:val="nil"/>
            </w:tcBorders>
            <w:tcMar>
              <w:top w:w="-1" w:type="dxa"/>
              <w:left w:w="-1" w:type="dxa"/>
              <w:bottom w:w="-1" w:type="dxa"/>
              <w:right w:w="-1" w:type="dxa"/>
            </w:tcMar>
          </w:tcPr>
          <w:p w14:paraId="200B1B72"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2(5.00)</w:t>
            </w:r>
          </w:p>
        </w:tc>
        <w:tc>
          <w:tcPr>
            <w:tcW w:w="868" w:type="pct"/>
            <w:tcBorders>
              <w:top w:val="single" w:sz="4" w:space="0" w:color="auto"/>
              <w:left w:val="nil"/>
              <w:bottom w:val="nil"/>
              <w:right w:val="nil"/>
            </w:tcBorders>
            <w:tcMar>
              <w:top w:w="-1" w:type="dxa"/>
              <w:left w:w="-1" w:type="dxa"/>
              <w:bottom w:w="-1" w:type="dxa"/>
              <w:right w:w="-1" w:type="dxa"/>
            </w:tcMar>
          </w:tcPr>
          <w:p w14:paraId="65289B69"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22(55.00)</w:t>
            </w:r>
          </w:p>
        </w:tc>
      </w:tr>
      <w:tr w:rsidR="00E3390E" w14:paraId="6E7DD7BE" w14:textId="77777777">
        <w:trPr>
          <w:tblHeader/>
          <w:jc w:val="center"/>
        </w:trPr>
        <w:tc>
          <w:tcPr>
            <w:tcW w:w="955" w:type="pct"/>
            <w:tcBorders>
              <w:top w:val="nil"/>
              <w:left w:val="nil"/>
              <w:bottom w:val="nil"/>
              <w:right w:val="nil"/>
            </w:tcBorders>
            <w:tcMar>
              <w:top w:w="-1" w:type="dxa"/>
              <w:left w:w="-1" w:type="dxa"/>
              <w:bottom w:w="-1" w:type="dxa"/>
              <w:right w:w="-1" w:type="dxa"/>
            </w:tcMar>
          </w:tcPr>
          <w:p w14:paraId="40E093C0" w14:textId="77777777" w:rsidR="00E3390E" w:rsidRDefault="00000000" w:rsidP="00E229D1">
            <w:pPr>
              <w:snapToGrid w:val="0"/>
              <w:rPr>
                <w:rFonts w:ascii="Times New Roman" w:hAnsi="Times New Roman"/>
                <w:sz w:val="24"/>
                <w:szCs w:val="24"/>
              </w:rPr>
            </w:pPr>
            <w:r>
              <w:rPr>
                <w:rFonts w:ascii="Times New Roman" w:eastAsia="Segoe UI" w:hAnsi="Times New Roman"/>
                <w:color w:val="0F1115"/>
                <w:sz w:val="24"/>
                <w:szCs w:val="24"/>
                <w:shd w:val="clear" w:color="auto" w:fill="FFFFFF"/>
              </w:rPr>
              <w:t>Control group</w:t>
            </w:r>
          </w:p>
        </w:tc>
        <w:tc>
          <w:tcPr>
            <w:tcW w:w="231" w:type="pct"/>
            <w:tcBorders>
              <w:top w:val="nil"/>
              <w:left w:val="nil"/>
              <w:bottom w:val="nil"/>
              <w:right w:val="nil"/>
            </w:tcBorders>
            <w:tcMar>
              <w:top w:w="-1" w:type="dxa"/>
              <w:left w:w="-1" w:type="dxa"/>
              <w:bottom w:w="-1" w:type="dxa"/>
              <w:right w:w="-1" w:type="dxa"/>
            </w:tcMar>
          </w:tcPr>
          <w:p w14:paraId="02910C96"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40</w:t>
            </w:r>
          </w:p>
        </w:tc>
        <w:tc>
          <w:tcPr>
            <w:tcW w:w="1073" w:type="pct"/>
            <w:tcBorders>
              <w:top w:val="nil"/>
              <w:left w:val="nil"/>
              <w:bottom w:val="nil"/>
              <w:right w:val="nil"/>
            </w:tcBorders>
            <w:tcMar>
              <w:top w:w="-1" w:type="dxa"/>
              <w:left w:w="-1" w:type="dxa"/>
              <w:bottom w:w="-1" w:type="dxa"/>
              <w:right w:w="-1" w:type="dxa"/>
            </w:tcMar>
          </w:tcPr>
          <w:p w14:paraId="119C962F"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11(27.50)</w:t>
            </w:r>
          </w:p>
        </w:tc>
        <w:tc>
          <w:tcPr>
            <w:tcW w:w="949" w:type="pct"/>
            <w:tcBorders>
              <w:top w:val="nil"/>
              <w:left w:val="nil"/>
              <w:bottom w:val="nil"/>
              <w:right w:val="nil"/>
            </w:tcBorders>
            <w:tcMar>
              <w:top w:w="-1" w:type="dxa"/>
              <w:left w:w="-1" w:type="dxa"/>
              <w:bottom w:w="-1" w:type="dxa"/>
              <w:right w:w="-1" w:type="dxa"/>
            </w:tcMar>
          </w:tcPr>
          <w:p w14:paraId="3F3A4BB0"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23(57.50)</w:t>
            </w:r>
          </w:p>
        </w:tc>
        <w:tc>
          <w:tcPr>
            <w:tcW w:w="921" w:type="pct"/>
            <w:tcBorders>
              <w:top w:val="nil"/>
              <w:left w:val="nil"/>
              <w:bottom w:val="nil"/>
              <w:right w:val="nil"/>
            </w:tcBorders>
            <w:tcMar>
              <w:top w:w="-1" w:type="dxa"/>
              <w:left w:w="-1" w:type="dxa"/>
              <w:bottom w:w="-1" w:type="dxa"/>
              <w:right w:w="-1" w:type="dxa"/>
            </w:tcMar>
          </w:tcPr>
          <w:p w14:paraId="3A767BC6"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6(15.00)</w:t>
            </w:r>
          </w:p>
        </w:tc>
        <w:tc>
          <w:tcPr>
            <w:tcW w:w="868" w:type="pct"/>
            <w:tcBorders>
              <w:top w:val="nil"/>
              <w:left w:val="nil"/>
              <w:bottom w:val="nil"/>
              <w:right w:val="nil"/>
            </w:tcBorders>
            <w:tcMar>
              <w:top w:w="-1" w:type="dxa"/>
              <w:left w:w="-1" w:type="dxa"/>
              <w:bottom w:w="-1" w:type="dxa"/>
              <w:right w:w="-1" w:type="dxa"/>
            </w:tcMar>
          </w:tcPr>
          <w:p w14:paraId="6E7736CA"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11(27.50)</w:t>
            </w:r>
          </w:p>
        </w:tc>
      </w:tr>
      <w:tr w:rsidR="00E3390E" w14:paraId="0AEE434B" w14:textId="77777777">
        <w:trPr>
          <w:tblHeader/>
          <w:jc w:val="center"/>
        </w:trPr>
        <w:tc>
          <w:tcPr>
            <w:tcW w:w="955" w:type="pct"/>
            <w:tcBorders>
              <w:top w:val="nil"/>
              <w:left w:val="nil"/>
              <w:bottom w:val="nil"/>
              <w:right w:val="nil"/>
            </w:tcBorders>
            <w:tcMar>
              <w:top w:w="-1" w:type="dxa"/>
              <w:left w:w="-1" w:type="dxa"/>
              <w:bottom w:w="-1" w:type="dxa"/>
              <w:right w:w="-1" w:type="dxa"/>
            </w:tcMar>
          </w:tcPr>
          <w:p w14:paraId="6CCA97AC" w14:textId="77777777" w:rsidR="00E3390E" w:rsidRDefault="00000000" w:rsidP="00E229D1">
            <w:pPr>
              <w:snapToGrid w:val="0"/>
              <w:rPr>
                <w:rFonts w:ascii="Times New Roman" w:hAnsi="Times New Roman"/>
                <w:sz w:val="24"/>
                <w:szCs w:val="24"/>
              </w:rPr>
            </w:pPr>
            <w:r>
              <w:rPr>
                <w:rFonts w:ascii="Times New Roman" w:eastAsia="Segoe UI" w:hAnsi="Times New Roman"/>
                <w:color w:val="0F1115"/>
                <w:sz w:val="24"/>
                <w:szCs w:val="24"/>
                <w:shd w:val="clear" w:color="auto" w:fill="FFFFFF"/>
              </w:rPr>
              <w:t>χ²</w:t>
            </w:r>
          </w:p>
        </w:tc>
        <w:tc>
          <w:tcPr>
            <w:tcW w:w="231" w:type="pct"/>
            <w:tcBorders>
              <w:top w:val="nil"/>
              <w:left w:val="nil"/>
              <w:bottom w:val="nil"/>
              <w:right w:val="nil"/>
            </w:tcBorders>
            <w:tcMar>
              <w:top w:w="-1" w:type="dxa"/>
              <w:left w:w="-1" w:type="dxa"/>
              <w:bottom w:w="-1" w:type="dxa"/>
              <w:right w:w="-1" w:type="dxa"/>
            </w:tcMar>
          </w:tcPr>
          <w:p w14:paraId="332980DF"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1073" w:type="pct"/>
            <w:tcBorders>
              <w:top w:val="nil"/>
              <w:left w:val="nil"/>
              <w:bottom w:val="nil"/>
              <w:right w:val="nil"/>
            </w:tcBorders>
            <w:tcMar>
              <w:top w:w="-1" w:type="dxa"/>
              <w:left w:w="-1" w:type="dxa"/>
              <w:bottom w:w="-1" w:type="dxa"/>
              <w:right w:w="-1" w:type="dxa"/>
            </w:tcMar>
          </w:tcPr>
          <w:p w14:paraId="5A41A754"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949" w:type="pct"/>
            <w:tcBorders>
              <w:top w:val="nil"/>
              <w:left w:val="nil"/>
              <w:bottom w:val="nil"/>
              <w:right w:val="nil"/>
            </w:tcBorders>
            <w:tcMar>
              <w:top w:w="-1" w:type="dxa"/>
              <w:left w:w="-1" w:type="dxa"/>
              <w:bottom w:w="-1" w:type="dxa"/>
              <w:right w:w="-1" w:type="dxa"/>
            </w:tcMar>
          </w:tcPr>
          <w:p w14:paraId="23BD23D3"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921" w:type="pct"/>
            <w:tcBorders>
              <w:top w:val="nil"/>
              <w:left w:val="nil"/>
              <w:bottom w:val="nil"/>
              <w:right w:val="nil"/>
            </w:tcBorders>
            <w:tcMar>
              <w:top w:w="-1" w:type="dxa"/>
              <w:left w:w="-1" w:type="dxa"/>
              <w:bottom w:w="-1" w:type="dxa"/>
              <w:right w:w="-1" w:type="dxa"/>
            </w:tcMar>
          </w:tcPr>
          <w:p w14:paraId="2A14151E"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868" w:type="pct"/>
            <w:tcBorders>
              <w:top w:val="nil"/>
              <w:left w:val="nil"/>
              <w:bottom w:val="nil"/>
              <w:right w:val="nil"/>
            </w:tcBorders>
            <w:tcMar>
              <w:top w:w="-1" w:type="dxa"/>
              <w:left w:w="-1" w:type="dxa"/>
              <w:bottom w:w="-1" w:type="dxa"/>
              <w:right w:w="-1" w:type="dxa"/>
            </w:tcMar>
          </w:tcPr>
          <w:p w14:paraId="5F7AF3F7"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6.241</w:t>
            </w:r>
          </w:p>
        </w:tc>
      </w:tr>
      <w:tr w:rsidR="00E3390E" w14:paraId="28CA556E" w14:textId="77777777" w:rsidTr="00AB360C">
        <w:trPr>
          <w:tblHeader/>
          <w:jc w:val="center"/>
        </w:trPr>
        <w:tc>
          <w:tcPr>
            <w:tcW w:w="955" w:type="pct"/>
            <w:tcBorders>
              <w:top w:val="nil"/>
              <w:left w:val="nil"/>
              <w:bottom w:val="single" w:sz="4" w:space="0" w:color="auto"/>
              <w:right w:val="nil"/>
            </w:tcBorders>
            <w:tcMar>
              <w:top w:w="-1" w:type="dxa"/>
              <w:left w:w="-1" w:type="dxa"/>
              <w:bottom w:w="-1" w:type="dxa"/>
              <w:right w:w="-1" w:type="dxa"/>
            </w:tcMar>
          </w:tcPr>
          <w:p w14:paraId="719851AF" w14:textId="2DAD2967" w:rsidR="00E3390E" w:rsidRDefault="00E229D1" w:rsidP="00E229D1">
            <w:pPr>
              <w:snapToGrid w:val="0"/>
              <w:rPr>
                <w:rFonts w:ascii="Times New Roman" w:hAnsi="Times New Roman"/>
                <w:sz w:val="24"/>
                <w:szCs w:val="24"/>
              </w:rPr>
            </w:pPr>
            <w:r>
              <w:rPr>
                <w:rFonts w:ascii="Times New Roman" w:eastAsia="Segoe UI" w:hAnsi="Times New Roman"/>
                <w:i/>
                <w:iCs/>
                <w:color w:val="0F1115"/>
                <w:sz w:val="24"/>
                <w:szCs w:val="24"/>
                <w:shd w:val="clear" w:color="auto" w:fill="FFFFFF"/>
              </w:rPr>
              <w:t>p</w:t>
            </w:r>
          </w:p>
        </w:tc>
        <w:tc>
          <w:tcPr>
            <w:tcW w:w="231" w:type="pct"/>
            <w:tcBorders>
              <w:top w:val="nil"/>
              <w:left w:val="nil"/>
              <w:bottom w:val="single" w:sz="4" w:space="0" w:color="auto"/>
              <w:right w:val="nil"/>
            </w:tcBorders>
            <w:tcMar>
              <w:top w:w="-1" w:type="dxa"/>
              <w:left w:w="-1" w:type="dxa"/>
              <w:bottom w:w="-1" w:type="dxa"/>
              <w:right w:w="-1" w:type="dxa"/>
            </w:tcMar>
          </w:tcPr>
          <w:p w14:paraId="7B82A4AD"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1073" w:type="pct"/>
            <w:tcBorders>
              <w:top w:val="nil"/>
              <w:left w:val="nil"/>
              <w:bottom w:val="single" w:sz="4" w:space="0" w:color="auto"/>
              <w:right w:val="nil"/>
            </w:tcBorders>
            <w:tcMar>
              <w:top w:w="-1" w:type="dxa"/>
              <w:left w:w="-1" w:type="dxa"/>
              <w:bottom w:w="-1" w:type="dxa"/>
              <w:right w:w="-1" w:type="dxa"/>
            </w:tcMar>
          </w:tcPr>
          <w:p w14:paraId="5DF475A9"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949" w:type="pct"/>
            <w:tcBorders>
              <w:top w:val="nil"/>
              <w:left w:val="nil"/>
              <w:bottom w:val="single" w:sz="4" w:space="0" w:color="auto"/>
              <w:right w:val="nil"/>
            </w:tcBorders>
            <w:tcMar>
              <w:top w:w="-1" w:type="dxa"/>
              <w:left w:w="-1" w:type="dxa"/>
              <w:bottom w:w="-1" w:type="dxa"/>
              <w:right w:w="-1" w:type="dxa"/>
            </w:tcMar>
          </w:tcPr>
          <w:p w14:paraId="0652B521"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921" w:type="pct"/>
            <w:tcBorders>
              <w:top w:val="nil"/>
              <w:left w:val="nil"/>
              <w:bottom w:val="single" w:sz="4" w:space="0" w:color="auto"/>
              <w:right w:val="nil"/>
            </w:tcBorders>
            <w:tcMar>
              <w:top w:w="-1" w:type="dxa"/>
              <w:left w:w="-1" w:type="dxa"/>
              <w:bottom w:w="-1" w:type="dxa"/>
              <w:right w:w="-1" w:type="dxa"/>
            </w:tcMar>
          </w:tcPr>
          <w:p w14:paraId="2DFB7992"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w:t>
            </w:r>
          </w:p>
        </w:tc>
        <w:tc>
          <w:tcPr>
            <w:tcW w:w="868" w:type="pct"/>
            <w:tcBorders>
              <w:top w:val="nil"/>
              <w:left w:val="nil"/>
              <w:bottom w:val="single" w:sz="4" w:space="0" w:color="auto"/>
              <w:right w:val="nil"/>
            </w:tcBorders>
            <w:tcMar>
              <w:top w:w="-1" w:type="dxa"/>
              <w:left w:w="-1" w:type="dxa"/>
              <w:bottom w:w="-1" w:type="dxa"/>
              <w:right w:w="-1" w:type="dxa"/>
            </w:tcMar>
          </w:tcPr>
          <w:p w14:paraId="2373B3ED" w14:textId="77777777" w:rsidR="00E3390E" w:rsidRDefault="00000000" w:rsidP="00AB360C">
            <w:pPr>
              <w:snapToGrid w:val="0"/>
              <w:jc w:val="center"/>
              <w:rPr>
                <w:rFonts w:ascii="Times New Roman" w:hAnsi="Times New Roman"/>
                <w:sz w:val="24"/>
                <w:szCs w:val="24"/>
              </w:rPr>
            </w:pPr>
            <w:r>
              <w:rPr>
                <w:rFonts w:ascii="Times New Roman" w:eastAsia="Segoe UI" w:hAnsi="Times New Roman"/>
                <w:color w:val="0F1115"/>
                <w:sz w:val="24"/>
                <w:szCs w:val="24"/>
                <w:shd w:val="clear" w:color="auto" w:fill="FFFFFF"/>
              </w:rPr>
              <w:t>0.012</w:t>
            </w:r>
          </w:p>
        </w:tc>
      </w:tr>
    </w:tbl>
    <w:p w14:paraId="753C17A0" w14:textId="77777777" w:rsidR="00E3390E" w:rsidRDefault="00E3390E" w:rsidP="00E229D1">
      <w:pPr>
        <w:snapToGrid w:val="0"/>
        <w:rPr>
          <w:rFonts w:ascii="Times New Roman" w:eastAsia="Segoe UI" w:hAnsi="Times New Roman"/>
          <w:color w:val="0F1115"/>
          <w:sz w:val="24"/>
          <w:szCs w:val="24"/>
          <w:shd w:val="clear" w:color="auto" w:fill="FFFFFF"/>
        </w:rPr>
      </w:pPr>
    </w:p>
    <w:p w14:paraId="1D635DF2" w14:textId="77777777" w:rsidR="00E3390E" w:rsidRDefault="00000000" w:rsidP="00E229D1">
      <w:pPr>
        <w:snapToGrid w:val="0"/>
        <w:rPr>
          <w:rFonts w:ascii="Times New Roman" w:eastAsia="Segoe UI" w:hAnsi="Times New Roman"/>
          <w:color w:val="0F1115"/>
          <w:sz w:val="24"/>
          <w:szCs w:val="24"/>
          <w:shd w:val="clear" w:color="auto" w:fill="FFFFFF"/>
        </w:rPr>
      </w:pPr>
      <w:r>
        <w:rPr>
          <w:rFonts w:ascii="Times New Roman" w:eastAsia="Segoe UI" w:hAnsi="Times New Roman"/>
          <w:b/>
          <w:bCs/>
          <w:color w:val="0F1115"/>
          <w:sz w:val="24"/>
          <w:szCs w:val="24"/>
          <w:shd w:val="clear" w:color="auto" w:fill="FFFFFF"/>
        </w:rPr>
        <w:t xml:space="preserve">Table </w:t>
      </w:r>
      <w:r>
        <w:rPr>
          <w:rFonts w:ascii="Times New Roman" w:eastAsia="SimSun" w:hAnsi="Times New Roman" w:hint="eastAsia"/>
          <w:b/>
          <w:bCs/>
          <w:color w:val="0F1115"/>
          <w:sz w:val="24"/>
          <w:szCs w:val="24"/>
          <w:shd w:val="clear" w:color="auto" w:fill="FFFFFF"/>
        </w:rPr>
        <w:t>3</w:t>
      </w:r>
      <w:r>
        <w:rPr>
          <w:rFonts w:ascii="Times New Roman" w:eastAsia="SimSun" w:hAnsi="Times New Roman"/>
          <w:b/>
          <w:bCs/>
          <w:color w:val="0F1115"/>
          <w:sz w:val="24"/>
          <w:szCs w:val="24"/>
          <w:shd w:val="clear" w:color="auto" w:fill="FFFFFF"/>
        </w:rPr>
        <w:t>.</w:t>
      </w:r>
      <w:r>
        <w:rPr>
          <w:rFonts w:ascii="Times New Roman" w:eastAsia="Segoe UI" w:hAnsi="Times New Roman"/>
          <w:b/>
          <w:bCs/>
          <w:color w:val="0F1115"/>
          <w:sz w:val="24"/>
          <w:szCs w:val="24"/>
          <w:shd w:val="clear" w:color="auto" w:fill="FFFFFF"/>
        </w:rPr>
        <w:t xml:space="preserve"> </w:t>
      </w:r>
      <w:r>
        <w:rPr>
          <w:rFonts w:ascii="Times New Roman" w:eastAsia="Segoe UI" w:hAnsi="Times New Roman"/>
          <w:color w:val="0F1115"/>
          <w:sz w:val="24"/>
          <w:szCs w:val="24"/>
          <w:shd w:val="clear" w:color="auto" w:fill="FFFFFF"/>
        </w:rPr>
        <w:t xml:space="preserve">Comparison of </w:t>
      </w:r>
      <w:r>
        <w:rPr>
          <w:rFonts w:ascii="Times New Roman" w:eastAsia="SimSun" w:hAnsi="Times New Roman" w:hint="eastAsia"/>
          <w:color w:val="0F1115"/>
          <w:sz w:val="24"/>
          <w:szCs w:val="24"/>
          <w:shd w:val="clear" w:color="auto" w:fill="FFFFFF"/>
        </w:rPr>
        <w:t>c</w:t>
      </w:r>
      <w:r>
        <w:rPr>
          <w:rFonts w:ascii="Times New Roman" w:eastAsia="Segoe UI" w:hAnsi="Times New Roman"/>
          <w:color w:val="0F1115"/>
          <w:sz w:val="24"/>
          <w:szCs w:val="24"/>
          <w:shd w:val="clear" w:color="auto" w:fill="FFFFFF"/>
        </w:rPr>
        <w:t xml:space="preserve">ompliance </w:t>
      </w:r>
      <w:r>
        <w:rPr>
          <w:rFonts w:ascii="Times New Roman" w:eastAsia="SimSun" w:hAnsi="Times New Roman" w:hint="eastAsia"/>
          <w:color w:val="0F1115"/>
          <w:sz w:val="24"/>
          <w:szCs w:val="24"/>
          <w:shd w:val="clear" w:color="auto" w:fill="FFFFFF"/>
        </w:rPr>
        <w:t>r</w:t>
      </w:r>
      <w:r>
        <w:rPr>
          <w:rFonts w:ascii="Times New Roman" w:eastAsia="Segoe UI" w:hAnsi="Times New Roman"/>
          <w:color w:val="0F1115"/>
          <w:sz w:val="24"/>
          <w:szCs w:val="24"/>
          <w:shd w:val="clear" w:color="auto" w:fill="FFFFFF"/>
        </w:rPr>
        <w:t xml:space="preserve">ates in </w:t>
      </w:r>
      <w:r>
        <w:rPr>
          <w:rFonts w:ascii="Times New Roman" w:eastAsia="SimSun" w:hAnsi="Times New Roman" w:hint="eastAsia"/>
          <w:color w:val="0F1115"/>
          <w:sz w:val="24"/>
          <w:szCs w:val="24"/>
          <w:shd w:val="clear" w:color="auto" w:fill="FFFFFF"/>
        </w:rPr>
        <w:t>r</w:t>
      </w:r>
      <w:r>
        <w:rPr>
          <w:rFonts w:ascii="Times New Roman" w:eastAsia="Segoe UI" w:hAnsi="Times New Roman"/>
          <w:color w:val="0F1115"/>
          <w:sz w:val="24"/>
          <w:szCs w:val="24"/>
          <w:shd w:val="clear" w:color="auto" w:fill="FFFFFF"/>
        </w:rPr>
        <w:t xml:space="preserve">ehabilitation </w:t>
      </w:r>
      <w:r>
        <w:rPr>
          <w:rFonts w:ascii="Times New Roman" w:eastAsia="SimSun" w:hAnsi="Times New Roman" w:hint="eastAsia"/>
          <w:color w:val="0F1115"/>
          <w:sz w:val="24"/>
          <w:szCs w:val="24"/>
          <w:shd w:val="clear" w:color="auto" w:fill="FFFFFF"/>
        </w:rPr>
        <w:t>t</w:t>
      </w:r>
      <w:r>
        <w:rPr>
          <w:rFonts w:ascii="Times New Roman" w:eastAsia="Segoe UI" w:hAnsi="Times New Roman"/>
          <w:color w:val="0F1115"/>
          <w:sz w:val="24"/>
          <w:szCs w:val="24"/>
          <w:shd w:val="clear" w:color="auto" w:fill="FFFFFF"/>
        </w:rPr>
        <w:t>reatment (n, %)</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960"/>
        <w:gridCol w:w="445"/>
        <w:gridCol w:w="2672"/>
        <w:gridCol w:w="2373"/>
        <w:gridCol w:w="2188"/>
      </w:tblGrid>
      <w:tr w:rsidR="00E3390E" w14:paraId="5F9D7506" w14:textId="77777777" w:rsidTr="00AB360C">
        <w:trPr>
          <w:tblHeader/>
          <w:jc w:val="center"/>
        </w:trPr>
        <w:tc>
          <w:tcPr>
            <w:tcW w:w="1017" w:type="pct"/>
            <w:tcBorders>
              <w:top w:val="single" w:sz="4" w:space="0" w:color="auto"/>
              <w:left w:val="nil"/>
              <w:bottom w:val="nil"/>
              <w:right w:val="nil"/>
            </w:tcBorders>
            <w:tcMar>
              <w:top w:w="-1" w:type="dxa"/>
              <w:left w:w="-1" w:type="dxa"/>
              <w:bottom w:w="-1" w:type="dxa"/>
              <w:right w:w="-1" w:type="dxa"/>
            </w:tcMar>
          </w:tcPr>
          <w:p w14:paraId="0817DA78" w14:textId="77777777" w:rsidR="00E3390E" w:rsidRPr="00AB360C" w:rsidRDefault="00000000" w:rsidP="00E229D1">
            <w:pPr>
              <w:pStyle w:val="NormalWeb"/>
              <w:widowControl/>
              <w:snapToGrid w:val="0"/>
              <w:rPr>
                <w:rFonts w:ascii="Times New Roman" w:hAnsi="Times New Roman"/>
                <w:b/>
                <w:bCs/>
                <w:szCs w:val="24"/>
              </w:rPr>
            </w:pPr>
            <w:r w:rsidRPr="00AB360C">
              <w:rPr>
                <w:rFonts w:ascii="Times New Roman" w:eastAsia="Segoe UI" w:hAnsi="Times New Roman"/>
                <w:b/>
                <w:bCs/>
                <w:color w:val="0F1115"/>
                <w:szCs w:val="24"/>
                <w:shd w:val="clear" w:color="auto" w:fill="FFFFFF"/>
              </w:rPr>
              <w:t>Group</w:t>
            </w:r>
          </w:p>
        </w:tc>
        <w:tc>
          <w:tcPr>
            <w:tcW w:w="231" w:type="pct"/>
            <w:tcBorders>
              <w:top w:val="single" w:sz="4" w:space="0" w:color="auto"/>
              <w:left w:val="nil"/>
              <w:bottom w:val="nil"/>
              <w:right w:val="nil"/>
            </w:tcBorders>
            <w:tcMar>
              <w:top w:w="-1" w:type="dxa"/>
              <w:left w:w="-1" w:type="dxa"/>
              <w:bottom w:w="-1" w:type="dxa"/>
              <w:right w:w="-1" w:type="dxa"/>
            </w:tcMar>
          </w:tcPr>
          <w:p w14:paraId="1624E0FF" w14:textId="77777777" w:rsidR="00E3390E" w:rsidRPr="00AB360C" w:rsidRDefault="00000000" w:rsidP="00AB360C">
            <w:pPr>
              <w:pStyle w:val="NormalWeb"/>
              <w:widowControl/>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n</w:t>
            </w:r>
          </w:p>
        </w:tc>
        <w:tc>
          <w:tcPr>
            <w:tcW w:w="1386" w:type="pct"/>
            <w:tcBorders>
              <w:top w:val="single" w:sz="4" w:space="0" w:color="auto"/>
              <w:left w:val="nil"/>
              <w:bottom w:val="nil"/>
              <w:right w:val="nil"/>
            </w:tcBorders>
            <w:tcMar>
              <w:top w:w="-1" w:type="dxa"/>
              <w:left w:w="-1" w:type="dxa"/>
              <w:bottom w:w="-1" w:type="dxa"/>
              <w:right w:w="-1" w:type="dxa"/>
            </w:tcMar>
          </w:tcPr>
          <w:p w14:paraId="1FD86158" w14:textId="77777777" w:rsidR="00E3390E" w:rsidRPr="00AB360C" w:rsidRDefault="00000000" w:rsidP="00AB360C">
            <w:pPr>
              <w:pStyle w:val="NormalWeb"/>
              <w:widowControl/>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Complete compliance rate</w:t>
            </w:r>
          </w:p>
        </w:tc>
        <w:tc>
          <w:tcPr>
            <w:tcW w:w="1231" w:type="pct"/>
            <w:tcBorders>
              <w:top w:val="single" w:sz="4" w:space="0" w:color="auto"/>
              <w:left w:val="nil"/>
              <w:bottom w:val="nil"/>
              <w:right w:val="nil"/>
            </w:tcBorders>
            <w:tcMar>
              <w:top w:w="-1" w:type="dxa"/>
              <w:left w:w="-1" w:type="dxa"/>
              <w:bottom w:w="-1" w:type="dxa"/>
              <w:right w:w="-1" w:type="dxa"/>
            </w:tcMar>
          </w:tcPr>
          <w:p w14:paraId="4B1B241E" w14:textId="77777777" w:rsidR="00E3390E" w:rsidRPr="00AB360C" w:rsidRDefault="00000000" w:rsidP="00AB360C">
            <w:pPr>
              <w:pStyle w:val="NormalWeb"/>
              <w:widowControl/>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Partial compliance rate</w:t>
            </w:r>
          </w:p>
        </w:tc>
        <w:tc>
          <w:tcPr>
            <w:tcW w:w="1135" w:type="pct"/>
            <w:tcBorders>
              <w:top w:val="single" w:sz="4" w:space="0" w:color="auto"/>
              <w:left w:val="nil"/>
              <w:bottom w:val="nil"/>
              <w:right w:val="nil"/>
            </w:tcBorders>
            <w:tcMar>
              <w:top w:w="-1" w:type="dxa"/>
              <w:left w:w="-1" w:type="dxa"/>
              <w:bottom w:w="-1" w:type="dxa"/>
              <w:right w:w="-1" w:type="dxa"/>
            </w:tcMar>
          </w:tcPr>
          <w:p w14:paraId="6B4560BF" w14:textId="77777777" w:rsidR="00E3390E" w:rsidRPr="00AB360C" w:rsidRDefault="00000000" w:rsidP="00AB360C">
            <w:pPr>
              <w:pStyle w:val="NormalWeb"/>
              <w:widowControl/>
              <w:snapToGrid w:val="0"/>
              <w:jc w:val="center"/>
              <w:rPr>
                <w:rFonts w:ascii="Times New Roman" w:hAnsi="Times New Roman"/>
                <w:b/>
                <w:bCs/>
                <w:szCs w:val="24"/>
              </w:rPr>
            </w:pPr>
            <w:r w:rsidRPr="00AB360C">
              <w:rPr>
                <w:rFonts w:ascii="Times New Roman" w:eastAsia="Segoe UI" w:hAnsi="Times New Roman"/>
                <w:b/>
                <w:bCs/>
                <w:color w:val="0F1115"/>
                <w:szCs w:val="24"/>
                <w:shd w:val="clear" w:color="auto" w:fill="FFFFFF"/>
              </w:rPr>
              <w:t>Non-compliance rate</w:t>
            </w:r>
          </w:p>
        </w:tc>
      </w:tr>
      <w:tr w:rsidR="00E3390E" w14:paraId="5DB0DE06" w14:textId="77777777" w:rsidTr="00AB360C">
        <w:trPr>
          <w:tblHeader/>
          <w:jc w:val="center"/>
        </w:trPr>
        <w:tc>
          <w:tcPr>
            <w:tcW w:w="1017" w:type="pct"/>
            <w:tcBorders>
              <w:top w:val="single" w:sz="4" w:space="0" w:color="auto"/>
              <w:left w:val="nil"/>
              <w:bottom w:val="nil"/>
              <w:right w:val="nil"/>
            </w:tcBorders>
            <w:tcMar>
              <w:top w:w="-1" w:type="dxa"/>
              <w:left w:w="-1" w:type="dxa"/>
              <w:bottom w:w="-1" w:type="dxa"/>
              <w:right w:w="-1" w:type="dxa"/>
            </w:tcMar>
          </w:tcPr>
          <w:p w14:paraId="369F47EA" w14:textId="77777777" w:rsidR="00E3390E" w:rsidRDefault="00000000" w:rsidP="00E229D1">
            <w:pPr>
              <w:pStyle w:val="NormalWeb"/>
              <w:widowControl/>
              <w:snapToGrid w:val="0"/>
              <w:rPr>
                <w:rFonts w:ascii="Times New Roman" w:hAnsi="Times New Roman"/>
                <w:szCs w:val="24"/>
              </w:rPr>
            </w:pPr>
            <w:r>
              <w:rPr>
                <w:rFonts w:ascii="Times New Roman" w:eastAsia="Segoe UI" w:hAnsi="Times New Roman"/>
                <w:color w:val="0F1115"/>
                <w:szCs w:val="24"/>
                <w:shd w:val="clear" w:color="auto" w:fill="FFFFFF"/>
              </w:rPr>
              <w:t>Observation group</w:t>
            </w:r>
          </w:p>
        </w:tc>
        <w:tc>
          <w:tcPr>
            <w:tcW w:w="231" w:type="pct"/>
            <w:tcBorders>
              <w:top w:val="single" w:sz="4" w:space="0" w:color="auto"/>
              <w:left w:val="nil"/>
              <w:bottom w:val="nil"/>
              <w:right w:val="nil"/>
            </w:tcBorders>
            <w:tcMar>
              <w:top w:w="-1" w:type="dxa"/>
              <w:left w:w="-1" w:type="dxa"/>
              <w:bottom w:w="-1" w:type="dxa"/>
              <w:right w:w="-1" w:type="dxa"/>
            </w:tcMar>
          </w:tcPr>
          <w:p w14:paraId="1796A298"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40</w:t>
            </w:r>
          </w:p>
        </w:tc>
        <w:tc>
          <w:tcPr>
            <w:tcW w:w="1386" w:type="pct"/>
            <w:tcBorders>
              <w:top w:val="single" w:sz="4" w:space="0" w:color="auto"/>
              <w:left w:val="nil"/>
              <w:bottom w:val="nil"/>
              <w:right w:val="nil"/>
            </w:tcBorders>
            <w:tcMar>
              <w:top w:w="-1" w:type="dxa"/>
              <w:left w:w="-1" w:type="dxa"/>
              <w:bottom w:w="-1" w:type="dxa"/>
              <w:right w:w="-1" w:type="dxa"/>
            </w:tcMar>
          </w:tcPr>
          <w:p w14:paraId="08E858BF" w14:textId="576EDC6C"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22</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(55.00)</w:t>
            </w:r>
          </w:p>
        </w:tc>
        <w:tc>
          <w:tcPr>
            <w:tcW w:w="1231" w:type="pct"/>
            <w:tcBorders>
              <w:top w:val="single" w:sz="4" w:space="0" w:color="auto"/>
              <w:left w:val="nil"/>
              <w:bottom w:val="nil"/>
              <w:right w:val="nil"/>
            </w:tcBorders>
            <w:tcMar>
              <w:top w:w="-1" w:type="dxa"/>
              <w:left w:w="-1" w:type="dxa"/>
              <w:bottom w:w="-1" w:type="dxa"/>
              <w:right w:w="-1" w:type="dxa"/>
            </w:tcMar>
          </w:tcPr>
          <w:p w14:paraId="54A13B5A" w14:textId="722B4E9F"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16</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40.00</w:t>
            </w:r>
            <w:r w:rsidR="00E229D1">
              <w:rPr>
                <w:rFonts w:ascii="Times New Roman" w:eastAsia="Segoe UI" w:hAnsi="Times New Roman"/>
                <w:color w:val="0F1115"/>
                <w:szCs w:val="24"/>
                <w:shd w:val="clear" w:color="auto" w:fill="FFFFFF"/>
              </w:rPr>
              <w:t>)</w:t>
            </w:r>
          </w:p>
        </w:tc>
        <w:tc>
          <w:tcPr>
            <w:tcW w:w="1135" w:type="pct"/>
            <w:tcBorders>
              <w:top w:val="single" w:sz="4" w:space="0" w:color="auto"/>
              <w:left w:val="nil"/>
              <w:bottom w:val="nil"/>
              <w:right w:val="nil"/>
            </w:tcBorders>
            <w:tcMar>
              <w:top w:w="-1" w:type="dxa"/>
              <w:left w:w="-1" w:type="dxa"/>
              <w:bottom w:w="-1" w:type="dxa"/>
              <w:right w:w="-1" w:type="dxa"/>
            </w:tcMar>
          </w:tcPr>
          <w:p w14:paraId="486ECCBA" w14:textId="3A5E7E60"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2</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5.00</w:t>
            </w:r>
            <w:r w:rsidR="00E229D1">
              <w:rPr>
                <w:rFonts w:ascii="Times New Roman" w:eastAsia="Segoe UI" w:hAnsi="Times New Roman"/>
                <w:color w:val="0F1115"/>
                <w:szCs w:val="24"/>
                <w:shd w:val="clear" w:color="auto" w:fill="FFFFFF"/>
              </w:rPr>
              <w:t>)</w:t>
            </w:r>
          </w:p>
        </w:tc>
      </w:tr>
      <w:tr w:rsidR="00E3390E" w14:paraId="555C8156" w14:textId="77777777" w:rsidTr="00AB360C">
        <w:trPr>
          <w:tblHeader/>
          <w:jc w:val="center"/>
        </w:trPr>
        <w:tc>
          <w:tcPr>
            <w:tcW w:w="1017" w:type="pct"/>
            <w:tcBorders>
              <w:top w:val="nil"/>
              <w:left w:val="nil"/>
              <w:bottom w:val="nil"/>
              <w:right w:val="nil"/>
            </w:tcBorders>
            <w:tcMar>
              <w:top w:w="-1" w:type="dxa"/>
              <w:left w:w="-1" w:type="dxa"/>
              <w:bottom w:w="-1" w:type="dxa"/>
              <w:right w:w="-1" w:type="dxa"/>
            </w:tcMar>
          </w:tcPr>
          <w:p w14:paraId="65427FF1" w14:textId="77777777" w:rsidR="00E3390E" w:rsidRDefault="00000000" w:rsidP="00E229D1">
            <w:pPr>
              <w:pStyle w:val="NormalWeb"/>
              <w:widowControl/>
              <w:snapToGrid w:val="0"/>
              <w:rPr>
                <w:rFonts w:ascii="Times New Roman" w:hAnsi="Times New Roman"/>
                <w:szCs w:val="24"/>
              </w:rPr>
            </w:pPr>
            <w:r>
              <w:rPr>
                <w:rFonts w:ascii="Times New Roman" w:eastAsia="Segoe UI" w:hAnsi="Times New Roman"/>
                <w:color w:val="0F1115"/>
                <w:szCs w:val="24"/>
                <w:shd w:val="clear" w:color="auto" w:fill="FFFFFF"/>
              </w:rPr>
              <w:t>Control group</w:t>
            </w:r>
          </w:p>
        </w:tc>
        <w:tc>
          <w:tcPr>
            <w:tcW w:w="231" w:type="pct"/>
            <w:tcBorders>
              <w:top w:val="nil"/>
              <w:left w:val="nil"/>
              <w:bottom w:val="nil"/>
              <w:right w:val="nil"/>
            </w:tcBorders>
            <w:tcMar>
              <w:top w:w="-1" w:type="dxa"/>
              <w:left w:w="-1" w:type="dxa"/>
              <w:bottom w:w="-1" w:type="dxa"/>
              <w:right w:w="-1" w:type="dxa"/>
            </w:tcMar>
          </w:tcPr>
          <w:p w14:paraId="433332BE"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40</w:t>
            </w:r>
          </w:p>
        </w:tc>
        <w:tc>
          <w:tcPr>
            <w:tcW w:w="1386" w:type="pct"/>
            <w:tcBorders>
              <w:top w:val="nil"/>
              <w:left w:val="nil"/>
              <w:bottom w:val="nil"/>
              <w:right w:val="nil"/>
            </w:tcBorders>
            <w:tcMar>
              <w:top w:w="-1" w:type="dxa"/>
              <w:left w:w="-1" w:type="dxa"/>
              <w:bottom w:w="-1" w:type="dxa"/>
              <w:right w:w="-1" w:type="dxa"/>
            </w:tcMar>
          </w:tcPr>
          <w:p w14:paraId="1E2E75F9" w14:textId="18CA280C"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11</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27.50</w:t>
            </w:r>
            <w:r w:rsidR="00E229D1">
              <w:rPr>
                <w:rFonts w:ascii="Times New Roman" w:eastAsia="Segoe UI" w:hAnsi="Times New Roman"/>
                <w:color w:val="0F1115"/>
                <w:szCs w:val="24"/>
                <w:shd w:val="clear" w:color="auto" w:fill="FFFFFF"/>
              </w:rPr>
              <w:t>)</w:t>
            </w:r>
          </w:p>
        </w:tc>
        <w:tc>
          <w:tcPr>
            <w:tcW w:w="1231" w:type="pct"/>
            <w:tcBorders>
              <w:top w:val="nil"/>
              <w:left w:val="nil"/>
              <w:bottom w:val="nil"/>
              <w:right w:val="nil"/>
            </w:tcBorders>
            <w:tcMar>
              <w:top w:w="-1" w:type="dxa"/>
              <w:left w:w="-1" w:type="dxa"/>
              <w:bottom w:w="-1" w:type="dxa"/>
              <w:right w:w="-1" w:type="dxa"/>
            </w:tcMar>
          </w:tcPr>
          <w:p w14:paraId="777087DA" w14:textId="23A678C3"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23</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57.50</w:t>
            </w:r>
            <w:r w:rsidR="00E229D1">
              <w:rPr>
                <w:rFonts w:ascii="Times New Roman" w:eastAsia="Segoe UI" w:hAnsi="Times New Roman"/>
                <w:color w:val="0F1115"/>
                <w:szCs w:val="24"/>
                <w:shd w:val="clear" w:color="auto" w:fill="FFFFFF"/>
              </w:rPr>
              <w:t>)</w:t>
            </w:r>
          </w:p>
        </w:tc>
        <w:tc>
          <w:tcPr>
            <w:tcW w:w="1135" w:type="pct"/>
            <w:tcBorders>
              <w:top w:val="nil"/>
              <w:left w:val="nil"/>
              <w:bottom w:val="nil"/>
              <w:right w:val="nil"/>
            </w:tcBorders>
            <w:tcMar>
              <w:top w:w="-1" w:type="dxa"/>
              <w:left w:w="-1" w:type="dxa"/>
              <w:bottom w:w="-1" w:type="dxa"/>
              <w:right w:w="-1" w:type="dxa"/>
            </w:tcMar>
          </w:tcPr>
          <w:p w14:paraId="3318B174" w14:textId="22008290"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6</w:t>
            </w:r>
            <w:r w:rsidR="00E229D1">
              <w:rPr>
                <w:rFonts w:ascii="Times New Roman" w:eastAsia="Segoe UI" w:hAnsi="Times New Roman"/>
                <w:color w:val="0F1115"/>
                <w:szCs w:val="24"/>
                <w:shd w:val="clear" w:color="auto" w:fill="FFFFFF"/>
              </w:rPr>
              <w:t xml:space="preserve"> (</w:t>
            </w:r>
            <w:r>
              <w:rPr>
                <w:rFonts w:ascii="Times New Roman" w:eastAsia="Segoe UI" w:hAnsi="Times New Roman"/>
                <w:color w:val="0F1115"/>
                <w:szCs w:val="24"/>
                <w:shd w:val="clear" w:color="auto" w:fill="FFFFFF"/>
              </w:rPr>
              <w:t>15.00</w:t>
            </w:r>
            <w:r w:rsidR="00E229D1">
              <w:rPr>
                <w:rFonts w:ascii="Times New Roman" w:eastAsia="Segoe UI" w:hAnsi="Times New Roman"/>
                <w:color w:val="0F1115"/>
                <w:szCs w:val="24"/>
                <w:shd w:val="clear" w:color="auto" w:fill="FFFFFF"/>
              </w:rPr>
              <w:t>)</w:t>
            </w:r>
          </w:p>
        </w:tc>
      </w:tr>
      <w:tr w:rsidR="00E3390E" w14:paraId="554AC900" w14:textId="77777777" w:rsidTr="00AB360C">
        <w:trPr>
          <w:tblHeader/>
          <w:jc w:val="center"/>
        </w:trPr>
        <w:tc>
          <w:tcPr>
            <w:tcW w:w="1017" w:type="pct"/>
            <w:tcBorders>
              <w:top w:val="nil"/>
              <w:left w:val="nil"/>
              <w:bottom w:val="nil"/>
              <w:right w:val="nil"/>
            </w:tcBorders>
            <w:tcMar>
              <w:top w:w="-1" w:type="dxa"/>
              <w:left w:w="-1" w:type="dxa"/>
              <w:bottom w:w="-1" w:type="dxa"/>
              <w:right w:w="-1" w:type="dxa"/>
            </w:tcMar>
          </w:tcPr>
          <w:p w14:paraId="58DAA40C" w14:textId="77777777" w:rsidR="00E3390E" w:rsidRDefault="00000000" w:rsidP="00E229D1">
            <w:pPr>
              <w:pStyle w:val="NormalWeb"/>
              <w:widowControl/>
              <w:snapToGrid w:val="0"/>
              <w:rPr>
                <w:rFonts w:ascii="Times New Roman" w:hAnsi="Times New Roman"/>
                <w:szCs w:val="24"/>
              </w:rPr>
            </w:pPr>
            <w:r>
              <w:rPr>
                <w:rFonts w:ascii="Times New Roman" w:eastAsia="Segoe UI" w:hAnsi="Times New Roman"/>
                <w:color w:val="0F1115"/>
                <w:szCs w:val="24"/>
                <w:shd w:val="clear" w:color="auto" w:fill="FFFFFF"/>
              </w:rPr>
              <w:t>χ²</w:t>
            </w:r>
          </w:p>
        </w:tc>
        <w:tc>
          <w:tcPr>
            <w:tcW w:w="231" w:type="pct"/>
            <w:tcBorders>
              <w:top w:val="nil"/>
              <w:left w:val="nil"/>
              <w:bottom w:val="nil"/>
              <w:right w:val="nil"/>
            </w:tcBorders>
            <w:tcMar>
              <w:top w:w="-1" w:type="dxa"/>
              <w:left w:w="-1" w:type="dxa"/>
              <w:bottom w:w="-1" w:type="dxa"/>
              <w:right w:w="-1" w:type="dxa"/>
            </w:tcMar>
          </w:tcPr>
          <w:p w14:paraId="56D43819"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w:t>
            </w:r>
          </w:p>
        </w:tc>
        <w:tc>
          <w:tcPr>
            <w:tcW w:w="1386" w:type="pct"/>
            <w:tcBorders>
              <w:top w:val="nil"/>
              <w:left w:val="nil"/>
              <w:bottom w:val="nil"/>
              <w:right w:val="nil"/>
            </w:tcBorders>
            <w:tcMar>
              <w:top w:w="-1" w:type="dxa"/>
              <w:left w:w="-1" w:type="dxa"/>
              <w:bottom w:w="-1" w:type="dxa"/>
              <w:right w:w="-1" w:type="dxa"/>
            </w:tcMar>
          </w:tcPr>
          <w:p w14:paraId="26790BD2"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5.158</w:t>
            </w:r>
          </w:p>
        </w:tc>
        <w:tc>
          <w:tcPr>
            <w:tcW w:w="1231" w:type="pct"/>
            <w:tcBorders>
              <w:top w:val="nil"/>
              <w:left w:val="nil"/>
              <w:bottom w:val="nil"/>
              <w:right w:val="nil"/>
            </w:tcBorders>
            <w:tcMar>
              <w:top w:w="-1" w:type="dxa"/>
              <w:left w:w="-1" w:type="dxa"/>
              <w:bottom w:w="-1" w:type="dxa"/>
              <w:right w:w="-1" w:type="dxa"/>
            </w:tcMar>
          </w:tcPr>
          <w:p w14:paraId="0CC750FB"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1.801</w:t>
            </w:r>
          </w:p>
        </w:tc>
        <w:tc>
          <w:tcPr>
            <w:tcW w:w="1135" w:type="pct"/>
            <w:tcBorders>
              <w:top w:val="nil"/>
              <w:left w:val="nil"/>
              <w:bottom w:val="nil"/>
              <w:right w:val="nil"/>
            </w:tcBorders>
            <w:tcMar>
              <w:top w:w="-1" w:type="dxa"/>
              <w:left w:w="-1" w:type="dxa"/>
              <w:bottom w:w="-1" w:type="dxa"/>
              <w:right w:w="-1" w:type="dxa"/>
            </w:tcMar>
          </w:tcPr>
          <w:p w14:paraId="557A70EB"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1.25</w:t>
            </w:r>
          </w:p>
        </w:tc>
      </w:tr>
      <w:tr w:rsidR="00E3390E" w14:paraId="28A3B6FF" w14:textId="77777777" w:rsidTr="00AB360C">
        <w:trPr>
          <w:tblHeader/>
          <w:jc w:val="center"/>
        </w:trPr>
        <w:tc>
          <w:tcPr>
            <w:tcW w:w="1017" w:type="pct"/>
            <w:tcBorders>
              <w:top w:val="nil"/>
              <w:left w:val="nil"/>
              <w:bottom w:val="single" w:sz="4" w:space="0" w:color="auto"/>
              <w:right w:val="nil"/>
            </w:tcBorders>
            <w:tcMar>
              <w:top w:w="-1" w:type="dxa"/>
              <w:left w:w="-1" w:type="dxa"/>
              <w:bottom w:w="-1" w:type="dxa"/>
              <w:right w:w="-1" w:type="dxa"/>
            </w:tcMar>
          </w:tcPr>
          <w:p w14:paraId="310DF8D7" w14:textId="089D80E5" w:rsidR="00E3390E" w:rsidRDefault="00E229D1" w:rsidP="00E229D1">
            <w:pPr>
              <w:pStyle w:val="NormalWeb"/>
              <w:widowControl/>
              <w:snapToGrid w:val="0"/>
              <w:rPr>
                <w:rFonts w:ascii="Times New Roman" w:hAnsi="Times New Roman"/>
                <w:szCs w:val="24"/>
              </w:rPr>
            </w:pPr>
            <w:r>
              <w:rPr>
                <w:rFonts w:ascii="Times New Roman" w:eastAsia="Segoe UI" w:hAnsi="Times New Roman"/>
                <w:i/>
                <w:iCs/>
                <w:color w:val="0F1115"/>
                <w:szCs w:val="24"/>
                <w:shd w:val="clear" w:color="auto" w:fill="FFFFFF"/>
              </w:rPr>
              <w:t>p</w:t>
            </w:r>
          </w:p>
        </w:tc>
        <w:tc>
          <w:tcPr>
            <w:tcW w:w="231" w:type="pct"/>
            <w:tcBorders>
              <w:top w:val="nil"/>
              <w:left w:val="nil"/>
              <w:bottom w:val="single" w:sz="4" w:space="0" w:color="auto"/>
              <w:right w:val="nil"/>
            </w:tcBorders>
            <w:tcMar>
              <w:top w:w="-1" w:type="dxa"/>
              <w:left w:w="-1" w:type="dxa"/>
              <w:bottom w:w="-1" w:type="dxa"/>
              <w:right w:w="-1" w:type="dxa"/>
            </w:tcMar>
          </w:tcPr>
          <w:p w14:paraId="001022E8"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w:t>
            </w:r>
          </w:p>
        </w:tc>
        <w:tc>
          <w:tcPr>
            <w:tcW w:w="1386" w:type="pct"/>
            <w:tcBorders>
              <w:top w:val="nil"/>
              <w:left w:val="nil"/>
              <w:bottom w:val="single" w:sz="4" w:space="0" w:color="auto"/>
              <w:right w:val="nil"/>
            </w:tcBorders>
            <w:tcMar>
              <w:top w:w="-1" w:type="dxa"/>
              <w:left w:w="-1" w:type="dxa"/>
              <w:bottom w:w="-1" w:type="dxa"/>
              <w:right w:w="-1" w:type="dxa"/>
            </w:tcMar>
          </w:tcPr>
          <w:p w14:paraId="0617C6BF"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0.023</w:t>
            </w:r>
          </w:p>
        </w:tc>
        <w:tc>
          <w:tcPr>
            <w:tcW w:w="1231" w:type="pct"/>
            <w:tcBorders>
              <w:top w:val="nil"/>
              <w:left w:val="nil"/>
              <w:bottom w:val="single" w:sz="4" w:space="0" w:color="auto"/>
              <w:right w:val="nil"/>
            </w:tcBorders>
            <w:tcMar>
              <w:top w:w="-1" w:type="dxa"/>
              <w:left w:w="-1" w:type="dxa"/>
              <w:bottom w:w="-1" w:type="dxa"/>
              <w:right w:w="-1" w:type="dxa"/>
            </w:tcMar>
          </w:tcPr>
          <w:p w14:paraId="59304429"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0.180</w:t>
            </w:r>
          </w:p>
        </w:tc>
        <w:tc>
          <w:tcPr>
            <w:tcW w:w="1135" w:type="pct"/>
            <w:tcBorders>
              <w:top w:val="nil"/>
              <w:left w:val="nil"/>
              <w:bottom w:val="single" w:sz="4" w:space="0" w:color="auto"/>
              <w:right w:val="nil"/>
            </w:tcBorders>
            <w:tcMar>
              <w:top w:w="-1" w:type="dxa"/>
              <w:left w:w="-1" w:type="dxa"/>
              <w:bottom w:w="-1" w:type="dxa"/>
              <w:right w:w="-1" w:type="dxa"/>
            </w:tcMar>
          </w:tcPr>
          <w:p w14:paraId="2BB3B7ED" w14:textId="77777777" w:rsidR="00E3390E" w:rsidRDefault="00000000" w:rsidP="00AB360C">
            <w:pPr>
              <w:pStyle w:val="NormalWeb"/>
              <w:widowControl/>
              <w:snapToGrid w:val="0"/>
              <w:jc w:val="center"/>
              <w:rPr>
                <w:rFonts w:ascii="Times New Roman" w:hAnsi="Times New Roman"/>
                <w:szCs w:val="24"/>
              </w:rPr>
            </w:pPr>
            <w:r>
              <w:rPr>
                <w:rFonts w:ascii="Times New Roman" w:eastAsia="Segoe UI" w:hAnsi="Times New Roman"/>
                <w:color w:val="0F1115"/>
                <w:szCs w:val="24"/>
                <w:shd w:val="clear" w:color="auto" w:fill="FFFFFF"/>
              </w:rPr>
              <w:t>0.264</w:t>
            </w:r>
          </w:p>
        </w:tc>
      </w:tr>
    </w:tbl>
    <w:p w14:paraId="2BB01B72" w14:textId="77777777" w:rsidR="00E3390E" w:rsidRDefault="00E3390E" w:rsidP="00E229D1">
      <w:pPr>
        <w:snapToGrid w:val="0"/>
        <w:rPr>
          <w:rFonts w:ascii="Times New Roman" w:eastAsia="Segoe UI" w:hAnsi="Times New Roman"/>
          <w:color w:val="0F1115"/>
          <w:sz w:val="24"/>
          <w:szCs w:val="24"/>
          <w:shd w:val="clear" w:color="auto" w:fill="FFFFFF"/>
        </w:rPr>
      </w:pPr>
    </w:p>
    <w:p w14:paraId="1E19B0D8" w14:textId="77777777" w:rsidR="00E3390E" w:rsidRDefault="00000000" w:rsidP="00E229D1">
      <w:pPr>
        <w:snapToGrid w:val="0"/>
        <w:rPr>
          <w:rFonts w:ascii="Times New Roman" w:eastAsia="Segoe UI" w:hAnsi="Times New Roman"/>
          <w:b/>
          <w:bCs/>
          <w:color w:val="0F1115"/>
          <w:sz w:val="24"/>
          <w:szCs w:val="24"/>
          <w:shd w:val="clear" w:color="auto" w:fill="FFFFFF"/>
        </w:rPr>
      </w:pPr>
      <w:r>
        <w:rPr>
          <w:rFonts w:ascii="Times New Roman" w:eastAsia="SimSun" w:hAnsi="Times New Roman" w:hint="eastAsia"/>
          <w:b/>
          <w:bCs/>
          <w:color w:val="0F1115"/>
          <w:sz w:val="24"/>
          <w:szCs w:val="24"/>
          <w:shd w:val="clear" w:color="auto" w:fill="FFFFFF"/>
        </w:rPr>
        <w:t>4</w:t>
      </w:r>
      <w:r>
        <w:rPr>
          <w:rFonts w:ascii="Times New Roman" w:eastAsia="SimSun" w:hAnsi="Times New Roman"/>
          <w:b/>
          <w:bCs/>
          <w:color w:val="0F1115"/>
          <w:sz w:val="24"/>
          <w:szCs w:val="24"/>
          <w:shd w:val="clear" w:color="auto" w:fill="FFFFFF"/>
        </w:rPr>
        <w:t xml:space="preserve">. </w:t>
      </w:r>
      <w:r>
        <w:rPr>
          <w:rFonts w:ascii="Times New Roman" w:eastAsia="Segoe UI" w:hAnsi="Times New Roman"/>
          <w:b/>
          <w:bCs/>
          <w:color w:val="0F1115"/>
          <w:sz w:val="24"/>
          <w:szCs w:val="24"/>
          <w:shd w:val="clear" w:color="auto" w:fill="FFFFFF"/>
        </w:rPr>
        <w:t>Discussion</w:t>
      </w:r>
    </w:p>
    <w:p w14:paraId="5AA20C6F" w14:textId="77777777" w:rsidR="00E3390E" w:rsidRDefault="00000000" w:rsidP="00E229D1">
      <w:pPr>
        <w:snapToGrid w:val="0"/>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 xml:space="preserve">The philosophy of hospice care is to </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preserve life, view death as a normal physiological process, neither hasten nor delay death, and manage pain and psychological issues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Hospice care does not mean abandoning active treatment for patients but rather using professional methods to help them achieve the best possible quality of life. In this study, for physical pain in dementia patients, hospice care employed a combination of communication, music therapy, and exercise therapy. Strengthening communication with patients helped divert their attention and enhance their psychological resilience; </w:t>
      </w:r>
      <w:r>
        <w:rPr>
          <w:rFonts w:ascii="Times New Roman" w:eastAsia="Segoe UI" w:hAnsi="Times New Roman"/>
          <w:color w:val="0F1115"/>
          <w:sz w:val="24"/>
          <w:szCs w:val="24"/>
          <w:shd w:val="clear" w:color="auto" w:fill="FFFFFF"/>
        </w:rPr>
        <w:lastRenderedPageBreak/>
        <w:t>music therapy reduced sympathetic nervous system activity, lowering pain thresholds and reducing physiological stress; exercise therapy alleviated physical pain, and all these measures diverted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attention, reducing excessive focus on pain. When administering analgesic medications, emphasis was placed on improving compliance among patients and caregivers, alleviating their psychological burden. These measures effectively reduced physical pain in patients, decreased stressors, and subsequently reduced the occurrence of agitation.</w:t>
      </w:r>
    </w:p>
    <w:p w14:paraId="15C3E07C" w14:textId="77777777" w:rsidR="00E3390E" w:rsidRDefault="00000000" w:rsidP="00E229D1">
      <w:pPr>
        <w:snapToGrid w:val="0"/>
        <w:ind w:firstLineChars="200" w:firstLine="480"/>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The study results showed that after hospice care intervention, agitation scores in dementia patients were significantly lower than those in the control group, with statistical significance. Furthermore, compared to the control group, compliance with rehabilitation treatment was significantly higher in the hospice care group. These findings confirm that hospice care can reduce agitation and improve compliance with rehabilitation treatment in dementia patients.</w:t>
      </w:r>
    </w:p>
    <w:p w14:paraId="1687A694" w14:textId="77777777" w:rsidR="00E3390E" w:rsidRDefault="00000000" w:rsidP="00E229D1">
      <w:pPr>
        <w:snapToGrid w:val="0"/>
        <w:ind w:firstLineChars="200" w:firstLine="480"/>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To improve sleep quality in dementia patients, nursing staff created a favorable living and sleeping environment, reducing environmental stressors and alleviating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feelings of insecurity, thereby ensuring better sleep quality. Nursing staff played soothing music for patients, activating central nervous system function and promoting the release of endorphins and melatonin, which had a calming, sedative, and sleep-inducing effect.</w:t>
      </w:r>
    </w:p>
    <w:p w14:paraId="6D0E31B6" w14:textId="77777777" w:rsidR="00E3390E" w:rsidRDefault="00000000" w:rsidP="00E229D1">
      <w:pPr>
        <w:snapToGrid w:val="0"/>
        <w:ind w:firstLineChars="200" w:firstLine="480"/>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To reduce the occurrence of complications, nursing staff assessed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conditions and identified potential risk factors for high-risk complications, facilitating early detection. Strengthening nutritional support improved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physical condition and enhanced their resistance to diseases.</w:t>
      </w:r>
    </w:p>
    <w:p w14:paraId="54960AED" w14:textId="77777777" w:rsidR="00E3390E" w:rsidRDefault="00E3390E" w:rsidP="00E229D1">
      <w:pPr>
        <w:snapToGrid w:val="0"/>
        <w:ind w:firstLineChars="200" w:firstLine="480"/>
        <w:rPr>
          <w:rFonts w:ascii="Times New Roman" w:eastAsia="Segoe UI" w:hAnsi="Times New Roman"/>
          <w:color w:val="0F1115"/>
          <w:sz w:val="24"/>
          <w:szCs w:val="24"/>
          <w:shd w:val="clear" w:color="auto" w:fill="FFFFFF"/>
        </w:rPr>
      </w:pPr>
    </w:p>
    <w:p w14:paraId="1B2E1106" w14:textId="77777777" w:rsidR="00E3390E" w:rsidRDefault="00000000" w:rsidP="00E229D1">
      <w:pPr>
        <w:snapToGrid w:val="0"/>
        <w:rPr>
          <w:rFonts w:ascii="Times New Roman" w:eastAsia="SimSun" w:hAnsi="Times New Roman"/>
          <w:b/>
          <w:bCs/>
          <w:color w:val="0F1115"/>
          <w:sz w:val="24"/>
          <w:szCs w:val="24"/>
          <w:shd w:val="clear" w:color="auto" w:fill="FFFFFF"/>
        </w:rPr>
      </w:pPr>
      <w:r>
        <w:rPr>
          <w:rFonts w:ascii="Times New Roman" w:eastAsia="SimSun" w:hAnsi="Times New Roman" w:hint="eastAsia"/>
          <w:b/>
          <w:bCs/>
          <w:color w:val="0F1115"/>
          <w:sz w:val="24"/>
          <w:szCs w:val="24"/>
          <w:shd w:val="clear" w:color="auto" w:fill="FFFFFF"/>
        </w:rPr>
        <w:t>5. Conclusion</w:t>
      </w:r>
    </w:p>
    <w:p w14:paraId="514FCE5F" w14:textId="77777777" w:rsidR="00E3390E" w:rsidRDefault="00000000" w:rsidP="00E229D1">
      <w:pPr>
        <w:snapToGrid w:val="0"/>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For agitation in dementia patients, hospice care emphasized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emotional experiences during nursing, using various media to help patients recall past memories and understand their emotions. Nursing staff employed empathy dolls to accompany patients, stimulating their protective instincts and facilitating emotional connections, making patients more receptive to these interventions. For agitation and other psychiatric symptoms, nursing staff created safe activity spaces for patients and encouraged participation in outdoor activities. Emphasis was placed on training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cognitive, memory, and thinking abilities to help them adapt to society, reducing stress and subsequently agitation. During interventions for psychiatric symptoms, hospice care did not force improvements in cognitive, memory, and thinking abilities but rather used demonstration and guidance to stimulate patients</w:t>
      </w:r>
      <w:r>
        <w:rPr>
          <w:rFonts w:ascii="Times New Roman" w:eastAsia="SimSun" w:hAnsi="Times New Roman"/>
          <w:color w:val="0F1115"/>
          <w:sz w:val="24"/>
          <w:szCs w:val="24"/>
          <w:shd w:val="clear" w:color="auto" w:fill="FFFFFF"/>
        </w:rPr>
        <w:t>’</w:t>
      </w:r>
      <w:r>
        <w:rPr>
          <w:rFonts w:ascii="Times New Roman" w:eastAsia="Segoe UI" w:hAnsi="Times New Roman"/>
          <w:color w:val="0F1115"/>
          <w:sz w:val="24"/>
          <w:szCs w:val="24"/>
          <w:shd w:val="clear" w:color="auto" w:fill="FFFFFF"/>
        </w:rPr>
        <w:t xml:space="preserve"> interests, reducing resistance and improving compliance with rehabilitation treatment. In summary, implementing hospice care for dementia patients can reduce agitation and improve compliance with rehabilitation treatment.</w:t>
      </w:r>
    </w:p>
    <w:p w14:paraId="7DACFF61" w14:textId="77777777" w:rsidR="00E3390E" w:rsidRDefault="00E3390E" w:rsidP="00E229D1">
      <w:pPr>
        <w:snapToGrid w:val="0"/>
        <w:rPr>
          <w:rFonts w:ascii="Times New Roman" w:eastAsia="Segoe UI" w:hAnsi="Times New Roman"/>
          <w:color w:val="0F1115"/>
          <w:sz w:val="24"/>
          <w:szCs w:val="24"/>
          <w:shd w:val="clear" w:color="auto" w:fill="FFFFFF"/>
        </w:rPr>
      </w:pPr>
    </w:p>
    <w:p w14:paraId="70CE2984" w14:textId="77777777" w:rsidR="00E3390E" w:rsidRDefault="00000000" w:rsidP="00AB360C">
      <w:pPr>
        <w:snapToGrid w:val="0"/>
        <w:rPr>
          <w:rFonts w:ascii="Times New Roman" w:hAnsi="Times New Roman"/>
          <w:b/>
          <w:bCs/>
          <w:sz w:val="24"/>
        </w:rPr>
      </w:pPr>
      <w:bookmarkStart w:id="1" w:name="_Hlk181689731"/>
      <w:r>
        <w:rPr>
          <w:rFonts w:ascii="Times New Roman" w:hAnsi="Times New Roman"/>
          <w:b/>
          <w:bCs/>
          <w:sz w:val="24"/>
        </w:rPr>
        <w:t>Disclosure statement</w:t>
      </w:r>
    </w:p>
    <w:p w14:paraId="301BA1C5" w14:textId="1D66759C" w:rsidR="00E3390E" w:rsidRDefault="00000000" w:rsidP="00AB360C">
      <w:pPr>
        <w:snapToGrid w:val="0"/>
        <w:rPr>
          <w:rFonts w:ascii="Times New Roman" w:hAnsi="Times New Roman"/>
          <w:sz w:val="24"/>
        </w:rPr>
      </w:pPr>
      <w:r>
        <w:rPr>
          <w:rFonts w:ascii="Times New Roman" w:hAnsi="Times New Roman"/>
          <w:sz w:val="24"/>
        </w:rPr>
        <w:t>The author declare</w:t>
      </w:r>
      <w:r w:rsidR="00E229D1">
        <w:rPr>
          <w:rFonts w:ascii="Times New Roman" w:hAnsi="Times New Roman"/>
          <w:sz w:val="24"/>
        </w:rPr>
        <w:t>s</w:t>
      </w:r>
      <w:r>
        <w:rPr>
          <w:rFonts w:ascii="Times New Roman" w:hAnsi="Times New Roman"/>
          <w:sz w:val="24"/>
        </w:rPr>
        <w:t xml:space="preserve"> no conflict of interest. </w:t>
      </w:r>
    </w:p>
    <w:bookmarkEnd w:id="1"/>
    <w:p w14:paraId="2F19BCF0" w14:textId="77777777" w:rsidR="00E3390E" w:rsidRDefault="00E3390E" w:rsidP="00E229D1">
      <w:pPr>
        <w:snapToGrid w:val="0"/>
        <w:rPr>
          <w:rFonts w:ascii="Times New Roman" w:eastAsia="Segoe UI" w:hAnsi="Times New Roman"/>
          <w:color w:val="0F1115"/>
          <w:sz w:val="24"/>
          <w:szCs w:val="24"/>
          <w:shd w:val="clear" w:color="auto" w:fill="FFFFFF"/>
        </w:rPr>
      </w:pPr>
    </w:p>
    <w:p w14:paraId="097209C6" w14:textId="77777777" w:rsidR="00E3390E" w:rsidRDefault="00000000" w:rsidP="00E229D1">
      <w:pPr>
        <w:snapToGrid w:val="0"/>
        <w:rPr>
          <w:rFonts w:ascii="Times New Roman" w:eastAsia="Segoe UI" w:hAnsi="Times New Roman"/>
          <w:b/>
          <w:bCs/>
          <w:color w:val="0F1115"/>
          <w:sz w:val="24"/>
          <w:szCs w:val="24"/>
          <w:shd w:val="clear" w:color="auto" w:fill="FFFFFF"/>
        </w:rPr>
      </w:pPr>
      <w:r>
        <w:rPr>
          <w:rFonts w:ascii="Times New Roman" w:eastAsia="Segoe UI" w:hAnsi="Times New Roman"/>
          <w:b/>
          <w:bCs/>
          <w:color w:val="0F1115"/>
          <w:sz w:val="24"/>
          <w:szCs w:val="24"/>
          <w:shd w:val="clear" w:color="auto" w:fill="FFFFFF"/>
        </w:rPr>
        <w:t xml:space="preserve">References </w:t>
      </w:r>
    </w:p>
    <w:p w14:paraId="49E63459"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[1]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 xml:space="preserve">Tan J, Wang L, 2020, The Impact of Empathy Doll Intervention on Agitation and Quality of Life in Patients </w:t>
      </w:r>
      <w:r>
        <w:rPr>
          <w:rFonts w:ascii="Times New Roman" w:eastAsia="Segoe UI" w:hAnsi="Times New Roman"/>
          <w:color w:val="0F1115"/>
          <w:sz w:val="24"/>
          <w:szCs w:val="24"/>
          <w:shd w:val="clear" w:color="auto" w:fill="FFFFFF"/>
          <w:lang w:val="en-MY"/>
        </w:rPr>
        <w:t>w</w:t>
      </w:r>
      <w:r w:rsidRPr="00E229D1">
        <w:rPr>
          <w:rFonts w:ascii="Times New Roman" w:eastAsia="Segoe UI" w:hAnsi="Times New Roman"/>
          <w:color w:val="0F1115"/>
          <w:sz w:val="24"/>
          <w:szCs w:val="24"/>
          <w:shd w:val="clear" w:color="auto" w:fill="FFFFFF"/>
          <w:lang w:val="en-MY"/>
        </w:rPr>
        <w:t>ith Moderate Dementia. Chinese Journal of Practical Nursing, 36(34): 2664–2669.</w:t>
      </w:r>
    </w:p>
    <w:p w14:paraId="7D1F110F"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[2]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Li C, Chang H, 2022, Application and Evaluation of Multisensory Stimulation Therapy in Agitation in Dementia Patients. Chinese Journal of Practical Nursing, 38(33): 2618–2624.</w:t>
      </w:r>
    </w:p>
    <w:p w14:paraId="4E8DE591"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[3]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Ran Y, 2020, The Impact of Self-Role Identity Nursing on Agitation and Social Interaction Abilities in Manic Patients. International Journal of Nursing, 39(15): 2852–2856.</w:t>
      </w:r>
    </w:p>
    <w:p w14:paraId="0513B1DF"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[4]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Wei Z, Ren X, Wu J, et al., 2020, Current Status and Influencing Factors of Agitation in Dementia Patients. Chinese Journal of Practical Neurological Diseases, 23(10): 897–901.</w:t>
      </w:r>
    </w:p>
    <w:p w14:paraId="18D7D5BD"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[5]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Shao R, Li D, Han Z, et al., 2021, The Impact of Individualized Rehabilitation Training Based on Comprehensive Geriatric Assessment on Cognitive Function and Risk Prevention in Dementia Patients. Tianjin Medical Journal, 49(8): 847–851.</w:t>
      </w:r>
    </w:p>
    <w:p w14:paraId="6C3C4C66"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[6]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Liu Z, Zhang Y, Yu Z, et al., 2019, Research Progress on Hospice Care for Dementia Patients. Chinese Journal of Nursing, 54(4): 598–602.</w:t>
      </w:r>
    </w:p>
    <w:p w14:paraId="6CB38FC4"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lastRenderedPageBreak/>
        <w:t xml:space="preserve">[7]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Zhang R, 2020, Research Progress on Animal-Assisted Therapy in the Care of Dementia Patients. Journal of Nursing Science, 35(2): 99–102.</w:t>
      </w:r>
    </w:p>
    <w:p w14:paraId="74E3545D"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[8]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Li C, Fu R, Wang Y, et al., 2022, Systematic Evaluation of the Intervention Effects of Doll Therapy on Dementia Patients. Journal of Nursing of the People’s Liberation Army, 39(1): 68–72.</w:t>
      </w:r>
    </w:p>
    <w:p w14:paraId="7C61520F"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[9]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Qin Y, Ge Z, Xu J, 2021, The Application Effect of Simulated Family Presence Therapy in Dementia Patients. Nursing Research, 35(3): 542–545.</w:t>
      </w:r>
    </w:p>
    <w:p w14:paraId="70C559E2" w14:textId="77777777" w:rsidR="00E229D1" w:rsidRDefault="00E229D1" w:rsidP="00E229D1">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[10]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Zheng G, Ju W, Zhang X, 2022, The Application Effect of Family Nursing Based on Timing Theory on Agitation in Elderly Dementia Patients. International Journal of Nursing, 41(9): 1709–1712.</w:t>
      </w:r>
    </w:p>
    <w:p w14:paraId="2E97E730" w14:textId="79959E02" w:rsidR="00E229D1" w:rsidRPr="00E229D1" w:rsidRDefault="00E229D1" w:rsidP="00AB360C">
      <w:pPr>
        <w:snapToGrid w:val="0"/>
        <w:ind w:left="709" w:hanging="709"/>
        <w:rPr>
          <w:rFonts w:ascii="Times New Roman" w:eastAsia="Segoe UI" w:hAnsi="Times New Roman"/>
          <w:color w:val="0F1115"/>
          <w:sz w:val="24"/>
          <w:szCs w:val="24"/>
          <w:shd w:val="clear" w:color="auto" w:fill="FFFFFF"/>
          <w:lang w:val="en-MY"/>
        </w:rPr>
      </w:pPr>
      <w:r w:rsidRPr="00E229D1">
        <w:rPr>
          <w:rFonts w:ascii="Times New Roman" w:eastAsia="Segoe UI" w:hAnsi="Times New Roman"/>
          <w:color w:val="0F1115"/>
          <w:sz w:val="24"/>
          <w:szCs w:val="24"/>
          <w:shd w:val="clear" w:color="auto" w:fill="FFFFFF"/>
          <w:lang w:val="en-MY"/>
        </w:rPr>
        <w:t xml:space="preserve">[11] </w:t>
      </w:r>
      <w:r>
        <w:rPr>
          <w:rFonts w:ascii="Times New Roman" w:eastAsia="Segoe UI" w:hAnsi="Times New Roman"/>
          <w:color w:val="0F1115"/>
          <w:sz w:val="24"/>
          <w:szCs w:val="24"/>
          <w:shd w:val="clear" w:color="auto" w:fill="FFFFFF"/>
          <w:lang w:val="en-MY"/>
        </w:rPr>
        <w:tab/>
      </w:r>
      <w:r w:rsidRPr="00E229D1">
        <w:rPr>
          <w:rFonts w:ascii="Times New Roman" w:eastAsia="Segoe UI" w:hAnsi="Times New Roman"/>
          <w:color w:val="0F1115"/>
          <w:sz w:val="24"/>
          <w:szCs w:val="24"/>
          <w:shd w:val="clear" w:color="auto" w:fill="FFFFFF"/>
          <w:lang w:val="en-MY"/>
        </w:rPr>
        <w:t>Lai J, 2010, Development of the Chinese Version of the Cohen-Mansfield Agitation Inventory. Chinese Journal of Nursing, 45(6): 500–504.</w:t>
      </w:r>
    </w:p>
    <w:p w14:paraId="116924A1" w14:textId="69C8E84B" w:rsidR="00E229D1" w:rsidRDefault="00E229D1" w:rsidP="00E229D1">
      <w:pPr>
        <w:snapToGrid w:val="0"/>
        <w:rPr>
          <w:rFonts w:ascii="Times New Roman" w:eastAsia="Segoe UI" w:hAnsi="Times New Roman"/>
          <w:color w:val="0F1115"/>
          <w:sz w:val="24"/>
          <w:szCs w:val="24"/>
          <w:shd w:val="clear" w:color="auto" w:fill="FFFFFF"/>
        </w:rPr>
      </w:pPr>
    </w:p>
    <w:p w14:paraId="51F6025A" w14:textId="77777777" w:rsidR="00E229D1" w:rsidRPr="00AB360C" w:rsidRDefault="00E229D1" w:rsidP="00E229D1">
      <w:pPr>
        <w:snapToGrid w:val="0"/>
        <w:rPr>
          <w:rFonts w:ascii="Times New Roman" w:eastAsia="Segoe UI" w:hAnsi="Times New Roman"/>
          <w:b/>
          <w:bCs/>
          <w:color w:val="0F1115"/>
          <w:sz w:val="20"/>
          <w:szCs w:val="20"/>
          <w:shd w:val="clear" w:color="auto" w:fill="FFFFFF"/>
        </w:rPr>
      </w:pPr>
      <w:r w:rsidRPr="00AB360C">
        <w:rPr>
          <w:rFonts w:ascii="Times New Roman" w:eastAsia="Segoe UI" w:hAnsi="Times New Roman"/>
          <w:b/>
          <w:bCs/>
          <w:color w:val="0F1115"/>
          <w:sz w:val="20"/>
          <w:szCs w:val="20"/>
          <w:shd w:val="clear" w:color="auto" w:fill="FFFFFF"/>
        </w:rPr>
        <w:t>Publisher’s note</w:t>
      </w:r>
    </w:p>
    <w:p w14:paraId="65C51B66" w14:textId="77777777" w:rsidR="00E229D1" w:rsidRPr="00AB360C" w:rsidRDefault="00E229D1" w:rsidP="00E229D1">
      <w:pPr>
        <w:snapToGrid w:val="0"/>
        <w:rPr>
          <w:rFonts w:ascii="Times New Roman" w:eastAsia="Segoe UI" w:hAnsi="Times New Roman"/>
          <w:color w:val="0F1115"/>
          <w:sz w:val="20"/>
          <w:szCs w:val="20"/>
          <w:shd w:val="clear" w:color="auto" w:fill="FFFFFF"/>
        </w:rPr>
      </w:pPr>
      <w:r w:rsidRPr="00AB360C">
        <w:rPr>
          <w:rFonts w:ascii="Times New Roman" w:eastAsia="Segoe UI" w:hAnsi="Times New Roman"/>
          <w:color w:val="0F1115"/>
          <w:sz w:val="20"/>
          <w:szCs w:val="20"/>
          <w:shd w:val="clear" w:color="auto" w:fill="FFFFFF"/>
        </w:rPr>
        <w:t xml:space="preserve">Bio-Byword Scientific Publishing remains neutral with regard to jurisdictional claims in published maps and institutional affiliations. </w:t>
      </w:r>
    </w:p>
    <w:p w14:paraId="6BDE9E34" w14:textId="77777777" w:rsidR="00E229D1" w:rsidRDefault="00E229D1" w:rsidP="00E229D1">
      <w:pPr>
        <w:snapToGrid w:val="0"/>
        <w:rPr>
          <w:rFonts w:ascii="Times New Roman" w:eastAsia="Segoe UI" w:hAnsi="Times New Roman"/>
          <w:color w:val="0F1115"/>
          <w:sz w:val="24"/>
          <w:szCs w:val="24"/>
          <w:shd w:val="clear" w:color="auto" w:fill="FFFFFF"/>
        </w:rPr>
      </w:pPr>
    </w:p>
    <w:sectPr w:rsidR="00E229D1" w:rsidSect="00E229D1">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AC51EF7"/>
    <w:rsid w:val="001D287F"/>
    <w:rsid w:val="004E4717"/>
    <w:rsid w:val="00AB360C"/>
    <w:rsid w:val="00E229D1"/>
    <w:rsid w:val="00E3390E"/>
    <w:rsid w:val="11612713"/>
    <w:rsid w:val="233C1406"/>
    <w:rsid w:val="266218BB"/>
    <w:rsid w:val="5AC51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A32BE"/>
  <w15:docId w15:val="{B708BEC1-3E8D-412B-BC55-E4F8B26A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DengXian" w:eastAsia="DengXian" w:hAnsi="DengXian"/>
      <w:kern w:val="2"/>
      <w:sz w:val="21"/>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E229D1"/>
    <w:rPr>
      <w:rFonts w:ascii="DengXian" w:eastAsia="DengXian" w:hAnsi="DengXian"/>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2026-09-27T05:09:00Z</dcterms:created>
  <dcterms:modified xsi:type="dcterms:W3CDTF">2026-09-27T05:09:00Z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CB830E24342646B9913456AFF1B957F7_11</vt:lpwstr>
  </property>
  <property fmtid="{D5CDD505-2E9C-101B-9397-08002B2CF9AE}" pid="4" name="KSOTemplateDocerSaveRecord">
    <vt:lpwstr>eyJoZGlkIjoiZTBiYjBjMzJlZDA2ZWE2YWNmMzQyN2E2MGVlZTcxZjkiLCJ1c2VySWQiOiI2MTA5NTIyOTYifQ==</vt:lpwstr>
  </property>
</Properties>
</file>