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A5F51" w14:textId="77777777" w:rsidR="00667E00" w:rsidRDefault="001317D9" w:rsidP="00647629">
      <w:pPr>
        <w:pStyle w:val="Heading1"/>
        <w:snapToGrid w:val="0"/>
        <w:spacing w:line="240" w:lineRule="auto"/>
        <w:ind w:firstLineChars="0" w:firstLine="0"/>
        <w:rPr>
          <w:b/>
          <w:bCs/>
          <w:sz w:val="44"/>
          <w:szCs w:val="44"/>
          <w:lang w:val="en-US"/>
        </w:rPr>
      </w:pPr>
      <w:r>
        <w:rPr>
          <w:b/>
          <w:bCs/>
          <w:sz w:val="44"/>
          <w:szCs w:val="44"/>
          <w:lang w:val="en-US"/>
        </w:rPr>
        <w:t xml:space="preserve">Study on the Synergistic Mechanism of Modified </w:t>
      </w:r>
      <w:proofErr w:type="spellStart"/>
      <w:r>
        <w:rPr>
          <w:b/>
          <w:bCs/>
          <w:sz w:val="44"/>
          <w:szCs w:val="44"/>
          <w:lang w:val="en-US"/>
        </w:rPr>
        <w:t>Shenling</w:t>
      </w:r>
      <w:proofErr w:type="spellEnd"/>
      <w:r>
        <w:rPr>
          <w:b/>
          <w:bCs/>
          <w:sz w:val="44"/>
          <w:szCs w:val="44"/>
          <w:lang w:val="en-US"/>
        </w:rPr>
        <w:t xml:space="preserve"> </w:t>
      </w:r>
      <w:proofErr w:type="spellStart"/>
      <w:r>
        <w:rPr>
          <w:b/>
          <w:bCs/>
          <w:sz w:val="44"/>
          <w:szCs w:val="44"/>
          <w:lang w:val="en-US"/>
        </w:rPr>
        <w:t>Baizhu</w:t>
      </w:r>
      <w:proofErr w:type="spellEnd"/>
      <w:r>
        <w:rPr>
          <w:b/>
          <w:bCs/>
          <w:sz w:val="44"/>
          <w:szCs w:val="44"/>
          <w:lang w:val="en-US"/>
        </w:rPr>
        <w:t xml:space="preserve"> Powder in Treating Obesity Based on Network Pharmacology and Molecular Dynamics</w:t>
      </w:r>
    </w:p>
    <w:p w14:paraId="373A5F52" w14:textId="77777777" w:rsidR="00667E00" w:rsidRDefault="001317D9" w:rsidP="00647629">
      <w:pPr>
        <w:pStyle w:val="Heading2"/>
        <w:snapToGrid w:val="0"/>
        <w:spacing w:line="240" w:lineRule="auto"/>
        <w:ind w:firstLineChars="0" w:firstLine="0"/>
        <w:rPr>
          <w:b/>
          <w:bCs/>
          <w:sz w:val="24"/>
          <w:szCs w:val="24"/>
          <w:lang w:val="en-US"/>
        </w:rPr>
      </w:pPr>
      <w:r>
        <w:rPr>
          <w:b/>
          <w:bCs/>
          <w:sz w:val="24"/>
          <w:szCs w:val="24"/>
          <w:lang w:val="en-US"/>
        </w:rPr>
        <w:t>Yi</w:t>
      </w:r>
      <w:r>
        <w:rPr>
          <w:rFonts w:hint="eastAsia"/>
          <w:b/>
          <w:bCs/>
          <w:sz w:val="24"/>
          <w:szCs w:val="24"/>
          <w:lang w:val="en-US"/>
        </w:rPr>
        <w:t xml:space="preserve"> </w:t>
      </w:r>
      <w:r>
        <w:rPr>
          <w:b/>
          <w:bCs/>
          <w:sz w:val="24"/>
          <w:szCs w:val="24"/>
          <w:lang w:val="en-US"/>
        </w:rPr>
        <w:t>Hu</w:t>
      </w:r>
      <w:r>
        <w:rPr>
          <w:b/>
          <w:bCs/>
          <w:sz w:val="24"/>
          <w:szCs w:val="24"/>
          <w:vertAlign w:val="superscript"/>
          <w:lang w:val="en-US"/>
        </w:rPr>
        <w:t>1</w:t>
      </w:r>
      <w:r>
        <w:rPr>
          <w:b/>
          <w:bCs/>
          <w:sz w:val="24"/>
          <w:szCs w:val="24"/>
          <w:lang w:val="en-US"/>
        </w:rPr>
        <w:t>, Yulin</w:t>
      </w:r>
      <w:r>
        <w:rPr>
          <w:rFonts w:hint="eastAsia"/>
          <w:b/>
          <w:bCs/>
          <w:sz w:val="24"/>
          <w:szCs w:val="24"/>
          <w:lang w:val="en-US"/>
        </w:rPr>
        <w:t xml:space="preserve"> </w:t>
      </w:r>
      <w:r>
        <w:rPr>
          <w:b/>
          <w:bCs/>
          <w:sz w:val="24"/>
          <w:szCs w:val="24"/>
          <w:lang w:val="en-US"/>
        </w:rPr>
        <w:t>Wang</w:t>
      </w:r>
      <w:r>
        <w:rPr>
          <w:rFonts w:hint="eastAsia"/>
          <w:b/>
          <w:bCs/>
          <w:sz w:val="24"/>
          <w:szCs w:val="24"/>
          <w:vertAlign w:val="superscript"/>
          <w:lang w:val="en-US"/>
        </w:rPr>
        <w:t>1</w:t>
      </w:r>
      <w:r>
        <w:rPr>
          <w:b/>
          <w:bCs/>
          <w:sz w:val="24"/>
          <w:szCs w:val="24"/>
          <w:lang w:val="en-US"/>
        </w:rPr>
        <w:t>,</w:t>
      </w:r>
      <w:r>
        <w:rPr>
          <w:rFonts w:hint="eastAsia"/>
          <w:b/>
          <w:bCs/>
          <w:sz w:val="24"/>
          <w:szCs w:val="24"/>
          <w:lang w:val="en-US"/>
        </w:rPr>
        <w:t xml:space="preserve"> </w:t>
      </w:r>
      <w:proofErr w:type="spellStart"/>
      <w:r>
        <w:rPr>
          <w:b/>
          <w:bCs/>
          <w:sz w:val="24"/>
          <w:szCs w:val="24"/>
          <w:lang w:val="en-US"/>
        </w:rPr>
        <w:t>Shaoyuan</w:t>
      </w:r>
      <w:proofErr w:type="spellEnd"/>
      <w:r>
        <w:rPr>
          <w:rFonts w:hint="eastAsia"/>
          <w:b/>
          <w:bCs/>
          <w:sz w:val="24"/>
          <w:szCs w:val="24"/>
          <w:lang w:val="en-US"/>
        </w:rPr>
        <w:t xml:space="preserve"> </w:t>
      </w:r>
      <w:r>
        <w:rPr>
          <w:b/>
          <w:bCs/>
          <w:sz w:val="24"/>
          <w:szCs w:val="24"/>
          <w:lang w:val="en-US"/>
        </w:rPr>
        <w:t>Zhuo</w:t>
      </w:r>
      <w:r>
        <w:rPr>
          <w:b/>
          <w:bCs/>
          <w:sz w:val="24"/>
          <w:szCs w:val="24"/>
          <w:vertAlign w:val="superscript"/>
          <w:lang w:val="en-US"/>
        </w:rPr>
        <w:t>2</w:t>
      </w:r>
      <w:r>
        <w:rPr>
          <w:b/>
          <w:bCs/>
          <w:sz w:val="24"/>
          <w:szCs w:val="24"/>
          <w:lang w:val="en-US"/>
        </w:rPr>
        <w:t>, Chao</w:t>
      </w:r>
      <w:r>
        <w:rPr>
          <w:rFonts w:hint="eastAsia"/>
          <w:b/>
          <w:bCs/>
          <w:sz w:val="24"/>
          <w:szCs w:val="24"/>
          <w:lang w:val="en-US"/>
        </w:rPr>
        <w:t xml:space="preserve"> </w:t>
      </w:r>
      <w:r>
        <w:rPr>
          <w:b/>
          <w:bCs/>
          <w:sz w:val="24"/>
          <w:szCs w:val="24"/>
          <w:lang w:val="en-US"/>
        </w:rPr>
        <w:t>Wang</w:t>
      </w:r>
      <w:r>
        <w:rPr>
          <w:b/>
          <w:bCs/>
          <w:sz w:val="24"/>
          <w:szCs w:val="24"/>
          <w:vertAlign w:val="superscript"/>
          <w:lang w:val="en-US"/>
        </w:rPr>
        <w:t>2,3</w:t>
      </w:r>
      <w:r>
        <w:rPr>
          <w:b/>
          <w:bCs/>
          <w:sz w:val="24"/>
          <w:szCs w:val="24"/>
          <w:lang w:val="en-US"/>
        </w:rPr>
        <w:t xml:space="preserve">* </w:t>
      </w:r>
    </w:p>
    <w:p w14:paraId="373A5F53" w14:textId="77777777" w:rsidR="00667E00" w:rsidRDefault="001317D9" w:rsidP="00647629">
      <w:pPr>
        <w:snapToGrid w:val="0"/>
        <w:spacing w:line="240" w:lineRule="auto"/>
        <w:ind w:firstLineChars="0" w:firstLine="0"/>
        <w:jc w:val="both"/>
        <w:rPr>
          <w:rFonts w:eastAsia="SimSun"/>
          <w:sz w:val="24"/>
          <w:szCs w:val="24"/>
        </w:rPr>
      </w:pPr>
      <w:r>
        <w:rPr>
          <w:rFonts w:eastAsia="SimSun"/>
          <w:sz w:val="24"/>
          <w:szCs w:val="24"/>
          <w:vertAlign w:val="superscript"/>
        </w:rPr>
        <w:t>1</w:t>
      </w:r>
      <w:r>
        <w:rPr>
          <w:rFonts w:eastAsia="SimSun"/>
          <w:sz w:val="24"/>
          <w:szCs w:val="24"/>
        </w:rPr>
        <w:t>School of New Medicine, Sciences College, Guangxi University of Traditional Chinese Medicine, Nanning</w:t>
      </w:r>
      <w:r>
        <w:rPr>
          <w:rFonts w:eastAsia="SimSun" w:hint="eastAsia"/>
          <w:sz w:val="24"/>
          <w:szCs w:val="24"/>
        </w:rPr>
        <w:t xml:space="preserve"> </w:t>
      </w:r>
      <w:r>
        <w:rPr>
          <w:rFonts w:eastAsia="SimSun"/>
          <w:sz w:val="24"/>
          <w:szCs w:val="24"/>
        </w:rPr>
        <w:t>530200, Guangxi</w:t>
      </w:r>
      <w:r>
        <w:rPr>
          <w:rFonts w:eastAsia="SimSun" w:hint="eastAsia"/>
          <w:sz w:val="24"/>
          <w:szCs w:val="24"/>
        </w:rPr>
        <w:t xml:space="preserve"> Zhuang Autonomous Region, China</w:t>
      </w:r>
      <w:r>
        <w:rPr>
          <w:rFonts w:eastAsia="SimSun"/>
          <w:sz w:val="24"/>
          <w:szCs w:val="24"/>
        </w:rPr>
        <w:t xml:space="preserve"> </w:t>
      </w:r>
    </w:p>
    <w:p w14:paraId="373A5F54" w14:textId="77777777" w:rsidR="00667E00" w:rsidRDefault="001317D9" w:rsidP="00647629">
      <w:pPr>
        <w:snapToGrid w:val="0"/>
        <w:spacing w:line="240" w:lineRule="auto"/>
        <w:ind w:firstLineChars="0" w:firstLine="0"/>
        <w:jc w:val="both"/>
        <w:rPr>
          <w:rFonts w:eastAsia="SimSun"/>
          <w:sz w:val="24"/>
          <w:szCs w:val="24"/>
        </w:rPr>
      </w:pPr>
      <w:r>
        <w:rPr>
          <w:rFonts w:eastAsia="SimSun"/>
          <w:sz w:val="24"/>
          <w:szCs w:val="24"/>
          <w:vertAlign w:val="superscript"/>
        </w:rPr>
        <w:t>2</w:t>
      </w:r>
      <w:r>
        <w:rPr>
          <w:rFonts w:eastAsia="SimSun"/>
          <w:sz w:val="24"/>
          <w:szCs w:val="24"/>
        </w:rPr>
        <w:t>Basic Medical College, Guangxi University of Traditional Chinese Medicine, Nanning</w:t>
      </w:r>
      <w:r>
        <w:rPr>
          <w:rFonts w:eastAsia="SimSun" w:hint="eastAsia"/>
          <w:sz w:val="24"/>
          <w:szCs w:val="24"/>
        </w:rPr>
        <w:t xml:space="preserve"> </w:t>
      </w:r>
      <w:r>
        <w:rPr>
          <w:rFonts w:eastAsia="SimSun"/>
          <w:sz w:val="24"/>
          <w:szCs w:val="24"/>
        </w:rPr>
        <w:t xml:space="preserve">530200, Guangxi </w:t>
      </w:r>
      <w:r>
        <w:rPr>
          <w:rFonts w:eastAsia="SimSun" w:hint="eastAsia"/>
          <w:sz w:val="24"/>
          <w:szCs w:val="24"/>
        </w:rPr>
        <w:t>Zhuang Autonomous Region, China</w:t>
      </w:r>
    </w:p>
    <w:p w14:paraId="373A5F55" w14:textId="77777777" w:rsidR="00667E00" w:rsidRDefault="001317D9" w:rsidP="00647629">
      <w:pPr>
        <w:snapToGrid w:val="0"/>
        <w:spacing w:line="240" w:lineRule="auto"/>
        <w:ind w:firstLineChars="0" w:firstLine="0"/>
        <w:jc w:val="both"/>
        <w:rPr>
          <w:rFonts w:eastAsia="SimSun"/>
          <w:sz w:val="24"/>
          <w:szCs w:val="24"/>
        </w:rPr>
      </w:pPr>
      <w:r>
        <w:rPr>
          <w:rFonts w:eastAsia="SimSun"/>
          <w:sz w:val="24"/>
          <w:szCs w:val="24"/>
          <w:vertAlign w:val="superscript"/>
        </w:rPr>
        <w:t>3</w:t>
      </w:r>
      <w:r>
        <w:rPr>
          <w:rFonts w:eastAsia="SimSun"/>
          <w:sz w:val="24"/>
          <w:szCs w:val="24"/>
        </w:rPr>
        <w:t>Key Laboratory of Translational Medicine for Integrated Traditional Chinese and Western Medicine in High-incidence Infectious Diseases, Nanning 530200</w:t>
      </w:r>
      <w:r>
        <w:rPr>
          <w:rFonts w:eastAsia="SimSun" w:hint="eastAsia"/>
          <w:sz w:val="24"/>
          <w:szCs w:val="24"/>
        </w:rPr>
        <w:t xml:space="preserve">, </w:t>
      </w:r>
      <w:r>
        <w:rPr>
          <w:rFonts w:eastAsia="SimSun"/>
          <w:sz w:val="24"/>
          <w:szCs w:val="24"/>
        </w:rPr>
        <w:t xml:space="preserve">Guangxi </w:t>
      </w:r>
      <w:r>
        <w:rPr>
          <w:rFonts w:eastAsia="SimSun" w:hint="eastAsia"/>
          <w:sz w:val="24"/>
          <w:szCs w:val="24"/>
        </w:rPr>
        <w:t>Zhuang Autonomous Region, China</w:t>
      </w:r>
    </w:p>
    <w:p w14:paraId="373A5F56" w14:textId="77777777" w:rsidR="00667E00" w:rsidRDefault="001317D9" w:rsidP="00647629">
      <w:pPr>
        <w:pStyle w:val="Heading2"/>
        <w:snapToGrid w:val="0"/>
        <w:spacing w:line="240" w:lineRule="auto"/>
        <w:ind w:firstLineChars="0" w:firstLine="0"/>
        <w:rPr>
          <w:sz w:val="24"/>
          <w:szCs w:val="24"/>
          <w:lang w:val="en-US"/>
        </w:rPr>
      </w:pPr>
      <w:r>
        <w:rPr>
          <w:b/>
          <w:bCs/>
          <w:sz w:val="24"/>
          <w:szCs w:val="24"/>
          <w:lang w:val="en-US"/>
        </w:rPr>
        <w:t>*</w:t>
      </w:r>
      <w:r>
        <w:rPr>
          <w:b/>
          <w:bCs/>
          <w:i/>
          <w:iCs/>
          <w:sz w:val="24"/>
          <w:szCs w:val="24"/>
          <w:lang w:val="en-US"/>
        </w:rPr>
        <w:t>Corresponding author</w:t>
      </w:r>
      <w:r>
        <w:rPr>
          <w:sz w:val="24"/>
          <w:szCs w:val="24"/>
          <w:lang w:val="en-US"/>
        </w:rPr>
        <w:t>: Chao</w:t>
      </w:r>
      <w:r>
        <w:rPr>
          <w:rFonts w:hint="eastAsia"/>
          <w:sz w:val="24"/>
          <w:szCs w:val="24"/>
          <w:lang w:val="en-US"/>
        </w:rPr>
        <w:t xml:space="preserve"> </w:t>
      </w:r>
      <w:r>
        <w:rPr>
          <w:sz w:val="24"/>
          <w:szCs w:val="24"/>
          <w:lang w:val="en-US"/>
        </w:rPr>
        <w:t>Wang,</w:t>
      </w:r>
      <w:r>
        <w:rPr>
          <w:rFonts w:hint="eastAsia"/>
          <w:sz w:val="24"/>
          <w:szCs w:val="24"/>
          <w:lang w:val="en-US"/>
        </w:rPr>
        <w:t xml:space="preserve"> </w:t>
      </w:r>
      <w:r>
        <w:rPr>
          <w:sz w:val="24"/>
          <w:szCs w:val="24"/>
          <w:lang w:val="en-US"/>
        </w:rPr>
        <w:t>761746302@qq.com</w:t>
      </w:r>
    </w:p>
    <w:p w14:paraId="373A5F57" w14:textId="77777777" w:rsidR="00667E00" w:rsidRDefault="00667E00" w:rsidP="00647629">
      <w:pPr>
        <w:snapToGrid w:val="0"/>
        <w:spacing w:line="240" w:lineRule="auto"/>
        <w:ind w:firstLineChars="0" w:firstLine="0"/>
        <w:jc w:val="center"/>
        <w:rPr>
          <w:rFonts w:eastAsia="SimSun"/>
          <w:sz w:val="24"/>
          <w:szCs w:val="24"/>
        </w:rPr>
      </w:pPr>
    </w:p>
    <w:p w14:paraId="6203016C" w14:textId="77777777" w:rsidR="00E45CD8" w:rsidRPr="00647629" w:rsidRDefault="00E45CD8" w:rsidP="00E45CD8">
      <w:pPr>
        <w:snapToGrid w:val="0"/>
        <w:spacing w:line="240" w:lineRule="auto"/>
        <w:ind w:firstLineChars="0" w:firstLine="0"/>
        <w:jc w:val="both"/>
        <w:rPr>
          <w:rFonts w:eastAsia="SimSun"/>
          <w:sz w:val="20"/>
          <w:szCs w:val="20"/>
        </w:rPr>
      </w:pPr>
      <w:r w:rsidRPr="00647629">
        <w:rPr>
          <w:rFonts w:eastAsia="SimSun"/>
          <w:b/>
          <w:bCs/>
          <w:sz w:val="20"/>
          <w:szCs w:val="20"/>
        </w:rPr>
        <w:t>Copyright:</w:t>
      </w:r>
      <w:r w:rsidRPr="00647629">
        <w:rPr>
          <w:rFonts w:eastAsia="SimSun"/>
          <w:sz w:val="20"/>
          <w:szCs w:val="20"/>
        </w:rPr>
        <w:t xml:space="preserve"> © 2026 Author(s). This is an open-access article distributed under the terms of the Creative Commons Attribution License (CC BY 4.0), permitting distribution and reproduction in any medium, provided the original work is cited.</w:t>
      </w:r>
    </w:p>
    <w:p w14:paraId="373A5F58" w14:textId="77777777" w:rsidR="00667E00" w:rsidRDefault="00667E00" w:rsidP="00647629">
      <w:pPr>
        <w:snapToGrid w:val="0"/>
        <w:spacing w:line="240" w:lineRule="auto"/>
        <w:ind w:firstLineChars="0" w:firstLine="0"/>
        <w:jc w:val="both"/>
        <w:rPr>
          <w:rFonts w:eastAsia="SimSun"/>
          <w:sz w:val="24"/>
          <w:szCs w:val="24"/>
        </w:rPr>
      </w:pPr>
    </w:p>
    <w:p w14:paraId="373A5F59" w14:textId="77777777" w:rsidR="00667E00" w:rsidRDefault="001317D9" w:rsidP="00647629">
      <w:pPr>
        <w:snapToGrid w:val="0"/>
        <w:spacing w:line="240" w:lineRule="auto"/>
        <w:ind w:firstLineChars="0" w:firstLine="0"/>
        <w:jc w:val="both"/>
        <w:rPr>
          <w:rFonts w:eastAsia="KaiTi"/>
          <w:sz w:val="24"/>
          <w:szCs w:val="24"/>
        </w:rPr>
      </w:pPr>
      <w:r>
        <w:rPr>
          <w:rFonts w:eastAsia="SimHei"/>
          <w:b/>
          <w:bCs/>
          <w:sz w:val="24"/>
          <w:szCs w:val="24"/>
        </w:rPr>
        <w:t>A</w:t>
      </w:r>
      <w:r>
        <w:rPr>
          <w:rFonts w:eastAsia="SimHei"/>
          <w:b/>
          <w:bCs/>
          <w:sz w:val="24"/>
          <w:szCs w:val="24"/>
        </w:rPr>
        <w:t>bstract</w:t>
      </w:r>
      <w:r w:rsidRPr="00647629">
        <w:rPr>
          <w:rFonts w:eastAsia="SimHei"/>
          <w:b/>
          <w:bCs/>
          <w:sz w:val="24"/>
          <w:szCs w:val="24"/>
        </w:rPr>
        <w:t xml:space="preserve">: </w:t>
      </w:r>
      <w:r>
        <w:rPr>
          <w:rFonts w:eastAsia="SimHei"/>
          <w:i/>
          <w:iCs/>
          <w:sz w:val="24"/>
          <w:szCs w:val="24"/>
        </w:rPr>
        <w:t>Objective</w:t>
      </w:r>
      <w:r>
        <w:rPr>
          <w:rFonts w:eastAsia="SimHei"/>
          <w:sz w:val="24"/>
          <w:szCs w:val="24"/>
        </w:rPr>
        <w:t xml:space="preserve">: To investigate the molecular mechanisms of </w:t>
      </w:r>
      <w:proofErr w:type="spellStart"/>
      <w:r>
        <w:rPr>
          <w:rFonts w:eastAsia="SimHei"/>
          <w:sz w:val="24"/>
          <w:szCs w:val="24"/>
        </w:rPr>
        <w:t>Shenling</w:t>
      </w:r>
      <w:proofErr w:type="spellEnd"/>
      <w:r>
        <w:rPr>
          <w:rFonts w:eastAsia="SimHei"/>
          <w:sz w:val="24"/>
          <w:szCs w:val="24"/>
        </w:rPr>
        <w:t xml:space="preserve"> </w:t>
      </w:r>
      <w:proofErr w:type="spellStart"/>
      <w:r>
        <w:rPr>
          <w:rFonts w:eastAsia="SimHei"/>
          <w:sz w:val="24"/>
          <w:szCs w:val="24"/>
        </w:rPr>
        <w:t>Baizhu</w:t>
      </w:r>
      <w:proofErr w:type="spellEnd"/>
      <w:r>
        <w:rPr>
          <w:rFonts w:eastAsia="SimHei"/>
          <w:sz w:val="24"/>
          <w:szCs w:val="24"/>
        </w:rPr>
        <w:t xml:space="preserve"> Powder with modifications in treating obesity using network pharmacology and molecular dynamics approaches. </w:t>
      </w:r>
      <w:r>
        <w:rPr>
          <w:rFonts w:eastAsia="SimHei"/>
          <w:i/>
          <w:iCs/>
          <w:sz w:val="24"/>
          <w:szCs w:val="24"/>
        </w:rPr>
        <w:t>Methods</w:t>
      </w:r>
      <w:r>
        <w:rPr>
          <w:rFonts w:eastAsia="SimHei"/>
          <w:sz w:val="24"/>
          <w:szCs w:val="24"/>
        </w:rPr>
        <w:t xml:space="preserve">: Active components of </w:t>
      </w:r>
      <w:proofErr w:type="spellStart"/>
      <w:r>
        <w:rPr>
          <w:rFonts w:eastAsia="SimHei"/>
          <w:sz w:val="24"/>
          <w:szCs w:val="24"/>
        </w:rPr>
        <w:t>Shenling</w:t>
      </w:r>
      <w:proofErr w:type="spellEnd"/>
      <w:r>
        <w:rPr>
          <w:rFonts w:eastAsia="SimHei"/>
          <w:sz w:val="24"/>
          <w:szCs w:val="24"/>
        </w:rPr>
        <w:t xml:space="preserve"> </w:t>
      </w:r>
      <w:proofErr w:type="spellStart"/>
      <w:r>
        <w:rPr>
          <w:rFonts w:eastAsia="SimHei"/>
          <w:sz w:val="24"/>
          <w:szCs w:val="24"/>
        </w:rPr>
        <w:t>Baizhu</w:t>
      </w:r>
      <w:proofErr w:type="spellEnd"/>
      <w:r>
        <w:rPr>
          <w:rFonts w:eastAsia="SimHei"/>
          <w:sz w:val="24"/>
          <w:szCs w:val="24"/>
        </w:rPr>
        <w:t xml:space="preserve"> Powder were identified from the TCMSP and BATMAN-TCM databases, and their target molecules were predicted using Swiss Target Prediction and SEA; obesity-related targets were retrieved from </w:t>
      </w:r>
      <w:proofErr w:type="spellStart"/>
      <w:r>
        <w:rPr>
          <w:rFonts w:eastAsia="SimHei"/>
          <w:sz w:val="24"/>
          <w:szCs w:val="24"/>
        </w:rPr>
        <w:t>GeneCards</w:t>
      </w:r>
      <w:proofErr w:type="spellEnd"/>
      <w:r>
        <w:rPr>
          <w:rFonts w:eastAsia="SimHei"/>
          <w:sz w:val="24"/>
          <w:szCs w:val="24"/>
        </w:rPr>
        <w:t>, CTD, NCBI, and the GEO dataset GSE151839, with potential therapeutic targets identified through intersection analysis; drug-component-target networks and protein-protein interaction (PPI) networks were constructed, followed by GO and KEGG enrichment analyses; molecular doc</w:t>
      </w:r>
      <w:r>
        <w:rPr>
          <w:rFonts w:eastAsia="SimHei"/>
          <w:sz w:val="24"/>
          <w:szCs w:val="24"/>
        </w:rPr>
        <w:t xml:space="preserve">king was performed using Schrödinger, and molecular dynamics simulations were conducted with GROMACS. </w:t>
      </w:r>
      <w:r>
        <w:rPr>
          <w:rFonts w:eastAsia="SimHei"/>
          <w:i/>
          <w:iCs/>
          <w:sz w:val="24"/>
          <w:szCs w:val="24"/>
        </w:rPr>
        <w:t>Results</w:t>
      </w:r>
      <w:r>
        <w:rPr>
          <w:rFonts w:eastAsia="SimHei"/>
          <w:sz w:val="24"/>
          <w:szCs w:val="24"/>
        </w:rPr>
        <w:t xml:space="preserve">: A total of 196 active components were screened, among which 73 were identified as potential targets for obesity. Key components included </w:t>
      </w:r>
      <w:proofErr w:type="spellStart"/>
      <w:r>
        <w:rPr>
          <w:rFonts w:eastAsia="SimHei"/>
          <w:sz w:val="24"/>
          <w:szCs w:val="24"/>
        </w:rPr>
        <w:t>ent</w:t>
      </w:r>
      <w:proofErr w:type="spellEnd"/>
      <w:r>
        <w:rPr>
          <w:rFonts w:eastAsia="SimHei"/>
          <w:sz w:val="24"/>
          <w:szCs w:val="24"/>
        </w:rPr>
        <w:t xml:space="preserve">-Epicatechin, licorice glycoside E, and </w:t>
      </w:r>
      <w:proofErr w:type="spellStart"/>
      <w:r>
        <w:rPr>
          <w:rFonts w:eastAsia="SimHei"/>
          <w:sz w:val="24"/>
          <w:szCs w:val="24"/>
        </w:rPr>
        <w:t>dehydroglyasperins</w:t>
      </w:r>
      <w:proofErr w:type="spellEnd"/>
      <w:r>
        <w:rPr>
          <w:rFonts w:eastAsia="SimHei"/>
          <w:sz w:val="24"/>
          <w:szCs w:val="24"/>
        </w:rPr>
        <w:t xml:space="preserve"> C, with PIK3R1, PIK3CA, and SRC as critical targets. Enrichment analyses revealed involvement in pathways such as insulin resistance, lipid metabolism, and atherosclerosis. Molecular docking demonstrated that PIK3CA exhibited the lowest binding affinity with licorice glycoside E, and molecular dynamics simulat</w:t>
      </w:r>
      <w:r>
        <w:rPr>
          <w:rFonts w:eastAsia="SimHei"/>
          <w:sz w:val="24"/>
          <w:szCs w:val="24"/>
        </w:rPr>
        <w:t xml:space="preserve">ions confirmed optimal stability of this complex. </w:t>
      </w:r>
      <w:r>
        <w:rPr>
          <w:rFonts w:eastAsia="SimHei"/>
          <w:i/>
          <w:iCs/>
          <w:sz w:val="24"/>
          <w:szCs w:val="24"/>
        </w:rPr>
        <w:t>Conclusion</w:t>
      </w:r>
      <w:r>
        <w:rPr>
          <w:rFonts w:eastAsia="SimHei" w:hint="eastAsia"/>
          <w:sz w:val="24"/>
          <w:szCs w:val="24"/>
        </w:rPr>
        <w:t>:</w:t>
      </w:r>
      <w:r>
        <w:rPr>
          <w:rFonts w:eastAsia="SimHei"/>
          <w:sz w:val="24"/>
          <w:szCs w:val="24"/>
        </w:rPr>
        <w:t xml:space="preserve"> The modified </w:t>
      </w:r>
      <w:proofErr w:type="spellStart"/>
      <w:r>
        <w:rPr>
          <w:rFonts w:eastAsia="SimHei"/>
          <w:sz w:val="24"/>
          <w:szCs w:val="24"/>
        </w:rPr>
        <w:t>Shenling</w:t>
      </w:r>
      <w:proofErr w:type="spellEnd"/>
      <w:r>
        <w:rPr>
          <w:rFonts w:eastAsia="SimHei"/>
          <w:sz w:val="24"/>
          <w:szCs w:val="24"/>
        </w:rPr>
        <w:t xml:space="preserve"> </w:t>
      </w:r>
      <w:proofErr w:type="spellStart"/>
      <w:r>
        <w:rPr>
          <w:rFonts w:eastAsia="SimHei"/>
          <w:sz w:val="24"/>
          <w:szCs w:val="24"/>
        </w:rPr>
        <w:t>Baizhu</w:t>
      </w:r>
      <w:proofErr w:type="spellEnd"/>
      <w:r>
        <w:rPr>
          <w:rFonts w:eastAsia="SimHei"/>
          <w:sz w:val="24"/>
          <w:szCs w:val="24"/>
        </w:rPr>
        <w:t xml:space="preserve"> Powder exerts multi-target, multi-pathway effects in combating obesity, with core components including </w:t>
      </w:r>
      <w:proofErr w:type="spellStart"/>
      <w:r>
        <w:rPr>
          <w:rFonts w:eastAsia="SimHei"/>
          <w:sz w:val="24"/>
          <w:szCs w:val="24"/>
        </w:rPr>
        <w:t>ent</w:t>
      </w:r>
      <w:proofErr w:type="spellEnd"/>
      <w:r>
        <w:rPr>
          <w:rFonts w:eastAsia="SimHei"/>
          <w:sz w:val="24"/>
          <w:szCs w:val="24"/>
        </w:rPr>
        <w:t xml:space="preserve">-Epicatechin, licorice glycoside E, and </w:t>
      </w:r>
      <w:proofErr w:type="spellStart"/>
      <w:r>
        <w:rPr>
          <w:rFonts w:eastAsia="SimHei"/>
          <w:sz w:val="24"/>
          <w:szCs w:val="24"/>
        </w:rPr>
        <w:t>dehydroglyasperins</w:t>
      </w:r>
      <w:proofErr w:type="spellEnd"/>
      <w:r>
        <w:rPr>
          <w:rFonts w:eastAsia="SimHei"/>
          <w:sz w:val="24"/>
          <w:szCs w:val="24"/>
        </w:rPr>
        <w:t xml:space="preserve"> C, thereby providing a theoretical foundation for clinical applications.</w:t>
      </w:r>
      <w:r>
        <w:rPr>
          <w:rFonts w:eastAsia="KaiTi"/>
          <w:sz w:val="24"/>
          <w:szCs w:val="24"/>
        </w:rPr>
        <w:t xml:space="preserve"> </w:t>
      </w:r>
    </w:p>
    <w:p w14:paraId="373A5F5A" w14:textId="77777777" w:rsidR="00667E00" w:rsidRDefault="001317D9" w:rsidP="00647629">
      <w:pPr>
        <w:snapToGrid w:val="0"/>
        <w:spacing w:line="240" w:lineRule="auto"/>
        <w:ind w:firstLineChars="0" w:firstLine="0"/>
        <w:jc w:val="both"/>
        <w:rPr>
          <w:rFonts w:eastAsia="KaiTi"/>
          <w:sz w:val="24"/>
          <w:szCs w:val="24"/>
        </w:rPr>
      </w:pPr>
      <w:r>
        <w:rPr>
          <w:rFonts w:eastAsia="SimHei"/>
          <w:b/>
          <w:bCs/>
          <w:sz w:val="24"/>
          <w:szCs w:val="24"/>
        </w:rPr>
        <w:t>Keyword</w:t>
      </w:r>
      <w:r>
        <w:rPr>
          <w:rFonts w:eastAsia="SimHei"/>
          <w:sz w:val="24"/>
          <w:szCs w:val="24"/>
        </w:rPr>
        <w:t>s</w:t>
      </w:r>
      <w:r w:rsidRPr="00647629">
        <w:rPr>
          <w:rFonts w:eastAsia="SimHei"/>
          <w:b/>
          <w:bCs/>
          <w:sz w:val="24"/>
          <w:szCs w:val="24"/>
        </w:rPr>
        <w:t>:</w:t>
      </w:r>
      <w:r>
        <w:rPr>
          <w:rFonts w:eastAsia="SimHei"/>
          <w:sz w:val="24"/>
          <w:szCs w:val="24"/>
        </w:rPr>
        <w:t xml:space="preserve"> Obesity; Modified </w:t>
      </w:r>
      <w:proofErr w:type="spellStart"/>
      <w:r>
        <w:rPr>
          <w:rFonts w:eastAsia="SimHei"/>
          <w:sz w:val="24"/>
          <w:szCs w:val="24"/>
        </w:rPr>
        <w:t>Shenling</w:t>
      </w:r>
      <w:proofErr w:type="spellEnd"/>
      <w:r>
        <w:rPr>
          <w:rFonts w:eastAsia="SimHei"/>
          <w:sz w:val="24"/>
          <w:szCs w:val="24"/>
        </w:rPr>
        <w:t xml:space="preserve"> </w:t>
      </w:r>
      <w:proofErr w:type="spellStart"/>
      <w:r>
        <w:rPr>
          <w:rFonts w:eastAsia="SimHei"/>
          <w:sz w:val="24"/>
          <w:szCs w:val="24"/>
        </w:rPr>
        <w:t>Baizhu</w:t>
      </w:r>
      <w:proofErr w:type="spellEnd"/>
      <w:r>
        <w:rPr>
          <w:rFonts w:eastAsia="SimHei"/>
          <w:sz w:val="24"/>
          <w:szCs w:val="24"/>
        </w:rPr>
        <w:t xml:space="preserve"> Powder; Network </w:t>
      </w:r>
      <w:r>
        <w:rPr>
          <w:rFonts w:eastAsia="SimHei" w:hint="eastAsia"/>
          <w:sz w:val="24"/>
          <w:szCs w:val="24"/>
        </w:rPr>
        <w:t>p</w:t>
      </w:r>
      <w:r>
        <w:rPr>
          <w:rFonts w:eastAsia="SimHei"/>
          <w:sz w:val="24"/>
          <w:szCs w:val="24"/>
        </w:rPr>
        <w:t xml:space="preserve">harmacology; Molecular </w:t>
      </w:r>
      <w:r>
        <w:rPr>
          <w:rFonts w:eastAsia="SimHei" w:hint="eastAsia"/>
          <w:sz w:val="24"/>
          <w:szCs w:val="24"/>
        </w:rPr>
        <w:t>d</w:t>
      </w:r>
      <w:r>
        <w:rPr>
          <w:rFonts w:eastAsia="SimHei"/>
          <w:sz w:val="24"/>
          <w:szCs w:val="24"/>
        </w:rPr>
        <w:t>ynamics</w:t>
      </w:r>
    </w:p>
    <w:p w14:paraId="373A5F5B" w14:textId="77777777" w:rsidR="00667E00" w:rsidRDefault="00667E00" w:rsidP="00F86697">
      <w:pPr>
        <w:snapToGrid w:val="0"/>
        <w:spacing w:line="240" w:lineRule="auto"/>
        <w:ind w:firstLineChars="0" w:firstLine="0"/>
        <w:jc w:val="both"/>
        <w:rPr>
          <w:rFonts w:eastAsia="KaiTi"/>
          <w:sz w:val="24"/>
          <w:szCs w:val="24"/>
        </w:rPr>
      </w:pPr>
    </w:p>
    <w:p w14:paraId="31D7D29C" w14:textId="49BB40C9" w:rsidR="00E45CD8" w:rsidRPr="00647629" w:rsidRDefault="00E45CD8" w:rsidP="00F86697">
      <w:pPr>
        <w:snapToGrid w:val="0"/>
        <w:spacing w:line="240" w:lineRule="auto"/>
        <w:ind w:firstLineChars="0" w:firstLine="0"/>
        <w:jc w:val="both"/>
        <w:rPr>
          <w:rFonts w:eastAsia="KaiTi"/>
          <w:b/>
          <w:bCs/>
          <w:sz w:val="24"/>
          <w:szCs w:val="24"/>
        </w:rPr>
      </w:pPr>
      <w:r w:rsidRPr="00647629">
        <w:rPr>
          <w:rFonts w:eastAsia="KaiTi"/>
          <w:b/>
          <w:bCs/>
          <w:sz w:val="24"/>
          <w:szCs w:val="24"/>
        </w:rPr>
        <w:t>Online publication:</w:t>
      </w:r>
    </w:p>
    <w:p w14:paraId="0CA726BE" w14:textId="77777777" w:rsidR="00E45CD8" w:rsidRDefault="00E45CD8" w:rsidP="00647629">
      <w:pPr>
        <w:snapToGrid w:val="0"/>
        <w:spacing w:line="240" w:lineRule="auto"/>
        <w:ind w:firstLineChars="0" w:firstLine="0"/>
        <w:jc w:val="both"/>
        <w:rPr>
          <w:rFonts w:eastAsia="KaiTi"/>
          <w:sz w:val="24"/>
          <w:szCs w:val="24"/>
        </w:rPr>
      </w:pPr>
    </w:p>
    <w:p w14:paraId="373A5F5C" w14:textId="77777777" w:rsidR="00667E00" w:rsidRDefault="001317D9" w:rsidP="00647629">
      <w:pPr>
        <w:pStyle w:val="a"/>
        <w:snapToGrid w:val="0"/>
        <w:spacing w:line="240" w:lineRule="auto"/>
        <w:ind w:firstLineChars="0" w:firstLine="0"/>
        <w:rPr>
          <w:rFonts w:hint="default"/>
          <w:b/>
          <w:bCs/>
          <w:sz w:val="24"/>
          <w:szCs w:val="24"/>
          <w:lang w:val="en-US"/>
        </w:rPr>
      </w:pPr>
      <w:r>
        <w:rPr>
          <w:b/>
          <w:bCs/>
          <w:sz w:val="24"/>
          <w:szCs w:val="24"/>
          <w:lang w:val="en-US"/>
        </w:rPr>
        <w:t>1. Introduction</w:t>
      </w:r>
    </w:p>
    <w:p w14:paraId="373A5F5D" w14:textId="4B81A6F5" w:rsidR="00667E00" w:rsidRDefault="001317D9" w:rsidP="00647629">
      <w:pPr>
        <w:pStyle w:val="a"/>
        <w:snapToGrid w:val="0"/>
        <w:spacing w:line="240" w:lineRule="auto"/>
        <w:ind w:firstLineChars="0" w:firstLine="0"/>
        <w:rPr>
          <w:rFonts w:hint="default"/>
          <w:color w:val="000000"/>
          <w:sz w:val="24"/>
          <w:szCs w:val="24"/>
          <w:lang w:val="en-US"/>
        </w:rPr>
      </w:pPr>
      <w:r>
        <w:rPr>
          <w:rFonts w:hint="default"/>
          <w:sz w:val="24"/>
          <w:szCs w:val="24"/>
        </w:rPr>
        <w:t>Obesity is a chronic metabolic disorder characterized by excessive accumulation and abnormal distribution of fat in the body, influenced by multiple factors including genetics and environment</w:t>
      </w:r>
      <w:r w:rsidR="00E45CD8">
        <w:rPr>
          <w:rFonts w:hint="default"/>
          <w:sz w:val="24"/>
          <w:szCs w:val="24"/>
        </w:rPr>
        <w:t xml:space="preserve"> </w:t>
      </w:r>
      <w:r>
        <w:rPr>
          <w:rFonts w:hint="default"/>
          <w:color w:val="000000"/>
          <w:sz w:val="24"/>
          <w:szCs w:val="24"/>
          <w:vertAlign w:val="superscript"/>
        </w:rPr>
        <w:t>[1]</w:t>
      </w:r>
      <w:r>
        <w:rPr>
          <w:rFonts w:hint="default"/>
          <w:sz w:val="24"/>
          <w:szCs w:val="24"/>
        </w:rPr>
        <w:t>.</w:t>
      </w:r>
      <w:r>
        <w:rPr>
          <w:color w:val="000000"/>
          <w:sz w:val="24"/>
          <w:szCs w:val="24"/>
          <w:vertAlign w:val="superscript"/>
          <w:lang w:val="en-US"/>
        </w:rPr>
        <w:t xml:space="preserve"> </w:t>
      </w:r>
      <w:r>
        <w:rPr>
          <w:rFonts w:hint="default"/>
          <w:color w:val="000000"/>
          <w:sz w:val="24"/>
          <w:szCs w:val="24"/>
        </w:rPr>
        <w:t>It is a significant predisposing factor for cardiovascular diseases, diabetes mellitus, polycystic ovary syndrome, and other conditions</w:t>
      </w:r>
      <w:r w:rsidR="00E45CD8">
        <w:rPr>
          <w:rFonts w:hint="default"/>
          <w:color w:val="000000"/>
          <w:sz w:val="24"/>
          <w:szCs w:val="24"/>
        </w:rPr>
        <w:t xml:space="preserve"> </w:t>
      </w:r>
      <w:r>
        <w:rPr>
          <w:rFonts w:hint="default"/>
          <w:color w:val="000000"/>
          <w:sz w:val="24"/>
          <w:szCs w:val="24"/>
          <w:vertAlign w:val="superscript"/>
        </w:rPr>
        <w:t>[2]</w:t>
      </w:r>
      <w:r>
        <w:rPr>
          <w:rFonts w:hint="default"/>
          <w:color w:val="000000"/>
          <w:sz w:val="24"/>
          <w:szCs w:val="24"/>
        </w:rPr>
        <w:t>.</w:t>
      </w:r>
      <w:r>
        <w:rPr>
          <w:color w:val="000000"/>
          <w:sz w:val="24"/>
          <w:szCs w:val="24"/>
          <w:lang w:val="en-US"/>
        </w:rPr>
        <w:t xml:space="preserve"> </w:t>
      </w:r>
      <w:r>
        <w:rPr>
          <w:rFonts w:hint="default"/>
          <w:color w:val="000000"/>
          <w:sz w:val="24"/>
          <w:szCs w:val="24"/>
        </w:rPr>
        <w:t xml:space="preserve">Western medicine commonly employs central weight-loss agents and lipase inhibitors, though these may cause cardiovascular and gastrointestinal adverse reactions. Recent clinical studies have demonstrated that traditional Chinese medicine exhibits significant efficacy in obesity treatment, particularly compound formulations such as modified </w:t>
      </w:r>
      <w:proofErr w:type="spellStart"/>
      <w:r>
        <w:rPr>
          <w:rFonts w:hint="default"/>
          <w:color w:val="000000"/>
          <w:sz w:val="24"/>
          <w:szCs w:val="24"/>
        </w:rPr>
        <w:t>Shenling</w:t>
      </w:r>
      <w:proofErr w:type="spellEnd"/>
      <w:r>
        <w:rPr>
          <w:rFonts w:hint="default"/>
          <w:color w:val="000000"/>
          <w:sz w:val="24"/>
          <w:szCs w:val="24"/>
        </w:rPr>
        <w:t xml:space="preserve"> </w:t>
      </w:r>
      <w:proofErr w:type="spellStart"/>
      <w:r>
        <w:rPr>
          <w:rFonts w:hint="default"/>
          <w:color w:val="000000"/>
          <w:sz w:val="24"/>
          <w:szCs w:val="24"/>
        </w:rPr>
        <w:t>Baizhu</w:t>
      </w:r>
      <w:proofErr w:type="spellEnd"/>
      <w:r>
        <w:rPr>
          <w:rFonts w:hint="default"/>
          <w:color w:val="000000"/>
          <w:sz w:val="24"/>
          <w:szCs w:val="24"/>
        </w:rPr>
        <w:t xml:space="preserve"> </w:t>
      </w:r>
      <w:r>
        <w:rPr>
          <w:rFonts w:hint="default"/>
          <w:color w:val="000000"/>
          <w:sz w:val="24"/>
          <w:szCs w:val="24"/>
        </w:rPr>
        <w:lastRenderedPageBreak/>
        <w:t>Powder, which primarily focuses on strengthening the spleen and eliminating dampness, offering unique advantages</w:t>
      </w:r>
      <w:r w:rsidR="00E45CD8">
        <w:rPr>
          <w:rFonts w:hint="default"/>
          <w:color w:val="000000"/>
          <w:sz w:val="24"/>
          <w:szCs w:val="24"/>
        </w:rPr>
        <w:t xml:space="preserve"> </w:t>
      </w:r>
      <w:r>
        <w:rPr>
          <w:rFonts w:hint="default"/>
          <w:color w:val="000000"/>
          <w:sz w:val="24"/>
          <w:szCs w:val="24"/>
          <w:vertAlign w:val="superscript"/>
        </w:rPr>
        <w:t>[1</w:t>
      </w:r>
      <w:r w:rsidR="00E45CD8">
        <w:rPr>
          <w:rFonts w:hint="default"/>
          <w:color w:val="000000"/>
          <w:sz w:val="24"/>
          <w:szCs w:val="24"/>
          <w:vertAlign w:val="superscript"/>
        </w:rPr>
        <w:t>,</w:t>
      </w:r>
      <w:r>
        <w:rPr>
          <w:rFonts w:hint="default"/>
          <w:color w:val="000000"/>
          <w:sz w:val="24"/>
          <w:szCs w:val="24"/>
          <w:vertAlign w:val="superscript"/>
        </w:rPr>
        <w:t>2]</w:t>
      </w:r>
      <w:r>
        <w:rPr>
          <w:rFonts w:hint="default"/>
          <w:color w:val="000000"/>
          <w:sz w:val="24"/>
          <w:szCs w:val="24"/>
        </w:rPr>
        <w:t>.</w:t>
      </w:r>
      <w:r>
        <w:rPr>
          <w:color w:val="000000"/>
          <w:sz w:val="24"/>
          <w:szCs w:val="24"/>
          <w:lang w:val="en-US"/>
        </w:rPr>
        <w:t xml:space="preserve"> </w:t>
      </w:r>
      <w:r>
        <w:rPr>
          <w:rFonts w:hint="default"/>
          <w:color w:val="000000"/>
          <w:sz w:val="24"/>
          <w:szCs w:val="24"/>
          <w:lang w:val="en-US"/>
        </w:rPr>
        <w:t xml:space="preserve">Traditional Chinese Medicine holds that obesity primarily results from excessive consumption of greasy and sweet foods, prolonged sedentary behavior with insufficient physical activity, and emotional disturbances leading to spleen deficiency with impaired transportation and transformation functions, as well as the accumulation of dampness, turbidity, phlegm, and stasis internally. </w:t>
      </w:r>
      <w:proofErr w:type="spellStart"/>
      <w:r>
        <w:rPr>
          <w:rFonts w:hint="default"/>
          <w:color w:val="000000"/>
          <w:sz w:val="24"/>
          <w:szCs w:val="24"/>
          <w:lang w:val="en-US"/>
        </w:rPr>
        <w:t>Shenling</w:t>
      </w:r>
      <w:proofErr w:type="spellEnd"/>
      <w:r>
        <w:rPr>
          <w:rFonts w:hint="default"/>
          <w:color w:val="000000"/>
          <w:sz w:val="24"/>
          <w:szCs w:val="24"/>
          <w:lang w:val="en-US"/>
        </w:rPr>
        <w:t xml:space="preserve"> </w:t>
      </w:r>
      <w:proofErr w:type="spellStart"/>
      <w:r>
        <w:rPr>
          <w:rFonts w:hint="default"/>
          <w:color w:val="000000"/>
          <w:sz w:val="24"/>
          <w:szCs w:val="24"/>
          <w:lang w:val="en-US"/>
        </w:rPr>
        <w:t>Baizhu</w:t>
      </w:r>
      <w:proofErr w:type="spellEnd"/>
      <w:r>
        <w:rPr>
          <w:rFonts w:hint="default"/>
          <w:color w:val="000000"/>
          <w:sz w:val="24"/>
          <w:szCs w:val="24"/>
          <w:lang w:val="en-US"/>
        </w:rPr>
        <w:t xml:space="preserve"> Powder, as a classical herbal formula, plays a significant role in the treatment of obesity</w:t>
      </w:r>
      <w:r w:rsidR="00E45CD8">
        <w:rPr>
          <w:rFonts w:hint="default"/>
          <w:color w:val="000000"/>
          <w:sz w:val="24"/>
          <w:szCs w:val="24"/>
          <w:lang w:val="en-US"/>
        </w:rPr>
        <w:t xml:space="preserve"> </w:t>
      </w:r>
      <w:r>
        <w:rPr>
          <w:rFonts w:hint="default"/>
          <w:color w:val="000000"/>
          <w:sz w:val="24"/>
          <w:szCs w:val="24"/>
          <w:vertAlign w:val="superscript"/>
          <w:lang w:val="en-US"/>
        </w:rPr>
        <w:t>[3</w:t>
      </w:r>
      <w:r w:rsidR="009C50D9">
        <w:rPr>
          <w:rFonts w:hint="default"/>
          <w:color w:val="000000"/>
          <w:sz w:val="24"/>
          <w:szCs w:val="24"/>
          <w:vertAlign w:val="superscript"/>
          <w:lang w:val="en-US"/>
        </w:rPr>
        <w:t>,</w:t>
      </w:r>
      <w:r>
        <w:rPr>
          <w:rFonts w:hint="default"/>
          <w:color w:val="000000"/>
          <w:sz w:val="24"/>
          <w:szCs w:val="24"/>
          <w:vertAlign w:val="superscript"/>
          <w:lang w:val="en-US"/>
        </w:rPr>
        <w:t>4]</w:t>
      </w:r>
      <w:r>
        <w:rPr>
          <w:rFonts w:hint="default"/>
          <w:color w:val="000000"/>
          <w:sz w:val="24"/>
          <w:szCs w:val="24"/>
          <w:lang w:val="en-US"/>
        </w:rPr>
        <w:t>.</w:t>
      </w:r>
      <w:bookmarkStart w:id="0" w:name="_Toc20293"/>
      <w:bookmarkStart w:id="1" w:name="_Toc2180"/>
      <w:r>
        <w:rPr>
          <w:color w:val="000000"/>
          <w:sz w:val="24"/>
          <w:szCs w:val="24"/>
          <w:lang w:val="en-US"/>
        </w:rPr>
        <w:t xml:space="preserve"> </w:t>
      </w:r>
      <w:r>
        <w:rPr>
          <w:rFonts w:hint="default"/>
          <w:color w:val="000000"/>
          <w:sz w:val="24"/>
          <w:szCs w:val="24"/>
          <w:lang w:val="en-US"/>
        </w:rPr>
        <w:t xml:space="preserve">However, the precise mechanisms underlying these modified formulations remain unclear. This study integrates network pharmacology, molecular docking, and molecular dynamics to systematically elucidate the target pathways and molecular mechanisms of modified </w:t>
      </w:r>
      <w:proofErr w:type="spellStart"/>
      <w:r>
        <w:rPr>
          <w:rFonts w:hint="default"/>
          <w:color w:val="000000"/>
          <w:sz w:val="24"/>
          <w:szCs w:val="24"/>
          <w:lang w:val="en-US"/>
        </w:rPr>
        <w:t>Shenling</w:t>
      </w:r>
      <w:proofErr w:type="spellEnd"/>
      <w:r>
        <w:rPr>
          <w:rFonts w:hint="default"/>
          <w:color w:val="000000"/>
          <w:sz w:val="24"/>
          <w:szCs w:val="24"/>
          <w:lang w:val="en-US"/>
        </w:rPr>
        <w:t xml:space="preserve"> </w:t>
      </w:r>
      <w:proofErr w:type="spellStart"/>
      <w:r>
        <w:rPr>
          <w:rFonts w:hint="default"/>
          <w:color w:val="000000"/>
          <w:sz w:val="24"/>
          <w:szCs w:val="24"/>
          <w:lang w:val="en-US"/>
        </w:rPr>
        <w:t>Baizhu</w:t>
      </w:r>
      <w:proofErr w:type="spellEnd"/>
      <w:r>
        <w:rPr>
          <w:rFonts w:hint="default"/>
          <w:color w:val="000000"/>
          <w:sz w:val="24"/>
          <w:szCs w:val="24"/>
          <w:lang w:val="en-US"/>
        </w:rPr>
        <w:t xml:space="preserve"> Powder in treating obesity.</w:t>
      </w:r>
    </w:p>
    <w:p w14:paraId="373A5F5E" w14:textId="77777777" w:rsidR="00667E00" w:rsidRDefault="00667E00" w:rsidP="00647629">
      <w:pPr>
        <w:pStyle w:val="a"/>
        <w:snapToGrid w:val="0"/>
        <w:spacing w:line="240" w:lineRule="auto"/>
        <w:ind w:firstLineChars="0" w:firstLine="0"/>
        <w:rPr>
          <w:rFonts w:hint="default"/>
          <w:color w:val="000000"/>
          <w:sz w:val="24"/>
          <w:szCs w:val="24"/>
          <w:lang w:val="en-US"/>
        </w:rPr>
      </w:pPr>
    </w:p>
    <w:p w14:paraId="373A5F5F" w14:textId="77777777" w:rsidR="00667E00" w:rsidRDefault="001317D9" w:rsidP="00647629">
      <w:pPr>
        <w:pStyle w:val="a0"/>
        <w:snapToGrid w:val="0"/>
        <w:spacing w:before="0" w:after="0" w:line="240" w:lineRule="auto"/>
        <w:jc w:val="left"/>
        <w:rPr>
          <w:rFonts w:eastAsia="SimSun" w:hint="default"/>
          <w:sz w:val="24"/>
          <w:szCs w:val="24"/>
        </w:rPr>
      </w:pPr>
      <w:r>
        <w:rPr>
          <w:rFonts w:eastAsia="FangSong"/>
          <w:sz w:val="24"/>
          <w:szCs w:val="24"/>
          <w:lang w:val="en-US"/>
        </w:rPr>
        <w:t>2.</w:t>
      </w:r>
      <w:r>
        <w:rPr>
          <w:rFonts w:eastAsia="FangSong" w:hint="default"/>
          <w:sz w:val="24"/>
          <w:szCs w:val="24"/>
          <w:lang w:val="en-US"/>
        </w:rPr>
        <w:t xml:space="preserve"> Materials and </w:t>
      </w:r>
      <w:r>
        <w:rPr>
          <w:rFonts w:eastAsia="FangSong"/>
          <w:sz w:val="24"/>
          <w:szCs w:val="24"/>
          <w:lang w:val="en-US"/>
        </w:rPr>
        <w:t>m</w:t>
      </w:r>
      <w:r>
        <w:rPr>
          <w:rFonts w:eastAsia="FangSong" w:hint="default"/>
          <w:sz w:val="24"/>
          <w:szCs w:val="24"/>
          <w:lang w:val="en-US"/>
        </w:rPr>
        <w:t>ethods</w:t>
      </w:r>
      <w:bookmarkEnd w:id="0"/>
      <w:bookmarkEnd w:id="1"/>
    </w:p>
    <w:p w14:paraId="373A5F60" w14:textId="77777777" w:rsidR="00667E00" w:rsidRDefault="001317D9" w:rsidP="00647629">
      <w:pPr>
        <w:pStyle w:val="a1"/>
        <w:snapToGrid w:val="0"/>
        <w:spacing w:before="0" w:after="0" w:line="240" w:lineRule="auto"/>
        <w:jc w:val="both"/>
        <w:rPr>
          <w:rFonts w:eastAsia="SimSun" w:hint="default"/>
          <w:szCs w:val="24"/>
        </w:rPr>
      </w:pPr>
      <w:bookmarkStart w:id="2" w:name="_Toc3364"/>
      <w:bookmarkStart w:id="3" w:name="_Toc16571"/>
      <w:r>
        <w:rPr>
          <w:rFonts w:eastAsia="SimSun"/>
          <w:szCs w:val="24"/>
          <w:lang w:val="en-US"/>
        </w:rPr>
        <w:t>2</w:t>
      </w:r>
      <w:r>
        <w:rPr>
          <w:rFonts w:eastAsia="SimSun" w:hint="default"/>
          <w:szCs w:val="24"/>
          <w:lang w:val="en-US"/>
        </w:rPr>
        <w:t>.1</w:t>
      </w:r>
      <w:r>
        <w:rPr>
          <w:rFonts w:eastAsia="SimSun"/>
          <w:szCs w:val="24"/>
          <w:lang w:val="en-US"/>
        </w:rPr>
        <w:t>.</w:t>
      </w:r>
      <w:r>
        <w:rPr>
          <w:rFonts w:eastAsia="SimSun" w:hint="default"/>
          <w:szCs w:val="24"/>
          <w:lang w:val="en-US"/>
        </w:rPr>
        <w:t xml:space="preserve"> Collection and screening of active chemical components from compound traditional Chinese medicines and their corresponding predictive targets</w:t>
      </w:r>
      <w:bookmarkEnd w:id="2"/>
      <w:bookmarkEnd w:id="3"/>
    </w:p>
    <w:p w14:paraId="373A5F61" w14:textId="13F9EBFD" w:rsidR="00667E00" w:rsidRDefault="001317D9" w:rsidP="00647629">
      <w:pPr>
        <w:pStyle w:val="a"/>
        <w:snapToGrid w:val="0"/>
        <w:spacing w:line="240" w:lineRule="auto"/>
        <w:ind w:firstLineChars="0" w:firstLine="0"/>
        <w:rPr>
          <w:rFonts w:hint="default"/>
          <w:sz w:val="24"/>
          <w:szCs w:val="24"/>
          <w:lang w:val="en-US"/>
        </w:rPr>
      </w:pPr>
      <w:r>
        <w:rPr>
          <w:rFonts w:hint="default"/>
          <w:sz w:val="24"/>
          <w:szCs w:val="24"/>
          <w:lang w:val="en-US"/>
        </w:rPr>
        <w:t>From TCMSP</w:t>
      </w:r>
      <w:r w:rsidR="0051504C">
        <w:rPr>
          <w:rFonts w:hint="default"/>
          <w:sz w:val="24"/>
          <w:szCs w:val="24"/>
          <w:lang w:val="en-US"/>
        </w:rPr>
        <w:t xml:space="preserve"> </w:t>
      </w:r>
      <w:r>
        <w:rPr>
          <w:sz w:val="24"/>
          <w:szCs w:val="24"/>
          <w:lang w:val="en-US"/>
        </w:rPr>
        <w:t>t</w:t>
      </w:r>
      <w:r>
        <w:rPr>
          <w:rFonts w:hint="default"/>
          <w:sz w:val="24"/>
          <w:szCs w:val="24"/>
          <w:lang w:val="en-US"/>
        </w:rPr>
        <w:t xml:space="preserve">he database (OB ≥ 30%, DL ≥ 0.18) was utilized to screen active components from Hyacinth bean, </w:t>
      </w:r>
      <w:proofErr w:type="spellStart"/>
      <w:r w:rsidRPr="00647629">
        <w:rPr>
          <w:rFonts w:hint="default"/>
          <w:i/>
          <w:iCs/>
          <w:sz w:val="24"/>
          <w:szCs w:val="24"/>
          <w:lang w:val="en-US"/>
        </w:rPr>
        <w:t>Atractylodes</w:t>
      </w:r>
      <w:proofErr w:type="spellEnd"/>
      <w:r w:rsidRPr="00647629">
        <w:rPr>
          <w:rFonts w:hint="default"/>
          <w:i/>
          <w:iCs/>
          <w:sz w:val="24"/>
          <w:szCs w:val="24"/>
          <w:lang w:val="en-US"/>
        </w:rPr>
        <w:t xml:space="preserve"> </w:t>
      </w:r>
      <w:proofErr w:type="spellStart"/>
      <w:r w:rsidRPr="00647629">
        <w:rPr>
          <w:rFonts w:hint="default"/>
          <w:i/>
          <w:iCs/>
          <w:sz w:val="24"/>
          <w:szCs w:val="24"/>
          <w:lang w:val="en-US"/>
        </w:rPr>
        <w:t>macrocephala</w:t>
      </w:r>
      <w:proofErr w:type="spellEnd"/>
      <w:r>
        <w:rPr>
          <w:rFonts w:hint="default"/>
          <w:sz w:val="24"/>
          <w:szCs w:val="24"/>
          <w:lang w:val="en-US"/>
        </w:rPr>
        <w:t xml:space="preserve">, </w:t>
      </w:r>
      <w:r w:rsidRPr="00647629">
        <w:rPr>
          <w:rFonts w:hint="default"/>
          <w:i/>
          <w:iCs/>
          <w:sz w:val="24"/>
          <w:szCs w:val="24"/>
          <w:lang w:val="en-US"/>
        </w:rPr>
        <w:t>Poria cocos</w:t>
      </w:r>
      <w:r>
        <w:rPr>
          <w:rFonts w:hint="default"/>
          <w:sz w:val="24"/>
          <w:szCs w:val="24"/>
          <w:lang w:val="en-US"/>
        </w:rPr>
        <w:t xml:space="preserve">, </w:t>
      </w:r>
      <w:r w:rsidRPr="00647629">
        <w:rPr>
          <w:rFonts w:hint="default"/>
          <w:i/>
          <w:iCs/>
          <w:sz w:val="24"/>
          <w:szCs w:val="24"/>
          <w:lang w:val="en-US"/>
        </w:rPr>
        <w:t xml:space="preserve">Glycyrrhiza </w:t>
      </w:r>
      <w:proofErr w:type="spellStart"/>
      <w:r w:rsidRPr="00647629">
        <w:rPr>
          <w:rFonts w:hint="default"/>
          <w:i/>
          <w:iCs/>
          <w:sz w:val="24"/>
          <w:szCs w:val="24"/>
          <w:lang w:val="en-US"/>
        </w:rPr>
        <w:t>uralensis</w:t>
      </w:r>
      <w:proofErr w:type="spellEnd"/>
      <w:r>
        <w:rPr>
          <w:rFonts w:hint="default"/>
          <w:sz w:val="24"/>
          <w:szCs w:val="24"/>
          <w:lang w:val="en-US"/>
        </w:rPr>
        <w:t xml:space="preserve">, Cinnamon Twig, </w:t>
      </w:r>
      <w:proofErr w:type="spellStart"/>
      <w:r w:rsidRPr="00647629">
        <w:rPr>
          <w:rFonts w:hint="default"/>
          <w:i/>
          <w:iCs/>
          <w:sz w:val="24"/>
          <w:szCs w:val="24"/>
          <w:lang w:val="en-US"/>
        </w:rPr>
        <w:t>Platycodon</w:t>
      </w:r>
      <w:proofErr w:type="spellEnd"/>
      <w:r w:rsidRPr="00647629">
        <w:rPr>
          <w:rFonts w:hint="default"/>
          <w:i/>
          <w:iCs/>
          <w:sz w:val="24"/>
          <w:szCs w:val="24"/>
          <w:lang w:val="en-US"/>
        </w:rPr>
        <w:t xml:space="preserve"> </w:t>
      </w:r>
      <w:proofErr w:type="spellStart"/>
      <w:r w:rsidRPr="00647629">
        <w:rPr>
          <w:rFonts w:hint="default"/>
          <w:i/>
          <w:iCs/>
          <w:sz w:val="24"/>
          <w:szCs w:val="24"/>
          <w:lang w:val="en-US"/>
        </w:rPr>
        <w:t>grandiflorus</w:t>
      </w:r>
      <w:proofErr w:type="spellEnd"/>
      <w:r>
        <w:rPr>
          <w:rFonts w:hint="default"/>
          <w:sz w:val="24"/>
          <w:szCs w:val="24"/>
          <w:lang w:val="en-US"/>
        </w:rPr>
        <w:t xml:space="preserve">, Lotus Seed, Ginseng, </w:t>
      </w:r>
      <w:r w:rsidRPr="00647629">
        <w:rPr>
          <w:rFonts w:hint="default"/>
          <w:i/>
          <w:iCs/>
          <w:sz w:val="24"/>
          <w:szCs w:val="24"/>
          <w:lang w:val="en-US"/>
        </w:rPr>
        <w:t xml:space="preserve">Amomum </w:t>
      </w:r>
      <w:proofErr w:type="spellStart"/>
      <w:r w:rsidRPr="00647629">
        <w:rPr>
          <w:rFonts w:hint="default"/>
          <w:i/>
          <w:iCs/>
          <w:sz w:val="24"/>
          <w:szCs w:val="24"/>
          <w:lang w:val="en-US"/>
        </w:rPr>
        <w:t>villosum</w:t>
      </w:r>
      <w:proofErr w:type="spellEnd"/>
      <w:r>
        <w:rPr>
          <w:rFonts w:hint="default"/>
          <w:sz w:val="24"/>
          <w:szCs w:val="24"/>
          <w:lang w:val="en-US"/>
        </w:rPr>
        <w:t xml:space="preserve">, </w:t>
      </w:r>
      <w:r w:rsidRPr="00647629">
        <w:rPr>
          <w:rFonts w:hint="default"/>
          <w:i/>
          <w:iCs/>
          <w:sz w:val="24"/>
          <w:szCs w:val="24"/>
          <w:lang w:val="en-US"/>
        </w:rPr>
        <w:t xml:space="preserve">Dioscorea </w:t>
      </w:r>
      <w:proofErr w:type="spellStart"/>
      <w:r w:rsidRPr="00647629">
        <w:rPr>
          <w:rFonts w:hint="default"/>
          <w:i/>
          <w:iCs/>
          <w:sz w:val="24"/>
          <w:szCs w:val="24"/>
          <w:lang w:val="en-US"/>
        </w:rPr>
        <w:t>opposita</w:t>
      </w:r>
      <w:proofErr w:type="spellEnd"/>
      <w:r>
        <w:rPr>
          <w:rFonts w:hint="default"/>
          <w:sz w:val="24"/>
          <w:szCs w:val="24"/>
          <w:lang w:val="en-US"/>
        </w:rPr>
        <w:t xml:space="preserve">, </w:t>
      </w:r>
      <w:proofErr w:type="spellStart"/>
      <w:r>
        <w:rPr>
          <w:rFonts w:hint="default"/>
          <w:sz w:val="24"/>
          <w:szCs w:val="24"/>
          <w:lang w:val="en-US"/>
        </w:rPr>
        <w:t>Coix</w:t>
      </w:r>
      <w:proofErr w:type="spellEnd"/>
      <w:r>
        <w:rPr>
          <w:rFonts w:hint="default"/>
          <w:sz w:val="24"/>
          <w:szCs w:val="24"/>
          <w:lang w:val="en-US"/>
        </w:rPr>
        <w:t xml:space="preserve"> seed, </w:t>
      </w:r>
      <w:r w:rsidRPr="00647629">
        <w:rPr>
          <w:rFonts w:hint="default"/>
          <w:i/>
          <w:iCs/>
          <w:sz w:val="24"/>
          <w:szCs w:val="24"/>
          <w:lang w:val="en-US"/>
        </w:rPr>
        <w:t>Alisma orientale</w:t>
      </w:r>
      <w:r>
        <w:rPr>
          <w:rFonts w:hint="default"/>
          <w:sz w:val="24"/>
          <w:szCs w:val="24"/>
          <w:lang w:val="en-US"/>
        </w:rPr>
        <w:t xml:space="preserve">, and </w:t>
      </w:r>
      <w:r w:rsidRPr="00647629">
        <w:rPr>
          <w:rFonts w:hint="default"/>
          <w:i/>
          <w:iCs/>
          <w:sz w:val="24"/>
          <w:szCs w:val="24"/>
          <w:lang w:val="en-US"/>
        </w:rPr>
        <w:t xml:space="preserve">Polyporus </w:t>
      </w:r>
      <w:proofErr w:type="spellStart"/>
      <w:r w:rsidRPr="00647629">
        <w:rPr>
          <w:rFonts w:hint="default"/>
          <w:i/>
          <w:iCs/>
          <w:sz w:val="24"/>
          <w:szCs w:val="24"/>
          <w:lang w:val="en-US"/>
        </w:rPr>
        <w:t>umbellatus</w:t>
      </w:r>
      <w:proofErr w:type="spellEnd"/>
      <w:r>
        <w:rPr>
          <w:rFonts w:hint="default"/>
          <w:sz w:val="24"/>
          <w:szCs w:val="24"/>
          <w:lang w:val="en-US"/>
        </w:rPr>
        <w:t>; the composition of Lotus Seed was obtained from BATMAN-TCM</w:t>
      </w:r>
      <w:r w:rsidR="0051504C">
        <w:rPr>
          <w:rFonts w:hint="default"/>
          <w:sz w:val="24"/>
          <w:szCs w:val="24"/>
          <w:lang w:val="en-US"/>
        </w:rPr>
        <w:t xml:space="preserve"> </w:t>
      </w:r>
      <w:r w:rsidR="0051504C">
        <w:rPr>
          <w:rFonts w:hint="default"/>
          <w:sz w:val="24"/>
          <w:szCs w:val="24"/>
          <w:vertAlign w:val="superscript"/>
          <w:lang w:val="en-US"/>
        </w:rPr>
        <w:t>[5]</w:t>
      </w:r>
      <w:r>
        <w:rPr>
          <w:rFonts w:hint="default"/>
          <w:sz w:val="24"/>
          <w:szCs w:val="24"/>
          <w:lang w:val="en-US"/>
        </w:rPr>
        <w:t>. Swiss Target Prediction was employed for analysis</w:t>
      </w:r>
      <w:r w:rsidR="009C50D9">
        <w:rPr>
          <w:rFonts w:hint="default"/>
          <w:sz w:val="24"/>
          <w:szCs w:val="24"/>
          <w:lang w:val="en-US"/>
        </w:rPr>
        <w:t xml:space="preserve"> </w:t>
      </w:r>
      <w:r>
        <w:rPr>
          <w:rFonts w:hint="default"/>
          <w:sz w:val="24"/>
          <w:szCs w:val="24"/>
          <w:vertAlign w:val="superscript"/>
          <w:lang w:val="en-US"/>
        </w:rPr>
        <w:t>[6]</w:t>
      </w:r>
      <w:r>
        <w:rPr>
          <w:rFonts w:hint="default"/>
          <w:sz w:val="24"/>
          <w:szCs w:val="24"/>
          <w:lang w:val="en-US"/>
        </w:rPr>
        <w:t>.</w:t>
      </w:r>
      <w:r>
        <w:rPr>
          <w:sz w:val="24"/>
          <w:szCs w:val="24"/>
          <w:lang w:val="en-US"/>
        </w:rPr>
        <w:t xml:space="preserve"> </w:t>
      </w:r>
      <w:r>
        <w:rPr>
          <w:rFonts w:hint="default"/>
          <w:sz w:val="24"/>
          <w:szCs w:val="24"/>
          <w:lang w:val="en-US"/>
        </w:rPr>
        <w:t xml:space="preserve">(Species </w:t>
      </w:r>
      <w:r w:rsidR="000E4DA4">
        <w:rPr>
          <w:rFonts w:hint="default"/>
          <w:sz w:val="24"/>
          <w:szCs w:val="24"/>
          <w:lang w:val="en-US"/>
        </w:rPr>
        <w:t>“</w:t>
      </w:r>
      <w:r>
        <w:rPr>
          <w:rFonts w:hint="default"/>
          <w:sz w:val="24"/>
          <w:szCs w:val="24"/>
          <w:lang w:val="en-US"/>
        </w:rPr>
        <w:t>Homo sapiens</w:t>
      </w:r>
      <w:r w:rsidR="000E4DA4">
        <w:rPr>
          <w:rFonts w:hint="default"/>
          <w:sz w:val="24"/>
          <w:szCs w:val="24"/>
          <w:lang w:val="en-US"/>
        </w:rPr>
        <w:t>”</w:t>
      </w:r>
      <w:r>
        <w:rPr>
          <w:rFonts w:hint="default"/>
          <w:sz w:val="24"/>
          <w:szCs w:val="24"/>
          <w:lang w:val="en-US"/>
        </w:rPr>
        <w:t>, probability</w:t>
      </w:r>
      <w:r w:rsidR="000E4DA4">
        <w:rPr>
          <w:rFonts w:hint="default"/>
          <w:sz w:val="24"/>
          <w:szCs w:val="24"/>
          <w:lang w:val="en-US"/>
        </w:rPr>
        <w:t xml:space="preserve"> </w:t>
      </w:r>
      <w:r>
        <w:rPr>
          <w:rFonts w:hint="default"/>
          <w:sz w:val="24"/>
          <w:szCs w:val="24"/>
          <w:lang w:val="en-US"/>
        </w:rPr>
        <w:t>&gt; 0) and the SEA database</w:t>
      </w:r>
      <w:r w:rsidR="009C50D9">
        <w:rPr>
          <w:rFonts w:hint="default"/>
          <w:sz w:val="24"/>
          <w:szCs w:val="24"/>
          <w:lang w:val="en-US"/>
        </w:rPr>
        <w:t xml:space="preserve"> </w:t>
      </w:r>
      <w:r>
        <w:rPr>
          <w:sz w:val="24"/>
          <w:szCs w:val="24"/>
          <w:lang w:val="en-US"/>
        </w:rPr>
        <w:t>p</w:t>
      </w:r>
      <w:r>
        <w:rPr>
          <w:rFonts w:hint="default"/>
          <w:sz w:val="24"/>
          <w:szCs w:val="24"/>
          <w:lang w:val="en-US"/>
        </w:rPr>
        <w:t>redict target</w:t>
      </w:r>
      <w:r w:rsidR="009C50D9">
        <w:rPr>
          <w:rFonts w:hint="default"/>
          <w:sz w:val="24"/>
          <w:szCs w:val="24"/>
          <w:lang w:val="en-US"/>
        </w:rPr>
        <w:t xml:space="preserve"> </w:t>
      </w:r>
      <w:r w:rsidR="009C50D9">
        <w:rPr>
          <w:rFonts w:hint="default"/>
          <w:sz w:val="24"/>
          <w:szCs w:val="24"/>
          <w:vertAlign w:val="superscript"/>
          <w:lang w:val="en-US"/>
        </w:rPr>
        <w:t>[7]</w:t>
      </w:r>
      <w:r>
        <w:rPr>
          <w:rFonts w:hint="default"/>
          <w:sz w:val="24"/>
          <w:szCs w:val="24"/>
          <w:lang w:val="en-US"/>
        </w:rPr>
        <w:t>.</w:t>
      </w:r>
    </w:p>
    <w:p w14:paraId="373A5F62" w14:textId="77777777" w:rsidR="00667E00" w:rsidRDefault="00667E00" w:rsidP="00647629">
      <w:pPr>
        <w:pStyle w:val="a"/>
        <w:snapToGrid w:val="0"/>
        <w:spacing w:line="240" w:lineRule="auto"/>
        <w:ind w:firstLineChars="0" w:firstLine="0"/>
        <w:rPr>
          <w:rFonts w:hint="default"/>
          <w:sz w:val="24"/>
          <w:szCs w:val="24"/>
          <w:lang w:val="en-US"/>
        </w:rPr>
      </w:pPr>
    </w:p>
    <w:p w14:paraId="373A5F63" w14:textId="77777777" w:rsidR="00667E00" w:rsidRDefault="001317D9" w:rsidP="00647629">
      <w:pPr>
        <w:pStyle w:val="a1"/>
        <w:snapToGrid w:val="0"/>
        <w:spacing w:before="0" w:after="0" w:line="240" w:lineRule="auto"/>
        <w:jc w:val="both"/>
        <w:rPr>
          <w:rFonts w:eastAsia="SimSun" w:hint="default"/>
          <w:szCs w:val="24"/>
        </w:rPr>
      </w:pPr>
      <w:bookmarkStart w:id="4" w:name="_Toc25444"/>
      <w:bookmarkStart w:id="5" w:name="_Toc21565"/>
      <w:r>
        <w:rPr>
          <w:rFonts w:eastAsia="SimSun"/>
          <w:szCs w:val="24"/>
          <w:lang w:val="en-US"/>
        </w:rPr>
        <w:t>2</w:t>
      </w:r>
      <w:r>
        <w:rPr>
          <w:rFonts w:eastAsia="SimSun" w:hint="default"/>
          <w:szCs w:val="24"/>
          <w:lang w:val="en-US"/>
        </w:rPr>
        <w:t>.2</w:t>
      </w:r>
      <w:r>
        <w:rPr>
          <w:rFonts w:eastAsia="SimSun"/>
          <w:szCs w:val="24"/>
          <w:lang w:val="en-US"/>
        </w:rPr>
        <w:t>.</w:t>
      </w:r>
      <w:r>
        <w:rPr>
          <w:rFonts w:eastAsia="SimSun" w:hint="default"/>
          <w:szCs w:val="24"/>
          <w:lang w:val="en-US"/>
        </w:rPr>
        <w:t xml:space="preserve"> Identification of obesity-related therapeutic targets</w:t>
      </w:r>
      <w:bookmarkEnd w:id="4"/>
      <w:bookmarkEnd w:id="5"/>
    </w:p>
    <w:p w14:paraId="373A5F64" w14:textId="06B8F150" w:rsidR="00667E00" w:rsidRDefault="001317D9" w:rsidP="00647629">
      <w:pPr>
        <w:pStyle w:val="a"/>
        <w:snapToGrid w:val="0"/>
        <w:spacing w:line="240" w:lineRule="auto"/>
        <w:ind w:firstLineChars="0" w:firstLine="0"/>
        <w:rPr>
          <w:rFonts w:hint="default"/>
          <w:sz w:val="24"/>
          <w:szCs w:val="24"/>
        </w:rPr>
      </w:pPr>
      <w:r>
        <w:rPr>
          <w:rFonts w:hint="default"/>
          <w:sz w:val="24"/>
          <w:szCs w:val="24"/>
        </w:rPr>
        <w:t xml:space="preserve">Search CTD, </w:t>
      </w:r>
      <w:proofErr w:type="spellStart"/>
      <w:r>
        <w:rPr>
          <w:rFonts w:hint="default"/>
          <w:sz w:val="24"/>
          <w:szCs w:val="24"/>
        </w:rPr>
        <w:t>GeneCards</w:t>
      </w:r>
      <w:proofErr w:type="spellEnd"/>
      <w:r>
        <w:rPr>
          <w:rFonts w:hint="default"/>
          <w:sz w:val="24"/>
          <w:szCs w:val="24"/>
        </w:rPr>
        <w:t xml:space="preserve">, and NCBI using the term </w:t>
      </w:r>
      <w:r w:rsidR="000E4DA4">
        <w:rPr>
          <w:rFonts w:hint="default"/>
          <w:sz w:val="24"/>
          <w:szCs w:val="24"/>
        </w:rPr>
        <w:t>“</w:t>
      </w:r>
      <w:r>
        <w:rPr>
          <w:rFonts w:hint="default"/>
          <w:sz w:val="24"/>
          <w:szCs w:val="24"/>
        </w:rPr>
        <w:t>obesity</w:t>
      </w:r>
      <w:r w:rsidR="000E4DA4">
        <w:rPr>
          <w:rFonts w:hint="default"/>
          <w:sz w:val="24"/>
          <w:szCs w:val="24"/>
        </w:rPr>
        <w:t>”</w:t>
      </w:r>
      <w:r w:rsidR="00C07B2C">
        <w:rPr>
          <w:rFonts w:hint="default"/>
          <w:sz w:val="24"/>
          <w:szCs w:val="24"/>
        </w:rPr>
        <w:t xml:space="preserve"> </w:t>
      </w:r>
      <w:r>
        <w:rPr>
          <w:rFonts w:hint="default"/>
          <w:sz w:val="24"/>
          <w:szCs w:val="24"/>
          <w:vertAlign w:val="superscript"/>
        </w:rPr>
        <w:t>[</w:t>
      </w:r>
      <w:r>
        <w:rPr>
          <w:rFonts w:hint="default"/>
          <w:sz w:val="24"/>
          <w:szCs w:val="24"/>
          <w:vertAlign w:val="superscript"/>
          <w:lang w:val="en-US"/>
        </w:rPr>
        <w:t>8</w:t>
      </w:r>
      <w:r>
        <w:rPr>
          <w:rFonts w:hint="default"/>
          <w:sz w:val="24"/>
          <w:szCs w:val="24"/>
          <w:vertAlign w:val="superscript"/>
        </w:rPr>
        <w:t>]</w:t>
      </w:r>
      <w:r>
        <w:rPr>
          <w:rFonts w:hint="default"/>
          <w:sz w:val="24"/>
          <w:szCs w:val="24"/>
        </w:rPr>
        <w:t>.</w:t>
      </w:r>
      <w:r>
        <w:rPr>
          <w:sz w:val="24"/>
          <w:szCs w:val="24"/>
          <w:lang w:val="en-US"/>
        </w:rPr>
        <w:t xml:space="preserve"> </w:t>
      </w:r>
      <w:r>
        <w:rPr>
          <w:rFonts w:hint="default"/>
          <w:sz w:val="24"/>
          <w:szCs w:val="24"/>
        </w:rPr>
        <w:t xml:space="preserve">The databases yielded 5,000,2,194, and 5,000 genes respectively; the GEO2R software was employed to </w:t>
      </w:r>
      <w:proofErr w:type="spellStart"/>
      <w:r>
        <w:rPr>
          <w:rFonts w:hint="default"/>
          <w:sz w:val="24"/>
          <w:szCs w:val="24"/>
        </w:rPr>
        <w:t>analyze</w:t>
      </w:r>
      <w:proofErr w:type="spellEnd"/>
      <w:r>
        <w:rPr>
          <w:rFonts w:hint="default"/>
          <w:sz w:val="24"/>
          <w:szCs w:val="24"/>
        </w:rPr>
        <w:t xml:space="preserve"> the GSE151839 dataset</w:t>
      </w:r>
      <w:r w:rsidR="00C07B2C">
        <w:rPr>
          <w:rFonts w:hint="default"/>
          <w:sz w:val="24"/>
          <w:szCs w:val="24"/>
        </w:rPr>
        <w:t xml:space="preserve"> </w:t>
      </w:r>
      <w:r>
        <w:rPr>
          <w:rFonts w:hint="default"/>
          <w:sz w:val="24"/>
          <w:szCs w:val="24"/>
          <w:vertAlign w:val="superscript"/>
        </w:rPr>
        <w:t>[</w:t>
      </w:r>
      <w:r>
        <w:rPr>
          <w:rFonts w:hint="default"/>
          <w:sz w:val="24"/>
          <w:szCs w:val="24"/>
          <w:vertAlign w:val="superscript"/>
          <w:lang w:val="en-US"/>
        </w:rPr>
        <w:t>9</w:t>
      </w:r>
      <w:r>
        <w:rPr>
          <w:rFonts w:hint="default"/>
          <w:sz w:val="24"/>
          <w:szCs w:val="24"/>
          <w:vertAlign w:val="superscript"/>
        </w:rPr>
        <w:t>]</w:t>
      </w:r>
      <w:r>
        <w:rPr>
          <w:rFonts w:hint="default"/>
          <w:sz w:val="24"/>
          <w:szCs w:val="24"/>
        </w:rPr>
        <w:t>.</w:t>
      </w:r>
      <w:r>
        <w:rPr>
          <w:sz w:val="24"/>
          <w:szCs w:val="24"/>
          <w:vertAlign w:val="superscript"/>
          <w:lang w:val="en-US"/>
        </w:rPr>
        <w:t xml:space="preserve"> </w:t>
      </w:r>
      <w:r>
        <w:rPr>
          <w:rFonts w:hint="default"/>
          <w:sz w:val="24"/>
          <w:szCs w:val="24"/>
        </w:rPr>
        <w:t xml:space="preserve">A total of 3,564 differentially expressed genes were identified. The intersection of these four datasets was obtained and standardized using </w:t>
      </w:r>
      <w:proofErr w:type="spellStart"/>
      <w:r>
        <w:rPr>
          <w:rFonts w:hint="default"/>
          <w:sz w:val="24"/>
          <w:szCs w:val="24"/>
        </w:rPr>
        <w:t>UniProt</w:t>
      </w:r>
      <w:proofErr w:type="spellEnd"/>
      <w:r>
        <w:rPr>
          <w:rFonts w:hint="default"/>
          <w:sz w:val="24"/>
          <w:szCs w:val="24"/>
        </w:rPr>
        <w:t xml:space="preserve"> to identify obesity-related targets.</w:t>
      </w:r>
    </w:p>
    <w:p w14:paraId="373A5F65" w14:textId="77777777" w:rsidR="00667E00" w:rsidRDefault="00667E00" w:rsidP="00647629">
      <w:pPr>
        <w:pStyle w:val="a"/>
        <w:snapToGrid w:val="0"/>
        <w:spacing w:line="240" w:lineRule="auto"/>
        <w:ind w:firstLineChars="0" w:firstLine="0"/>
        <w:rPr>
          <w:rFonts w:hint="default"/>
          <w:sz w:val="24"/>
          <w:szCs w:val="24"/>
        </w:rPr>
      </w:pPr>
    </w:p>
    <w:p w14:paraId="373A5F66" w14:textId="3DAC252F" w:rsidR="00667E00" w:rsidRDefault="001317D9" w:rsidP="00647629">
      <w:pPr>
        <w:pStyle w:val="a1"/>
        <w:snapToGrid w:val="0"/>
        <w:spacing w:before="0" w:after="0" w:line="240" w:lineRule="auto"/>
        <w:jc w:val="both"/>
        <w:rPr>
          <w:rFonts w:eastAsia="SimSun" w:hint="default"/>
          <w:szCs w:val="24"/>
        </w:rPr>
      </w:pPr>
      <w:bookmarkStart w:id="6" w:name="_Toc32170"/>
      <w:bookmarkStart w:id="7" w:name="_Toc3537"/>
      <w:r>
        <w:rPr>
          <w:rFonts w:eastAsia="SimSun"/>
          <w:szCs w:val="24"/>
          <w:lang w:val="en-US"/>
        </w:rPr>
        <w:t>2</w:t>
      </w:r>
      <w:r>
        <w:rPr>
          <w:rFonts w:eastAsia="SimSun" w:hint="default"/>
          <w:szCs w:val="24"/>
          <w:lang w:val="en-US"/>
        </w:rPr>
        <w:t>.3</w:t>
      </w:r>
      <w:r>
        <w:rPr>
          <w:rFonts w:eastAsia="SimSun"/>
          <w:szCs w:val="24"/>
          <w:lang w:val="en-US"/>
        </w:rPr>
        <w:t>.</w:t>
      </w:r>
      <w:r>
        <w:rPr>
          <w:rFonts w:eastAsia="SimSun" w:hint="default"/>
          <w:szCs w:val="24"/>
          <w:lang w:val="en-US"/>
        </w:rPr>
        <w:t xml:space="preserve"> Construction of </w:t>
      </w:r>
      <w:proofErr w:type="spellStart"/>
      <w:r>
        <w:rPr>
          <w:rFonts w:eastAsia="SimSun"/>
          <w:szCs w:val="24"/>
          <w:lang w:val="en-US"/>
        </w:rPr>
        <w:t>v</w:t>
      </w:r>
      <w:r>
        <w:rPr>
          <w:rFonts w:eastAsia="SimSun" w:hint="default"/>
          <w:szCs w:val="24"/>
          <w:lang w:val="en-US"/>
        </w:rPr>
        <w:t>enn</w:t>
      </w:r>
      <w:proofErr w:type="spellEnd"/>
      <w:r>
        <w:rPr>
          <w:rFonts w:eastAsia="SimSun" w:hint="default"/>
          <w:szCs w:val="24"/>
          <w:lang w:val="en-US"/>
        </w:rPr>
        <w:t xml:space="preserve"> diagrams and the </w:t>
      </w:r>
      <w:r w:rsidR="000E4DA4">
        <w:rPr>
          <w:rFonts w:eastAsia="SimSun" w:hint="default"/>
          <w:szCs w:val="24"/>
          <w:lang w:val="en-US"/>
        </w:rPr>
        <w:t>“</w:t>
      </w:r>
      <w:r>
        <w:rPr>
          <w:rFonts w:eastAsia="SimSun"/>
          <w:szCs w:val="24"/>
          <w:lang w:val="en-US"/>
        </w:rPr>
        <w:t>a</w:t>
      </w:r>
      <w:r>
        <w:rPr>
          <w:rFonts w:eastAsia="SimSun" w:hint="default"/>
          <w:szCs w:val="24"/>
          <w:lang w:val="en-US"/>
        </w:rPr>
        <w:t xml:space="preserve">ctive </w:t>
      </w:r>
      <w:r>
        <w:rPr>
          <w:rFonts w:eastAsia="SimSun"/>
          <w:szCs w:val="24"/>
          <w:lang w:val="en-US"/>
        </w:rPr>
        <w:t>c</w:t>
      </w:r>
      <w:r>
        <w:rPr>
          <w:rFonts w:eastAsia="SimSun" w:hint="default"/>
          <w:szCs w:val="24"/>
          <w:lang w:val="en-US"/>
        </w:rPr>
        <w:t>ompound-</w:t>
      </w:r>
      <w:r>
        <w:rPr>
          <w:rFonts w:eastAsia="SimSun"/>
          <w:szCs w:val="24"/>
          <w:lang w:val="en-US"/>
        </w:rPr>
        <w:t>d</w:t>
      </w:r>
      <w:r>
        <w:rPr>
          <w:rFonts w:eastAsia="SimSun" w:hint="default"/>
          <w:szCs w:val="24"/>
          <w:lang w:val="en-US"/>
        </w:rPr>
        <w:t xml:space="preserve">isease </w:t>
      </w:r>
      <w:r>
        <w:rPr>
          <w:rFonts w:eastAsia="SimSun"/>
          <w:szCs w:val="24"/>
          <w:lang w:val="en-US"/>
        </w:rPr>
        <w:t>t</w:t>
      </w:r>
      <w:r>
        <w:rPr>
          <w:rFonts w:eastAsia="SimSun" w:hint="default"/>
          <w:szCs w:val="24"/>
          <w:lang w:val="en-US"/>
        </w:rPr>
        <w:t>arget</w:t>
      </w:r>
      <w:r w:rsidR="000E4DA4">
        <w:rPr>
          <w:rFonts w:eastAsia="SimSun" w:hint="default"/>
          <w:szCs w:val="24"/>
          <w:lang w:val="en-US"/>
        </w:rPr>
        <w:t>”</w:t>
      </w:r>
      <w:r>
        <w:rPr>
          <w:rFonts w:eastAsia="SimSun" w:hint="default"/>
          <w:szCs w:val="24"/>
          <w:lang w:val="en-US"/>
        </w:rPr>
        <w:t xml:space="preserve"> regulatory network</w:t>
      </w:r>
      <w:bookmarkEnd w:id="6"/>
      <w:bookmarkEnd w:id="7"/>
    </w:p>
    <w:p w14:paraId="373A5F67" w14:textId="0899C929" w:rsidR="00667E00" w:rsidRDefault="001317D9" w:rsidP="00647629">
      <w:pPr>
        <w:pStyle w:val="a"/>
        <w:snapToGrid w:val="0"/>
        <w:spacing w:line="240" w:lineRule="auto"/>
        <w:ind w:firstLineChars="0" w:firstLine="0"/>
        <w:rPr>
          <w:rFonts w:hint="default"/>
          <w:sz w:val="24"/>
          <w:szCs w:val="24"/>
          <w:lang w:val="en-US"/>
        </w:rPr>
      </w:pPr>
      <w:r>
        <w:rPr>
          <w:rFonts w:hint="default"/>
          <w:sz w:val="24"/>
          <w:szCs w:val="24"/>
          <w:lang w:val="en-US"/>
        </w:rPr>
        <w:t xml:space="preserve">Using the </w:t>
      </w:r>
      <w:proofErr w:type="spellStart"/>
      <w:r>
        <w:rPr>
          <w:rFonts w:hint="default"/>
          <w:sz w:val="24"/>
          <w:szCs w:val="24"/>
          <w:lang w:val="en-US"/>
        </w:rPr>
        <w:t>MicroBioinformatics</w:t>
      </w:r>
      <w:proofErr w:type="spellEnd"/>
      <w:r>
        <w:rPr>
          <w:rFonts w:hint="default"/>
          <w:sz w:val="24"/>
          <w:szCs w:val="24"/>
          <w:lang w:val="en-US"/>
        </w:rPr>
        <w:t xml:space="preserve"> Platform</w:t>
      </w:r>
      <w:r>
        <w:rPr>
          <w:sz w:val="24"/>
          <w:szCs w:val="24"/>
          <w:vertAlign w:val="superscript"/>
          <w:lang w:val="en-US"/>
        </w:rPr>
        <w:t xml:space="preserve"> </w:t>
      </w:r>
      <w:r>
        <w:rPr>
          <w:rFonts w:hint="default"/>
          <w:sz w:val="24"/>
          <w:szCs w:val="24"/>
          <w:lang w:val="en-US"/>
        </w:rPr>
        <w:t>Construct a Venn diagram comparing drug targets and disease targets, with the intersection representing potential therapeutic targets</w:t>
      </w:r>
      <w:r w:rsidR="00C07B2C">
        <w:rPr>
          <w:rFonts w:hint="default"/>
          <w:sz w:val="24"/>
          <w:szCs w:val="24"/>
          <w:lang w:val="en-US"/>
        </w:rPr>
        <w:t xml:space="preserve"> </w:t>
      </w:r>
      <w:r w:rsidR="00C07B2C">
        <w:rPr>
          <w:rFonts w:hint="default"/>
          <w:sz w:val="24"/>
          <w:szCs w:val="24"/>
          <w:vertAlign w:val="superscript"/>
          <w:lang w:val="en-US"/>
        </w:rPr>
        <w:t>[10]</w:t>
      </w:r>
      <w:r>
        <w:rPr>
          <w:rFonts w:hint="default"/>
          <w:sz w:val="24"/>
          <w:szCs w:val="24"/>
          <w:lang w:val="en-US"/>
        </w:rPr>
        <w:t xml:space="preserve">. Use </w:t>
      </w:r>
      <w:proofErr w:type="spellStart"/>
      <w:r>
        <w:rPr>
          <w:rFonts w:hint="default"/>
          <w:sz w:val="24"/>
          <w:szCs w:val="24"/>
          <w:lang w:val="en-US"/>
        </w:rPr>
        <w:t>Cytoscape</w:t>
      </w:r>
      <w:proofErr w:type="spellEnd"/>
      <w:r>
        <w:rPr>
          <w:rFonts w:hint="default"/>
          <w:sz w:val="24"/>
          <w:szCs w:val="24"/>
          <w:lang w:val="en-US"/>
        </w:rPr>
        <w:t xml:space="preserve"> 3.7.2 for analysis</w:t>
      </w:r>
      <w:r w:rsidR="00C07B2C">
        <w:rPr>
          <w:rFonts w:hint="default"/>
          <w:sz w:val="24"/>
          <w:szCs w:val="24"/>
          <w:lang w:val="en-US"/>
        </w:rPr>
        <w:t xml:space="preserve"> </w:t>
      </w:r>
      <w:r>
        <w:rPr>
          <w:rFonts w:hint="default"/>
          <w:sz w:val="24"/>
          <w:szCs w:val="24"/>
          <w:vertAlign w:val="superscript"/>
          <w:lang w:val="en-US"/>
        </w:rPr>
        <w:t>[11]</w:t>
      </w:r>
      <w:r>
        <w:rPr>
          <w:rFonts w:hint="default"/>
          <w:sz w:val="24"/>
          <w:szCs w:val="24"/>
          <w:lang w:val="en-US"/>
        </w:rPr>
        <w:t>.</w:t>
      </w:r>
      <w:r>
        <w:rPr>
          <w:sz w:val="24"/>
          <w:szCs w:val="24"/>
          <w:lang w:val="en-US"/>
        </w:rPr>
        <w:t xml:space="preserve"> </w:t>
      </w:r>
      <w:r>
        <w:rPr>
          <w:rFonts w:hint="default"/>
          <w:sz w:val="24"/>
          <w:szCs w:val="24"/>
          <w:lang w:val="en-US"/>
        </w:rPr>
        <w:t xml:space="preserve">Establish a </w:t>
      </w:r>
      <w:r w:rsidR="000E4DA4">
        <w:rPr>
          <w:rFonts w:hint="default"/>
          <w:sz w:val="24"/>
          <w:szCs w:val="24"/>
          <w:lang w:val="en-US"/>
        </w:rPr>
        <w:t>“</w:t>
      </w:r>
      <w:r>
        <w:rPr>
          <w:rFonts w:hint="default"/>
          <w:sz w:val="24"/>
          <w:szCs w:val="24"/>
          <w:lang w:val="en-US"/>
        </w:rPr>
        <w:t>drug-active ingredient-target</w:t>
      </w:r>
      <w:r w:rsidR="000E4DA4">
        <w:rPr>
          <w:rFonts w:hint="default"/>
          <w:sz w:val="24"/>
          <w:szCs w:val="24"/>
          <w:lang w:val="en-US"/>
        </w:rPr>
        <w:t>”</w:t>
      </w:r>
      <w:r>
        <w:rPr>
          <w:rFonts w:hint="default"/>
          <w:sz w:val="24"/>
          <w:szCs w:val="24"/>
          <w:lang w:val="en-US"/>
        </w:rPr>
        <w:t xml:space="preserve"> network.</w:t>
      </w:r>
    </w:p>
    <w:p w14:paraId="373A5F68" w14:textId="77777777" w:rsidR="00667E00" w:rsidRDefault="00667E00" w:rsidP="00647629">
      <w:pPr>
        <w:pStyle w:val="a"/>
        <w:snapToGrid w:val="0"/>
        <w:spacing w:line="240" w:lineRule="auto"/>
        <w:ind w:firstLineChars="0" w:firstLine="0"/>
        <w:rPr>
          <w:rFonts w:hint="default"/>
          <w:sz w:val="24"/>
          <w:szCs w:val="24"/>
          <w:lang w:val="en-US"/>
        </w:rPr>
      </w:pPr>
    </w:p>
    <w:p w14:paraId="373A5F69" w14:textId="77777777" w:rsidR="00667E00" w:rsidRDefault="001317D9" w:rsidP="00647629">
      <w:pPr>
        <w:pStyle w:val="a1"/>
        <w:snapToGrid w:val="0"/>
        <w:spacing w:before="0" w:after="0" w:line="240" w:lineRule="auto"/>
        <w:jc w:val="both"/>
        <w:rPr>
          <w:rFonts w:eastAsia="SimSun" w:hint="default"/>
          <w:szCs w:val="24"/>
        </w:rPr>
      </w:pPr>
      <w:bookmarkStart w:id="8" w:name="_Toc27655"/>
      <w:bookmarkStart w:id="9" w:name="_Toc9386"/>
      <w:r>
        <w:rPr>
          <w:rFonts w:eastAsia="SimSun"/>
          <w:szCs w:val="24"/>
          <w:lang w:val="en-US"/>
        </w:rPr>
        <w:t>2</w:t>
      </w:r>
      <w:r>
        <w:rPr>
          <w:rFonts w:eastAsia="SimSun" w:hint="default"/>
          <w:szCs w:val="24"/>
          <w:lang w:val="en-US"/>
        </w:rPr>
        <w:t>.4</w:t>
      </w:r>
      <w:r>
        <w:rPr>
          <w:rFonts w:eastAsia="SimSun"/>
          <w:szCs w:val="24"/>
          <w:lang w:val="en-US"/>
        </w:rPr>
        <w:t>.</w:t>
      </w:r>
      <w:r>
        <w:rPr>
          <w:rFonts w:eastAsia="SimSun" w:hint="default"/>
          <w:szCs w:val="24"/>
          <w:lang w:val="en-US"/>
        </w:rPr>
        <w:t xml:space="preserve"> Construction of </w:t>
      </w:r>
      <w:r>
        <w:rPr>
          <w:rFonts w:eastAsia="SimSun"/>
          <w:szCs w:val="24"/>
          <w:lang w:val="en-US"/>
        </w:rPr>
        <w:t>p</w:t>
      </w:r>
      <w:r>
        <w:rPr>
          <w:rFonts w:eastAsia="SimSun" w:hint="default"/>
          <w:szCs w:val="24"/>
          <w:lang w:val="en-US"/>
        </w:rPr>
        <w:t xml:space="preserve">rotein </w:t>
      </w:r>
      <w:r>
        <w:rPr>
          <w:rFonts w:eastAsia="SimSun"/>
          <w:szCs w:val="24"/>
          <w:lang w:val="en-US"/>
        </w:rPr>
        <w:t>i</w:t>
      </w:r>
      <w:r>
        <w:rPr>
          <w:rFonts w:eastAsia="SimSun" w:hint="default"/>
          <w:szCs w:val="24"/>
          <w:lang w:val="en-US"/>
        </w:rPr>
        <w:t xml:space="preserve">nteraction </w:t>
      </w:r>
      <w:r>
        <w:rPr>
          <w:rFonts w:eastAsia="SimSun"/>
          <w:szCs w:val="24"/>
          <w:lang w:val="en-US"/>
        </w:rPr>
        <w:t>n</w:t>
      </w:r>
      <w:r>
        <w:rPr>
          <w:rFonts w:eastAsia="SimSun" w:hint="default"/>
          <w:szCs w:val="24"/>
          <w:lang w:val="en-US"/>
        </w:rPr>
        <w:t xml:space="preserve">etworks and </w:t>
      </w:r>
      <w:r>
        <w:rPr>
          <w:rFonts w:eastAsia="SimSun"/>
          <w:szCs w:val="24"/>
          <w:lang w:val="en-US"/>
        </w:rPr>
        <w:t>s</w:t>
      </w:r>
      <w:r>
        <w:rPr>
          <w:rFonts w:eastAsia="SimSun" w:hint="default"/>
          <w:szCs w:val="24"/>
          <w:lang w:val="en-US"/>
        </w:rPr>
        <w:t xml:space="preserve">creening of </w:t>
      </w:r>
      <w:r>
        <w:rPr>
          <w:rFonts w:eastAsia="SimSun"/>
          <w:szCs w:val="24"/>
          <w:lang w:val="en-US"/>
        </w:rPr>
        <w:t>k</w:t>
      </w:r>
      <w:r>
        <w:rPr>
          <w:rFonts w:eastAsia="SimSun" w:hint="default"/>
          <w:szCs w:val="24"/>
          <w:lang w:val="en-US"/>
        </w:rPr>
        <w:t xml:space="preserve">ey </w:t>
      </w:r>
      <w:r>
        <w:rPr>
          <w:rFonts w:eastAsia="SimSun"/>
          <w:szCs w:val="24"/>
          <w:lang w:val="en-US"/>
        </w:rPr>
        <w:t>t</w:t>
      </w:r>
      <w:r>
        <w:rPr>
          <w:rFonts w:eastAsia="SimSun" w:hint="default"/>
          <w:szCs w:val="24"/>
          <w:lang w:val="en-US"/>
        </w:rPr>
        <w:t>argets</w:t>
      </w:r>
      <w:bookmarkStart w:id="10" w:name="_Toc1234"/>
      <w:bookmarkStart w:id="11" w:name="_Toc23954"/>
      <w:bookmarkEnd w:id="8"/>
      <w:bookmarkEnd w:id="9"/>
      <w:bookmarkEnd w:id="10"/>
      <w:bookmarkEnd w:id="11"/>
    </w:p>
    <w:p w14:paraId="373A5F6A" w14:textId="77777777" w:rsidR="00667E00" w:rsidRDefault="001317D9" w:rsidP="00F86697">
      <w:pPr>
        <w:pStyle w:val="a"/>
        <w:snapToGrid w:val="0"/>
        <w:spacing w:line="240" w:lineRule="auto"/>
        <w:ind w:firstLineChars="0" w:firstLine="0"/>
        <w:rPr>
          <w:rFonts w:hint="default"/>
          <w:sz w:val="24"/>
          <w:szCs w:val="24"/>
          <w:lang w:val="en-US"/>
        </w:rPr>
      </w:pPr>
      <w:r>
        <w:rPr>
          <w:rFonts w:hint="default"/>
          <w:sz w:val="24"/>
          <w:szCs w:val="24"/>
          <w:lang w:val="en-US"/>
        </w:rPr>
        <w:t xml:space="preserve">Import the intersection targets into STRING (with a maximum confidence score of 0.9), construct a protein-protein interaction (PPI) network, and use the Degree algorithm via the </w:t>
      </w:r>
      <w:proofErr w:type="spellStart"/>
      <w:r>
        <w:rPr>
          <w:rFonts w:hint="default"/>
          <w:sz w:val="24"/>
          <w:szCs w:val="24"/>
          <w:lang w:val="en-US"/>
        </w:rPr>
        <w:t>CytoNCA</w:t>
      </w:r>
      <w:proofErr w:type="spellEnd"/>
      <w:r>
        <w:rPr>
          <w:rFonts w:hint="default"/>
          <w:sz w:val="24"/>
          <w:szCs w:val="24"/>
          <w:lang w:val="en-US"/>
        </w:rPr>
        <w:t xml:space="preserve"> plugin in </w:t>
      </w:r>
      <w:proofErr w:type="spellStart"/>
      <w:r>
        <w:rPr>
          <w:rFonts w:hint="default"/>
          <w:sz w:val="24"/>
          <w:szCs w:val="24"/>
          <w:lang w:val="en-US"/>
        </w:rPr>
        <w:t>Cytoscape</w:t>
      </w:r>
      <w:proofErr w:type="spellEnd"/>
      <w:r>
        <w:rPr>
          <w:rFonts w:hint="default"/>
          <w:sz w:val="24"/>
          <w:szCs w:val="24"/>
          <w:lang w:val="en-US"/>
        </w:rPr>
        <w:t xml:space="preserve"> to identify key targets.</w:t>
      </w:r>
    </w:p>
    <w:p w14:paraId="4B6C1214" w14:textId="77777777" w:rsidR="00C07B2C" w:rsidRDefault="00C07B2C" w:rsidP="00647629">
      <w:pPr>
        <w:pStyle w:val="a"/>
        <w:snapToGrid w:val="0"/>
        <w:spacing w:line="240" w:lineRule="auto"/>
        <w:ind w:firstLineChars="0" w:firstLine="0"/>
        <w:rPr>
          <w:rFonts w:hint="default"/>
          <w:sz w:val="24"/>
          <w:szCs w:val="24"/>
          <w:lang w:val="en-US"/>
        </w:rPr>
      </w:pPr>
    </w:p>
    <w:p w14:paraId="373A5F6B" w14:textId="77777777" w:rsidR="00667E00" w:rsidRDefault="001317D9" w:rsidP="00647629">
      <w:pPr>
        <w:pStyle w:val="a1"/>
        <w:snapToGrid w:val="0"/>
        <w:spacing w:before="0" w:after="0" w:line="240" w:lineRule="auto"/>
        <w:jc w:val="both"/>
        <w:rPr>
          <w:rFonts w:eastAsia="SimSun" w:hint="default"/>
          <w:szCs w:val="24"/>
        </w:rPr>
      </w:pPr>
      <w:bookmarkStart w:id="12" w:name="_Toc26616"/>
      <w:bookmarkStart w:id="13" w:name="_Toc13948"/>
      <w:r>
        <w:rPr>
          <w:rFonts w:eastAsia="SimSun"/>
          <w:szCs w:val="24"/>
          <w:lang w:val="en-US"/>
        </w:rPr>
        <w:t>2</w:t>
      </w:r>
      <w:r>
        <w:rPr>
          <w:rFonts w:eastAsia="SimSun" w:hint="default"/>
          <w:szCs w:val="24"/>
          <w:lang w:val="en-US"/>
        </w:rPr>
        <w:t>.5</w:t>
      </w:r>
      <w:r>
        <w:rPr>
          <w:rFonts w:eastAsia="SimSun"/>
          <w:szCs w:val="24"/>
          <w:lang w:val="en-US"/>
        </w:rPr>
        <w:t>.</w:t>
      </w:r>
      <w:r>
        <w:rPr>
          <w:rFonts w:eastAsia="SimSun" w:hint="default"/>
          <w:szCs w:val="24"/>
          <w:lang w:val="en-US"/>
        </w:rPr>
        <w:t xml:space="preserve"> Analysis of GO functions and KEGG pathway enrichment</w:t>
      </w:r>
      <w:bookmarkEnd w:id="12"/>
      <w:bookmarkEnd w:id="13"/>
    </w:p>
    <w:p w14:paraId="373A5F6C" w14:textId="77777777" w:rsidR="00667E00" w:rsidRDefault="001317D9" w:rsidP="00647629">
      <w:pPr>
        <w:pStyle w:val="a"/>
        <w:snapToGrid w:val="0"/>
        <w:spacing w:line="240" w:lineRule="auto"/>
        <w:ind w:firstLineChars="0" w:firstLine="0"/>
        <w:rPr>
          <w:rFonts w:hint="default"/>
          <w:sz w:val="24"/>
          <w:szCs w:val="24"/>
          <w:lang w:val="en-US"/>
        </w:rPr>
      </w:pPr>
      <w:r>
        <w:rPr>
          <w:rFonts w:hint="default"/>
          <w:sz w:val="24"/>
          <w:szCs w:val="24"/>
          <w:lang w:val="en-US"/>
        </w:rPr>
        <w:t xml:space="preserve">Using </w:t>
      </w:r>
      <w:proofErr w:type="spellStart"/>
      <w:r>
        <w:rPr>
          <w:rFonts w:hint="default"/>
          <w:sz w:val="24"/>
          <w:szCs w:val="24"/>
          <w:lang w:val="en-US"/>
        </w:rPr>
        <w:t>Metascape</w:t>
      </w:r>
      <w:proofErr w:type="spellEnd"/>
      <w:r>
        <w:rPr>
          <w:rFonts w:hint="default"/>
          <w:sz w:val="24"/>
          <w:szCs w:val="24"/>
          <w:lang w:val="en-US"/>
        </w:rPr>
        <w:t xml:space="preserve">, we performed GO (binding proteins, cellular components, molecular functions) and KEGG pathway enrichment analyses on potential targets, ranked the results by </w:t>
      </w:r>
      <w:proofErr w:type="spellStart"/>
      <w:r>
        <w:rPr>
          <w:rFonts w:hint="default"/>
          <w:sz w:val="24"/>
          <w:szCs w:val="24"/>
          <w:lang w:val="en-US"/>
        </w:rPr>
        <w:t>LogP</w:t>
      </w:r>
      <w:proofErr w:type="spellEnd"/>
      <w:r>
        <w:rPr>
          <w:rFonts w:hint="default"/>
          <w:sz w:val="24"/>
          <w:szCs w:val="24"/>
          <w:lang w:val="en-US"/>
        </w:rPr>
        <w:t xml:space="preserve"> values, selected the top 20 entries, and visualized them using </w:t>
      </w:r>
      <w:proofErr w:type="spellStart"/>
      <w:r>
        <w:rPr>
          <w:rFonts w:hint="default"/>
          <w:sz w:val="24"/>
          <w:szCs w:val="24"/>
          <w:lang w:val="en-US"/>
        </w:rPr>
        <w:t>MicroBioinformatics</w:t>
      </w:r>
      <w:proofErr w:type="spellEnd"/>
      <w:r>
        <w:rPr>
          <w:rFonts w:hint="default"/>
          <w:sz w:val="24"/>
          <w:szCs w:val="24"/>
          <w:lang w:val="en-US"/>
        </w:rPr>
        <w:t>.</w:t>
      </w:r>
    </w:p>
    <w:p w14:paraId="373A5F6D" w14:textId="77777777" w:rsidR="00667E00" w:rsidRDefault="00667E00" w:rsidP="00647629">
      <w:pPr>
        <w:pStyle w:val="a"/>
        <w:snapToGrid w:val="0"/>
        <w:spacing w:line="240" w:lineRule="auto"/>
        <w:ind w:firstLineChars="0" w:firstLine="0"/>
        <w:rPr>
          <w:rFonts w:hint="default"/>
          <w:sz w:val="24"/>
          <w:szCs w:val="24"/>
          <w:lang w:val="en-US"/>
        </w:rPr>
      </w:pPr>
    </w:p>
    <w:p w14:paraId="373A5F6E" w14:textId="77777777" w:rsidR="00667E00" w:rsidRDefault="001317D9" w:rsidP="00647629">
      <w:pPr>
        <w:pStyle w:val="a1"/>
        <w:snapToGrid w:val="0"/>
        <w:spacing w:before="0" w:after="0" w:line="240" w:lineRule="auto"/>
        <w:jc w:val="both"/>
        <w:rPr>
          <w:rFonts w:eastAsia="SimSun" w:hint="default"/>
          <w:szCs w:val="24"/>
        </w:rPr>
      </w:pPr>
      <w:bookmarkStart w:id="14" w:name="_Toc7835"/>
      <w:bookmarkStart w:id="15" w:name="_Toc14545"/>
      <w:r>
        <w:rPr>
          <w:rFonts w:eastAsia="SimSun"/>
          <w:szCs w:val="24"/>
          <w:lang w:val="en-US"/>
        </w:rPr>
        <w:t>2</w:t>
      </w:r>
      <w:r>
        <w:rPr>
          <w:rFonts w:eastAsia="SimSun" w:hint="default"/>
          <w:szCs w:val="24"/>
          <w:lang w:val="en-US"/>
        </w:rPr>
        <w:t>.6</w:t>
      </w:r>
      <w:r>
        <w:rPr>
          <w:rFonts w:eastAsia="SimSun"/>
          <w:szCs w:val="24"/>
          <w:lang w:val="en-US"/>
        </w:rPr>
        <w:t>.</w:t>
      </w:r>
      <w:r>
        <w:rPr>
          <w:rFonts w:eastAsia="SimSun" w:hint="default"/>
          <w:szCs w:val="24"/>
          <w:lang w:val="en-US"/>
        </w:rPr>
        <w:t xml:space="preserve"> Molecular docking validation</w:t>
      </w:r>
      <w:bookmarkEnd w:id="14"/>
      <w:bookmarkEnd w:id="15"/>
    </w:p>
    <w:p w14:paraId="373A5F6F" w14:textId="77777777" w:rsidR="00667E00" w:rsidRDefault="001317D9" w:rsidP="00647629">
      <w:pPr>
        <w:pStyle w:val="a"/>
        <w:snapToGrid w:val="0"/>
        <w:spacing w:line="240" w:lineRule="auto"/>
        <w:ind w:firstLineChars="0" w:firstLine="0"/>
        <w:rPr>
          <w:rFonts w:hint="default"/>
          <w:sz w:val="24"/>
          <w:szCs w:val="24"/>
          <w:lang w:val="en-US"/>
        </w:rPr>
      </w:pPr>
      <w:r>
        <w:rPr>
          <w:rFonts w:hint="default"/>
          <w:sz w:val="24"/>
          <w:szCs w:val="24"/>
          <w:lang w:val="en-US"/>
        </w:rPr>
        <w:t xml:space="preserve">Select the top three targets by degree in the PPI network and perform docking with all 196 active compounds. Obtain ligand structures (in MOL2 format) from TCMSP and target protein structures (in PDB format) from PDB. Perform molecular docking using Schrodinger and Maestro, generate a heat map based on the top five results with the lowest binding energy, and visualize the optimal binding mode with </w:t>
      </w:r>
      <w:proofErr w:type="spellStart"/>
      <w:r>
        <w:rPr>
          <w:rFonts w:hint="default"/>
          <w:sz w:val="24"/>
          <w:szCs w:val="24"/>
          <w:lang w:val="en-US"/>
        </w:rPr>
        <w:t>Pymol</w:t>
      </w:r>
      <w:proofErr w:type="spellEnd"/>
      <w:r>
        <w:rPr>
          <w:rFonts w:hint="default"/>
          <w:sz w:val="24"/>
          <w:szCs w:val="24"/>
          <w:lang w:val="en-US"/>
        </w:rPr>
        <w:t>.</w:t>
      </w:r>
    </w:p>
    <w:p w14:paraId="373A5F70" w14:textId="77777777" w:rsidR="00667E00" w:rsidRDefault="00667E00" w:rsidP="00647629">
      <w:pPr>
        <w:pStyle w:val="a"/>
        <w:snapToGrid w:val="0"/>
        <w:spacing w:line="240" w:lineRule="auto"/>
        <w:ind w:firstLineChars="0" w:firstLine="0"/>
        <w:rPr>
          <w:rFonts w:hint="default"/>
          <w:sz w:val="24"/>
          <w:szCs w:val="24"/>
          <w:lang w:val="en-US"/>
        </w:rPr>
      </w:pPr>
    </w:p>
    <w:p w14:paraId="373A5F71" w14:textId="77777777" w:rsidR="00667E00" w:rsidRDefault="001317D9" w:rsidP="00647629">
      <w:pPr>
        <w:pStyle w:val="a1"/>
        <w:snapToGrid w:val="0"/>
        <w:spacing w:before="0" w:after="0" w:line="240" w:lineRule="auto"/>
        <w:jc w:val="both"/>
        <w:rPr>
          <w:rFonts w:eastAsia="SimSun" w:hint="default"/>
          <w:szCs w:val="24"/>
          <w:lang w:val="en-US"/>
        </w:rPr>
      </w:pPr>
      <w:r>
        <w:rPr>
          <w:rFonts w:eastAsia="SimSun"/>
          <w:szCs w:val="24"/>
          <w:lang w:val="en-US"/>
        </w:rPr>
        <w:lastRenderedPageBreak/>
        <w:t>2</w:t>
      </w:r>
      <w:r>
        <w:rPr>
          <w:rFonts w:eastAsia="SimSun" w:hint="default"/>
          <w:szCs w:val="24"/>
          <w:lang w:val="en-US"/>
        </w:rPr>
        <w:t>.7</w:t>
      </w:r>
      <w:r>
        <w:rPr>
          <w:rFonts w:eastAsia="SimSun"/>
          <w:szCs w:val="24"/>
          <w:lang w:val="en-US"/>
        </w:rPr>
        <w:t>.</w:t>
      </w:r>
      <w:r>
        <w:rPr>
          <w:rFonts w:eastAsia="SimSun" w:hint="default"/>
          <w:szCs w:val="24"/>
          <w:lang w:val="en-US"/>
        </w:rPr>
        <w:t xml:space="preserve"> Molecular dynamics simulations were conducted for validation.</w:t>
      </w:r>
    </w:p>
    <w:p w14:paraId="373A5F72" w14:textId="0EC6DF3F" w:rsidR="00667E00" w:rsidRDefault="001317D9" w:rsidP="00647629">
      <w:pPr>
        <w:pStyle w:val="a"/>
        <w:snapToGrid w:val="0"/>
        <w:spacing w:line="240" w:lineRule="auto"/>
        <w:ind w:firstLineChars="0" w:firstLine="0"/>
        <w:rPr>
          <w:rFonts w:hint="default"/>
          <w:sz w:val="24"/>
          <w:szCs w:val="24"/>
          <w:lang w:val="en-US"/>
        </w:rPr>
      </w:pPr>
      <w:r>
        <w:rPr>
          <w:rFonts w:hint="default"/>
          <w:sz w:val="24"/>
          <w:szCs w:val="24"/>
          <w:lang w:val="en-US"/>
        </w:rPr>
        <w:t>Molecular dynamics simulations were performed using GROMACS on the three complexes with the lowest binding energies</w:t>
      </w:r>
      <w:r w:rsidR="00C07B2C">
        <w:rPr>
          <w:rFonts w:hint="default"/>
          <w:sz w:val="24"/>
          <w:szCs w:val="24"/>
          <w:lang w:val="en-US"/>
        </w:rPr>
        <w:t xml:space="preserve"> </w:t>
      </w:r>
      <w:r>
        <w:rPr>
          <w:rFonts w:hint="default"/>
          <w:sz w:val="24"/>
          <w:szCs w:val="24"/>
          <w:vertAlign w:val="superscript"/>
          <w:lang w:val="en-US"/>
        </w:rPr>
        <w:t>[12]</w:t>
      </w:r>
      <w:r>
        <w:rPr>
          <w:rFonts w:hint="default"/>
          <w:sz w:val="24"/>
          <w:szCs w:val="24"/>
          <w:lang w:val="en-US"/>
        </w:rPr>
        <w:t>.</w:t>
      </w:r>
      <w:r>
        <w:rPr>
          <w:sz w:val="24"/>
          <w:szCs w:val="24"/>
          <w:lang w:val="en-US"/>
        </w:rPr>
        <w:t xml:space="preserve"> </w:t>
      </w:r>
      <w:r>
        <w:rPr>
          <w:rFonts w:hint="default"/>
          <w:sz w:val="24"/>
          <w:szCs w:val="24"/>
          <w:lang w:val="en-US"/>
        </w:rPr>
        <w:t>Using a total simulation duration of 100 ns with the Amber14SB force field, GAFF2 density functional force field, and TIP3P water model, energy minimization was performed via the steepest descent method (Fmax</w:t>
      </w:r>
      <w:r w:rsidR="00C07B2C">
        <w:rPr>
          <w:rFonts w:hint="default"/>
          <w:sz w:val="24"/>
          <w:szCs w:val="24"/>
          <w:lang w:val="en-US"/>
        </w:rPr>
        <w:t xml:space="preserve"> </w:t>
      </w:r>
      <w:r>
        <w:rPr>
          <w:rFonts w:hint="default"/>
          <w:sz w:val="24"/>
          <w:szCs w:val="24"/>
          <w:lang w:val="en-US"/>
        </w:rPr>
        <w:t xml:space="preserve">&lt;1000 kJ·mol⁻¹·nm⁻¹). The system was equilibrated under both NVT and NPT ensembles at 298 K, 1.0 bar, for 100 </w:t>
      </w:r>
      <w:proofErr w:type="spellStart"/>
      <w:r>
        <w:rPr>
          <w:rFonts w:hint="default"/>
          <w:sz w:val="24"/>
          <w:szCs w:val="24"/>
          <w:lang w:val="en-US"/>
        </w:rPr>
        <w:t>ps</w:t>
      </w:r>
      <w:proofErr w:type="spellEnd"/>
      <w:r>
        <w:rPr>
          <w:rFonts w:hint="default"/>
          <w:sz w:val="24"/>
          <w:szCs w:val="24"/>
          <w:lang w:val="en-US"/>
        </w:rPr>
        <w:t>, followed by simulations with a time step of 2 fs, with trajectories saved every 10 ps. Analysis parameters included RMSD, RMSF, RG, and Buried SASA.</w:t>
      </w:r>
    </w:p>
    <w:p w14:paraId="373A5F73" w14:textId="77777777" w:rsidR="00667E00" w:rsidRDefault="00667E00" w:rsidP="00647629">
      <w:pPr>
        <w:pStyle w:val="a"/>
        <w:snapToGrid w:val="0"/>
        <w:spacing w:line="240" w:lineRule="auto"/>
        <w:ind w:firstLineChars="0" w:firstLine="0"/>
        <w:rPr>
          <w:rFonts w:hint="default"/>
          <w:sz w:val="24"/>
          <w:szCs w:val="24"/>
          <w:lang w:val="en-US"/>
        </w:rPr>
      </w:pPr>
    </w:p>
    <w:p w14:paraId="373A5F74" w14:textId="77777777" w:rsidR="00667E00" w:rsidRDefault="001317D9" w:rsidP="00647629">
      <w:pPr>
        <w:pStyle w:val="a0"/>
        <w:snapToGrid w:val="0"/>
        <w:spacing w:before="0" w:after="0" w:line="240" w:lineRule="auto"/>
        <w:rPr>
          <w:rFonts w:eastAsia="SimSun" w:hint="default"/>
          <w:sz w:val="24"/>
          <w:szCs w:val="24"/>
        </w:rPr>
      </w:pPr>
      <w:bookmarkStart w:id="16" w:name="_Toc28080"/>
      <w:bookmarkStart w:id="17" w:name="_Toc9780"/>
      <w:r>
        <w:rPr>
          <w:rFonts w:eastAsia="SimSun"/>
          <w:sz w:val="24"/>
          <w:szCs w:val="24"/>
          <w:lang w:val="en-US"/>
        </w:rPr>
        <w:t>3.</w:t>
      </w:r>
      <w:r>
        <w:rPr>
          <w:rFonts w:eastAsia="SimSun" w:hint="default"/>
          <w:sz w:val="24"/>
          <w:szCs w:val="24"/>
          <w:lang w:val="en-US"/>
        </w:rPr>
        <w:t xml:space="preserve"> Results</w:t>
      </w:r>
      <w:bookmarkEnd w:id="16"/>
      <w:bookmarkEnd w:id="17"/>
    </w:p>
    <w:p w14:paraId="373A5F75" w14:textId="77777777" w:rsidR="00667E00" w:rsidRDefault="001317D9" w:rsidP="00647629">
      <w:pPr>
        <w:pStyle w:val="a1"/>
        <w:snapToGrid w:val="0"/>
        <w:spacing w:before="0" w:after="0" w:line="240" w:lineRule="auto"/>
        <w:jc w:val="both"/>
        <w:rPr>
          <w:rFonts w:eastAsia="SimSun" w:hint="default"/>
          <w:szCs w:val="24"/>
        </w:rPr>
      </w:pPr>
      <w:bookmarkStart w:id="18" w:name="_Toc25753"/>
      <w:bookmarkStart w:id="19" w:name="_Toc23250"/>
      <w:r>
        <w:rPr>
          <w:rFonts w:eastAsia="SimSun"/>
          <w:szCs w:val="24"/>
          <w:lang w:val="en-US"/>
        </w:rPr>
        <w:t>3</w:t>
      </w:r>
      <w:r>
        <w:rPr>
          <w:rFonts w:eastAsia="SimSun" w:hint="default"/>
          <w:szCs w:val="24"/>
          <w:lang w:val="en-US"/>
        </w:rPr>
        <w:t>.1</w:t>
      </w:r>
      <w:r>
        <w:rPr>
          <w:rFonts w:eastAsia="SimSun"/>
          <w:szCs w:val="24"/>
          <w:lang w:val="en-US"/>
        </w:rPr>
        <w:t>.</w:t>
      </w:r>
      <w:r>
        <w:rPr>
          <w:rFonts w:eastAsia="SimSun" w:hint="default"/>
          <w:szCs w:val="24"/>
          <w:lang w:val="en-US"/>
        </w:rPr>
        <w:t xml:space="preserve"> Active </w:t>
      </w:r>
      <w:r>
        <w:rPr>
          <w:rFonts w:eastAsia="SimSun"/>
          <w:szCs w:val="24"/>
          <w:lang w:val="en-US"/>
        </w:rPr>
        <w:t>c</w:t>
      </w:r>
      <w:r>
        <w:rPr>
          <w:rFonts w:eastAsia="SimSun" w:hint="default"/>
          <w:szCs w:val="24"/>
          <w:lang w:val="en-US"/>
        </w:rPr>
        <w:t xml:space="preserve">omponents and </w:t>
      </w:r>
      <w:r>
        <w:rPr>
          <w:rFonts w:eastAsia="SimSun"/>
          <w:szCs w:val="24"/>
          <w:lang w:val="en-US"/>
        </w:rPr>
        <w:t>t</w:t>
      </w:r>
      <w:r>
        <w:rPr>
          <w:rFonts w:eastAsia="SimSun" w:hint="default"/>
          <w:szCs w:val="24"/>
          <w:lang w:val="en-US"/>
        </w:rPr>
        <w:t xml:space="preserve">heir </w:t>
      </w:r>
      <w:r>
        <w:rPr>
          <w:rFonts w:eastAsia="SimSun"/>
          <w:szCs w:val="24"/>
          <w:lang w:val="en-US"/>
        </w:rPr>
        <w:t>c</w:t>
      </w:r>
      <w:r>
        <w:rPr>
          <w:rFonts w:eastAsia="SimSun" w:hint="default"/>
          <w:szCs w:val="24"/>
          <w:lang w:val="en-US"/>
        </w:rPr>
        <w:t xml:space="preserve">orresponding </w:t>
      </w:r>
      <w:r>
        <w:rPr>
          <w:rFonts w:eastAsia="SimSun"/>
          <w:szCs w:val="24"/>
          <w:lang w:val="en-US"/>
        </w:rPr>
        <w:t>t</w:t>
      </w:r>
      <w:r>
        <w:rPr>
          <w:rFonts w:eastAsia="SimSun" w:hint="default"/>
          <w:szCs w:val="24"/>
          <w:lang w:val="en-US"/>
        </w:rPr>
        <w:t xml:space="preserve">arget </w:t>
      </w:r>
      <w:r>
        <w:rPr>
          <w:rFonts w:eastAsia="SimSun"/>
          <w:szCs w:val="24"/>
          <w:lang w:val="en-US"/>
        </w:rPr>
        <w:t>s</w:t>
      </w:r>
      <w:r>
        <w:rPr>
          <w:rFonts w:eastAsia="SimSun" w:hint="default"/>
          <w:szCs w:val="24"/>
          <w:lang w:val="en-US"/>
        </w:rPr>
        <w:t>ites</w:t>
      </w:r>
      <w:bookmarkEnd w:id="18"/>
      <w:bookmarkEnd w:id="19"/>
    </w:p>
    <w:p w14:paraId="373A5F76" w14:textId="77777777" w:rsidR="00667E00" w:rsidRDefault="001317D9" w:rsidP="00F86697">
      <w:pPr>
        <w:snapToGrid w:val="0"/>
        <w:spacing w:line="240" w:lineRule="auto"/>
        <w:ind w:firstLineChars="0" w:firstLine="0"/>
        <w:jc w:val="both"/>
        <w:rPr>
          <w:rFonts w:eastAsia="SimSun"/>
          <w:sz w:val="24"/>
          <w:szCs w:val="24"/>
        </w:rPr>
      </w:pPr>
      <w:r>
        <w:rPr>
          <w:rFonts w:eastAsia="SimSun"/>
          <w:sz w:val="24"/>
          <w:szCs w:val="24"/>
        </w:rPr>
        <w:t>A total of 196 active ingredients were identified, among which 9 were common components. Target prediction identified 1,096 corresponding targets. Through intersection analysis across four databases, 244 disease-related targets and 73 shared targets with drug targets were obtained (</w:t>
      </w:r>
      <w:r>
        <w:rPr>
          <w:rFonts w:eastAsia="SimSun"/>
          <w:b/>
          <w:bCs/>
          <w:sz w:val="24"/>
          <w:szCs w:val="24"/>
        </w:rPr>
        <w:t>Figure 1</w:t>
      </w:r>
      <w:r>
        <w:rPr>
          <w:rFonts w:eastAsia="SimSun"/>
          <w:sz w:val="24"/>
          <w:szCs w:val="24"/>
        </w:rPr>
        <w:t>).</w:t>
      </w:r>
    </w:p>
    <w:p w14:paraId="79B0E2A6" w14:textId="77777777" w:rsidR="00C07B2C" w:rsidRDefault="00C07B2C" w:rsidP="00647629">
      <w:pPr>
        <w:snapToGrid w:val="0"/>
        <w:spacing w:line="240" w:lineRule="auto"/>
        <w:ind w:firstLineChars="0" w:firstLine="0"/>
        <w:jc w:val="both"/>
        <w:rPr>
          <w:rFonts w:eastAsia="SimSun"/>
          <w:sz w:val="24"/>
          <w:szCs w:val="24"/>
        </w:rPr>
      </w:pPr>
    </w:p>
    <w:p w14:paraId="373A5F77" w14:textId="77777777" w:rsidR="00667E00" w:rsidRDefault="001317D9" w:rsidP="00647629">
      <w:pPr>
        <w:snapToGrid w:val="0"/>
        <w:spacing w:line="240" w:lineRule="auto"/>
        <w:ind w:firstLineChars="0" w:firstLine="0"/>
        <w:jc w:val="center"/>
        <w:rPr>
          <w:rFonts w:eastAsia="SimSun"/>
          <w:sz w:val="24"/>
          <w:szCs w:val="24"/>
        </w:rPr>
      </w:pPr>
      <w:r>
        <w:rPr>
          <w:rFonts w:eastAsia="SimSun"/>
          <w:noProof/>
          <w:sz w:val="24"/>
          <w:szCs w:val="24"/>
        </w:rPr>
        <w:drawing>
          <wp:inline distT="0" distB="0" distL="114300" distR="114300" wp14:anchorId="373A5FCD" wp14:editId="373A5FCE">
            <wp:extent cx="6656070" cy="2576830"/>
            <wp:effectExtent l="0" t="0" r="11430" b="1270"/>
            <wp:docPr id="1" name="图片 1" descr="韦恩图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韦恩图_01"/>
                    <pic:cNvPicPr>
                      <a:picLocks noChangeAspect="1"/>
                    </pic:cNvPicPr>
                  </pic:nvPicPr>
                  <pic:blipFill>
                    <a:blip r:embed="rId6"/>
                    <a:srcRect l="1784" t="5881" r="17940" b="37260"/>
                    <a:stretch>
                      <a:fillRect/>
                    </a:stretch>
                  </pic:blipFill>
                  <pic:spPr>
                    <a:xfrm>
                      <a:off x="0" y="0"/>
                      <a:ext cx="6656070" cy="2576830"/>
                    </a:xfrm>
                    <a:prstGeom prst="rect">
                      <a:avLst/>
                    </a:prstGeom>
                    <a:noFill/>
                    <a:ln>
                      <a:noFill/>
                    </a:ln>
                  </pic:spPr>
                </pic:pic>
              </a:graphicData>
            </a:graphic>
          </wp:inline>
        </w:drawing>
      </w:r>
    </w:p>
    <w:p w14:paraId="373A5F78" w14:textId="7E6F33F2" w:rsidR="00667E00" w:rsidRPr="00647629" w:rsidRDefault="001317D9" w:rsidP="00647629">
      <w:pPr>
        <w:pStyle w:val="a1"/>
        <w:snapToGrid w:val="0"/>
        <w:spacing w:before="0" w:after="0" w:line="240" w:lineRule="auto"/>
        <w:jc w:val="center"/>
        <w:rPr>
          <w:rFonts w:eastAsia="SimSun" w:hint="default"/>
          <w:b w:val="0"/>
          <w:sz w:val="20"/>
          <w:lang w:val="en-US"/>
        </w:rPr>
      </w:pPr>
      <w:bookmarkStart w:id="20" w:name="_Toc9924"/>
      <w:bookmarkStart w:id="21" w:name="_Toc4870"/>
      <w:r w:rsidRPr="00647629">
        <w:rPr>
          <w:rFonts w:eastAsia="SimSun" w:hint="default"/>
          <w:bCs/>
          <w:sz w:val="20"/>
          <w:lang w:val="en-US"/>
        </w:rPr>
        <w:t>Fig</w:t>
      </w:r>
      <w:r w:rsidRPr="00647629">
        <w:rPr>
          <w:rFonts w:eastAsia="SimSun"/>
          <w:bCs/>
          <w:sz w:val="20"/>
          <w:lang w:val="en-US"/>
        </w:rPr>
        <w:t xml:space="preserve">ure </w:t>
      </w:r>
      <w:r w:rsidRPr="00647629">
        <w:rPr>
          <w:rFonts w:eastAsia="SimSun" w:hint="default"/>
          <w:bCs/>
          <w:sz w:val="20"/>
          <w:lang w:val="en-US"/>
        </w:rPr>
        <w:t>1</w:t>
      </w:r>
      <w:r w:rsidRPr="00647629">
        <w:rPr>
          <w:rFonts w:eastAsia="SimSun"/>
          <w:bCs/>
          <w:sz w:val="20"/>
          <w:lang w:val="en-US"/>
        </w:rPr>
        <w:t>.</w:t>
      </w:r>
      <w:r w:rsidRPr="00647629">
        <w:rPr>
          <w:rFonts w:eastAsia="SimSun" w:hint="default"/>
          <w:b w:val="0"/>
          <w:sz w:val="20"/>
          <w:lang w:val="en-US"/>
        </w:rPr>
        <w:t xml:space="preserve"> Venn diagram of </w:t>
      </w:r>
      <w:r w:rsidRPr="00647629">
        <w:rPr>
          <w:rFonts w:eastAsia="SimSun"/>
          <w:b w:val="0"/>
          <w:sz w:val="20"/>
          <w:lang w:val="en-US"/>
        </w:rPr>
        <w:t>d</w:t>
      </w:r>
      <w:r w:rsidRPr="00647629">
        <w:rPr>
          <w:rFonts w:eastAsia="SimSun" w:hint="default"/>
          <w:b w:val="0"/>
          <w:sz w:val="20"/>
          <w:lang w:val="en-US"/>
        </w:rPr>
        <w:t xml:space="preserve">isease targets (A) and </w:t>
      </w:r>
      <w:proofErr w:type="spellStart"/>
      <w:r w:rsidRPr="00647629">
        <w:rPr>
          <w:rFonts w:eastAsia="SimSun"/>
          <w:b w:val="0"/>
          <w:sz w:val="20"/>
          <w:lang w:val="en-US"/>
        </w:rPr>
        <w:t>v</w:t>
      </w:r>
      <w:r w:rsidRPr="00647629">
        <w:rPr>
          <w:rFonts w:eastAsia="SimSun" w:hint="default"/>
          <w:b w:val="0"/>
          <w:sz w:val="20"/>
          <w:lang w:val="en-US"/>
        </w:rPr>
        <w:t>enn</w:t>
      </w:r>
      <w:proofErr w:type="spellEnd"/>
      <w:r w:rsidRPr="00647629">
        <w:rPr>
          <w:rFonts w:eastAsia="SimSun" w:hint="default"/>
          <w:b w:val="0"/>
          <w:sz w:val="20"/>
          <w:lang w:val="en-US"/>
        </w:rPr>
        <w:t xml:space="preserve"> diagram of drug active </w:t>
      </w:r>
      <w:r w:rsidRPr="00647629">
        <w:rPr>
          <w:rFonts w:eastAsia="SimSun"/>
          <w:b w:val="0"/>
          <w:sz w:val="20"/>
          <w:lang w:val="en-US"/>
        </w:rPr>
        <w:t>i</w:t>
      </w:r>
      <w:r w:rsidRPr="00647629">
        <w:rPr>
          <w:rFonts w:eastAsia="SimSun" w:hint="default"/>
          <w:b w:val="0"/>
          <w:sz w:val="20"/>
          <w:lang w:val="en-US"/>
        </w:rPr>
        <w:t>ngredient targets and disease targets (B)</w:t>
      </w:r>
      <w:r w:rsidRPr="00647629">
        <w:rPr>
          <w:rFonts w:eastAsia="SimSun" w:hint="default"/>
          <w:b w:val="0"/>
          <w:sz w:val="20"/>
          <w:lang w:val="en-US"/>
        </w:rPr>
        <w:t>.</w:t>
      </w:r>
      <w:bookmarkStart w:id="22" w:name="_Toc18688"/>
      <w:bookmarkStart w:id="23" w:name="_Toc29753"/>
    </w:p>
    <w:p w14:paraId="373A5F79" w14:textId="77777777" w:rsidR="00667E00" w:rsidRDefault="00667E00" w:rsidP="00647629">
      <w:pPr>
        <w:pStyle w:val="a1"/>
        <w:snapToGrid w:val="0"/>
        <w:spacing w:before="0" w:after="0" w:line="240" w:lineRule="auto"/>
        <w:jc w:val="both"/>
        <w:rPr>
          <w:rFonts w:eastAsia="SimSun" w:hint="default"/>
          <w:b w:val="0"/>
          <w:szCs w:val="24"/>
          <w:lang w:val="en-US"/>
        </w:rPr>
      </w:pPr>
    </w:p>
    <w:p w14:paraId="373A5F7A" w14:textId="38C29BAD" w:rsidR="00667E00" w:rsidRDefault="001317D9" w:rsidP="00647629">
      <w:pPr>
        <w:pStyle w:val="a1"/>
        <w:snapToGrid w:val="0"/>
        <w:spacing w:before="0" w:after="0" w:line="240" w:lineRule="auto"/>
        <w:jc w:val="both"/>
        <w:rPr>
          <w:rFonts w:hint="default"/>
          <w:szCs w:val="24"/>
        </w:rPr>
      </w:pPr>
      <w:r>
        <w:rPr>
          <w:rFonts w:eastAsia="SimSun"/>
          <w:szCs w:val="24"/>
          <w:lang w:val="en-US"/>
        </w:rPr>
        <w:t>3</w:t>
      </w:r>
      <w:r>
        <w:rPr>
          <w:rFonts w:eastAsia="SimSun" w:hint="default"/>
          <w:szCs w:val="24"/>
          <w:lang w:val="en-US"/>
        </w:rPr>
        <w:t>.2</w:t>
      </w:r>
      <w:r>
        <w:rPr>
          <w:rFonts w:eastAsia="SimSun"/>
          <w:szCs w:val="24"/>
          <w:lang w:val="en-US"/>
        </w:rPr>
        <w:t>.</w:t>
      </w:r>
      <w:r>
        <w:rPr>
          <w:rFonts w:eastAsia="SimSun" w:hint="default"/>
          <w:szCs w:val="24"/>
          <w:lang w:val="en-US"/>
        </w:rPr>
        <w:t xml:space="preserve"> Construction of a </w:t>
      </w:r>
      <w:r w:rsidR="000E4DA4">
        <w:rPr>
          <w:rFonts w:eastAsia="SimSun" w:hint="default"/>
          <w:szCs w:val="24"/>
          <w:lang w:val="en-US"/>
        </w:rPr>
        <w:t>“</w:t>
      </w:r>
      <w:r>
        <w:rPr>
          <w:rFonts w:eastAsia="SimSun" w:hint="default"/>
          <w:szCs w:val="24"/>
          <w:lang w:val="en-US"/>
        </w:rPr>
        <w:t>Drug–Active Ingredient–Target</w:t>
      </w:r>
      <w:r w:rsidR="000E4DA4">
        <w:rPr>
          <w:rFonts w:eastAsia="SimSun" w:hint="default"/>
          <w:szCs w:val="24"/>
          <w:lang w:val="en-US"/>
        </w:rPr>
        <w:t>”</w:t>
      </w:r>
      <w:r>
        <w:rPr>
          <w:rFonts w:eastAsia="SimSun" w:hint="default"/>
          <w:szCs w:val="24"/>
          <w:lang w:val="en-US"/>
        </w:rPr>
        <w:t xml:space="preserve"> </w:t>
      </w:r>
      <w:r>
        <w:rPr>
          <w:rFonts w:eastAsia="SimSun"/>
          <w:szCs w:val="24"/>
          <w:lang w:val="en-US"/>
        </w:rPr>
        <w:t>n</w:t>
      </w:r>
      <w:r>
        <w:rPr>
          <w:rFonts w:eastAsia="SimSun" w:hint="default"/>
          <w:szCs w:val="24"/>
          <w:lang w:val="en-US"/>
        </w:rPr>
        <w:t>etwork</w:t>
      </w:r>
      <w:bookmarkEnd w:id="20"/>
      <w:bookmarkEnd w:id="21"/>
      <w:bookmarkEnd w:id="22"/>
      <w:bookmarkEnd w:id="23"/>
    </w:p>
    <w:p w14:paraId="373A5F7B" w14:textId="1A240666" w:rsidR="00667E00" w:rsidRDefault="001317D9" w:rsidP="00F86697">
      <w:pPr>
        <w:pStyle w:val="a"/>
        <w:snapToGrid w:val="0"/>
        <w:spacing w:line="240" w:lineRule="auto"/>
        <w:ind w:firstLineChars="0" w:firstLine="0"/>
        <w:rPr>
          <w:rFonts w:hint="default"/>
          <w:sz w:val="24"/>
          <w:szCs w:val="24"/>
          <w:lang w:val="en-US"/>
        </w:rPr>
      </w:pPr>
      <w:r>
        <w:rPr>
          <w:rFonts w:hint="default"/>
          <w:sz w:val="24"/>
          <w:szCs w:val="24"/>
          <w:lang w:val="en-US"/>
        </w:rPr>
        <w:t xml:space="preserve">The </w:t>
      </w:r>
      <w:r w:rsidR="000E4DA4">
        <w:rPr>
          <w:rFonts w:hint="default"/>
          <w:sz w:val="24"/>
          <w:szCs w:val="24"/>
          <w:lang w:val="en-US"/>
        </w:rPr>
        <w:t>“</w:t>
      </w:r>
      <w:r>
        <w:rPr>
          <w:rFonts w:hint="default"/>
          <w:sz w:val="24"/>
          <w:szCs w:val="24"/>
          <w:lang w:val="en-US"/>
        </w:rPr>
        <w:t>Drug-Active Ingredient-Target</w:t>
      </w:r>
      <w:r w:rsidR="000E4DA4">
        <w:rPr>
          <w:rFonts w:hint="default"/>
          <w:sz w:val="24"/>
          <w:szCs w:val="24"/>
          <w:lang w:val="en-US"/>
        </w:rPr>
        <w:t>”</w:t>
      </w:r>
      <w:r>
        <w:rPr>
          <w:rFonts w:hint="default"/>
          <w:sz w:val="24"/>
          <w:szCs w:val="24"/>
          <w:lang w:val="en-US"/>
        </w:rPr>
        <w:t xml:space="preserve"> network comprises 474 nodes and 475 edges (</w:t>
      </w:r>
      <w:r>
        <w:rPr>
          <w:rFonts w:hint="default"/>
          <w:b/>
          <w:bCs/>
          <w:sz w:val="24"/>
          <w:szCs w:val="24"/>
          <w:lang w:val="en-US"/>
        </w:rPr>
        <w:t>Figure 2</w:t>
      </w:r>
      <w:r>
        <w:rPr>
          <w:rFonts w:hint="default"/>
          <w:sz w:val="24"/>
          <w:szCs w:val="24"/>
          <w:lang w:val="en-US"/>
        </w:rPr>
        <w:t>). The PPI network (154 nodes, 1,387 edges)</w:t>
      </w:r>
      <w:r w:rsidR="00C07B2C">
        <w:rPr>
          <w:rFonts w:hint="default"/>
          <w:sz w:val="24"/>
          <w:szCs w:val="24"/>
          <w:lang w:val="en-US"/>
        </w:rPr>
        <w:t xml:space="preserve"> </w:t>
      </w:r>
      <w:r>
        <w:rPr>
          <w:sz w:val="24"/>
          <w:szCs w:val="24"/>
          <w:lang w:val="en-US"/>
        </w:rPr>
        <w:t>(</w:t>
      </w:r>
      <w:r>
        <w:rPr>
          <w:b/>
          <w:bCs/>
          <w:sz w:val="24"/>
          <w:szCs w:val="24"/>
          <w:lang w:val="en-US"/>
        </w:rPr>
        <w:t>Figure 3</w:t>
      </w:r>
      <w:r>
        <w:rPr>
          <w:sz w:val="24"/>
          <w:szCs w:val="24"/>
          <w:lang w:val="en-US"/>
        </w:rPr>
        <w:t>)</w:t>
      </w:r>
      <w:r>
        <w:rPr>
          <w:rFonts w:hint="default"/>
          <w:sz w:val="24"/>
          <w:szCs w:val="24"/>
          <w:lang w:val="en-US"/>
        </w:rPr>
        <w:t xml:space="preserve"> was filtered using the Degree criterion, retaining 13 nodes, 66 edges, and 13 key targets ranked by Degree value (</w:t>
      </w:r>
      <w:r>
        <w:rPr>
          <w:rFonts w:hint="default"/>
          <w:b/>
          <w:bCs/>
          <w:sz w:val="24"/>
          <w:szCs w:val="24"/>
          <w:lang w:val="en-US"/>
        </w:rPr>
        <w:t>Figure 4</w:t>
      </w:r>
      <w:r>
        <w:rPr>
          <w:rFonts w:hint="default"/>
          <w:sz w:val="24"/>
          <w:szCs w:val="24"/>
          <w:lang w:val="en-US"/>
        </w:rPr>
        <w:t>).</w:t>
      </w:r>
    </w:p>
    <w:p w14:paraId="2D616EB5" w14:textId="77777777" w:rsidR="00C07B2C" w:rsidRDefault="00C07B2C" w:rsidP="00647629">
      <w:pPr>
        <w:pStyle w:val="a"/>
        <w:snapToGrid w:val="0"/>
        <w:spacing w:line="240" w:lineRule="auto"/>
        <w:ind w:firstLineChars="0" w:firstLine="0"/>
        <w:rPr>
          <w:rFonts w:hint="default"/>
          <w:sz w:val="24"/>
          <w:szCs w:val="24"/>
          <w:lang w:val="en-US"/>
        </w:rPr>
      </w:pPr>
    </w:p>
    <w:p w14:paraId="373A5F7C" w14:textId="77777777" w:rsidR="00667E00" w:rsidRDefault="001317D9" w:rsidP="00647629">
      <w:pPr>
        <w:snapToGrid w:val="0"/>
        <w:spacing w:line="240" w:lineRule="auto"/>
        <w:ind w:firstLineChars="0" w:firstLine="0"/>
        <w:jc w:val="center"/>
        <w:rPr>
          <w:rFonts w:eastAsia="SimSun"/>
          <w:color w:val="1A171B"/>
          <w:sz w:val="24"/>
          <w:szCs w:val="24"/>
        </w:rPr>
      </w:pPr>
      <w:r>
        <w:rPr>
          <w:rFonts w:eastAsia="SimSun"/>
          <w:noProof/>
          <w:color w:val="1A171B"/>
          <w:sz w:val="24"/>
          <w:szCs w:val="24"/>
        </w:rPr>
        <w:lastRenderedPageBreak/>
        <w:drawing>
          <wp:inline distT="0" distB="0" distL="114300" distR="114300" wp14:anchorId="373A5FCF" wp14:editId="07904547">
            <wp:extent cx="5974080" cy="3177384"/>
            <wp:effectExtent l="0" t="0" r="7620" b="4445"/>
            <wp:docPr id="2" name="图片 2" descr="4.2.8  ”药物-活性成分-疾病“靶点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4.2.8  ”药物-活性成分-疾病“靶点图"/>
                    <pic:cNvPicPr>
                      <a:picLocks noChangeAspect="1"/>
                    </pic:cNvPicPr>
                  </pic:nvPicPr>
                  <pic:blipFill>
                    <a:blip r:embed="rId7"/>
                    <a:srcRect l="1558" t="4922" r="4628" b="3340"/>
                    <a:stretch>
                      <a:fillRect/>
                    </a:stretch>
                  </pic:blipFill>
                  <pic:spPr>
                    <a:xfrm>
                      <a:off x="0" y="0"/>
                      <a:ext cx="5977786" cy="3179355"/>
                    </a:xfrm>
                    <a:prstGeom prst="rect">
                      <a:avLst/>
                    </a:prstGeom>
                    <a:noFill/>
                    <a:ln>
                      <a:noFill/>
                    </a:ln>
                  </pic:spPr>
                </pic:pic>
              </a:graphicData>
            </a:graphic>
          </wp:inline>
        </w:drawing>
      </w:r>
    </w:p>
    <w:p w14:paraId="373A5F7D" w14:textId="77777777" w:rsidR="00667E00" w:rsidRDefault="001317D9" w:rsidP="00F86697">
      <w:pPr>
        <w:snapToGrid w:val="0"/>
        <w:spacing w:line="240" w:lineRule="auto"/>
        <w:ind w:left="301" w:hangingChars="150" w:hanging="301"/>
        <w:jc w:val="center"/>
        <w:rPr>
          <w:rFonts w:eastAsia="SimSun"/>
          <w:color w:val="000000"/>
          <w:sz w:val="20"/>
          <w:szCs w:val="20"/>
        </w:rPr>
      </w:pPr>
      <w:r w:rsidRPr="00647629">
        <w:rPr>
          <w:rFonts w:eastAsia="SimSun"/>
          <w:b/>
          <w:bCs/>
          <w:color w:val="000000"/>
          <w:sz w:val="20"/>
          <w:szCs w:val="20"/>
        </w:rPr>
        <w:t>Figure 2</w:t>
      </w:r>
      <w:r w:rsidRPr="00647629">
        <w:rPr>
          <w:rFonts w:eastAsia="SimSun" w:hint="eastAsia"/>
          <w:b/>
          <w:bCs/>
          <w:color w:val="000000"/>
          <w:sz w:val="20"/>
          <w:szCs w:val="20"/>
        </w:rPr>
        <w:t xml:space="preserve">. </w:t>
      </w:r>
      <w:r w:rsidRPr="00647629">
        <w:rPr>
          <w:rFonts w:eastAsia="SimSun"/>
          <w:color w:val="000000"/>
          <w:sz w:val="20"/>
          <w:szCs w:val="20"/>
        </w:rPr>
        <w:t xml:space="preserve">Network diagram of the modified </w:t>
      </w:r>
      <w:proofErr w:type="spellStart"/>
      <w:r w:rsidRPr="00647629">
        <w:rPr>
          <w:rFonts w:eastAsia="SimSun"/>
          <w:color w:val="000000"/>
          <w:sz w:val="20"/>
          <w:szCs w:val="20"/>
        </w:rPr>
        <w:t>Shenling</w:t>
      </w:r>
      <w:proofErr w:type="spellEnd"/>
      <w:r w:rsidRPr="00647629">
        <w:rPr>
          <w:rFonts w:eastAsia="SimSun"/>
          <w:color w:val="000000"/>
          <w:sz w:val="20"/>
          <w:szCs w:val="20"/>
        </w:rPr>
        <w:t xml:space="preserve"> </w:t>
      </w:r>
      <w:proofErr w:type="spellStart"/>
      <w:r w:rsidRPr="00647629">
        <w:rPr>
          <w:rFonts w:eastAsia="SimSun"/>
          <w:color w:val="000000"/>
          <w:sz w:val="20"/>
          <w:szCs w:val="20"/>
        </w:rPr>
        <w:t>Baizhu</w:t>
      </w:r>
      <w:proofErr w:type="spellEnd"/>
      <w:r w:rsidRPr="00647629">
        <w:rPr>
          <w:rFonts w:eastAsia="SimSun"/>
          <w:color w:val="000000"/>
          <w:sz w:val="20"/>
          <w:szCs w:val="20"/>
        </w:rPr>
        <w:t xml:space="preserve"> Powder as a traditional Chinese medicine formulation for obesity intervention (the purple circle in the center represents targets corresponding to active ingredients; the outer green circles denote individual active ingredients; the red circles indicate drug components; and the blue circles represent shared active ingredients among the drugs).</w:t>
      </w:r>
    </w:p>
    <w:p w14:paraId="0FA49FDA" w14:textId="77777777" w:rsidR="00C07B2C" w:rsidRPr="00C07B2C" w:rsidRDefault="00C07B2C" w:rsidP="00647629">
      <w:pPr>
        <w:snapToGrid w:val="0"/>
        <w:spacing w:line="240" w:lineRule="auto"/>
        <w:ind w:left="360" w:hangingChars="150" w:hanging="360"/>
        <w:jc w:val="center"/>
        <w:rPr>
          <w:rFonts w:eastAsia="SimSun"/>
          <w:color w:val="000000"/>
          <w:sz w:val="24"/>
          <w:szCs w:val="24"/>
        </w:rPr>
      </w:pPr>
    </w:p>
    <w:p w14:paraId="373A5F7E" w14:textId="680D1926" w:rsidR="00667E00" w:rsidRDefault="001317D9" w:rsidP="00647629">
      <w:pPr>
        <w:snapToGrid w:val="0"/>
        <w:spacing w:line="240" w:lineRule="auto"/>
        <w:ind w:firstLineChars="0" w:firstLine="0"/>
        <w:jc w:val="center"/>
        <w:rPr>
          <w:rFonts w:eastAsia="SimSun"/>
          <w:sz w:val="24"/>
          <w:szCs w:val="24"/>
        </w:rPr>
      </w:pPr>
      <w:r>
        <w:rPr>
          <w:rFonts w:eastAsia="SimSun"/>
          <w:noProof/>
          <w:sz w:val="24"/>
          <w:szCs w:val="24"/>
        </w:rPr>
        <w:drawing>
          <wp:inline distT="0" distB="0" distL="114300" distR="114300" wp14:anchorId="373A5FD1" wp14:editId="5CE874A9">
            <wp:extent cx="4686300" cy="4783619"/>
            <wp:effectExtent l="0" t="0" r="0" b="0"/>
            <wp:docPr id="3" name="图片 3" descr="5.2.23 ppi网络图 73个靶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5.2.23 ppi网络图 73个靶点"/>
                    <pic:cNvPicPr>
                      <a:picLocks noChangeAspect="1"/>
                    </pic:cNvPicPr>
                  </pic:nvPicPr>
                  <pic:blipFill>
                    <a:blip r:embed="rId8"/>
                    <a:srcRect l="20950" r="25769"/>
                    <a:stretch>
                      <a:fillRect/>
                    </a:stretch>
                  </pic:blipFill>
                  <pic:spPr>
                    <a:xfrm>
                      <a:off x="0" y="0"/>
                      <a:ext cx="4687230" cy="4784568"/>
                    </a:xfrm>
                    <a:prstGeom prst="rect">
                      <a:avLst/>
                    </a:prstGeom>
                    <a:noFill/>
                    <a:ln>
                      <a:noFill/>
                    </a:ln>
                  </pic:spPr>
                </pic:pic>
              </a:graphicData>
            </a:graphic>
          </wp:inline>
        </w:drawing>
      </w:r>
    </w:p>
    <w:p w14:paraId="373A5F7F" w14:textId="77777777" w:rsidR="00667E00" w:rsidRDefault="001317D9" w:rsidP="00C07B2C">
      <w:pPr>
        <w:snapToGrid w:val="0"/>
        <w:spacing w:line="240" w:lineRule="auto"/>
        <w:ind w:firstLineChars="0" w:firstLine="0"/>
        <w:jc w:val="center"/>
        <w:rPr>
          <w:rFonts w:eastAsia="SimSun"/>
          <w:color w:val="000000"/>
          <w:sz w:val="20"/>
          <w:szCs w:val="20"/>
        </w:rPr>
      </w:pPr>
      <w:r w:rsidRPr="00647629">
        <w:rPr>
          <w:rFonts w:eastAsia="SimSun"/>
          <w:b/>
          <w:bCs/>
          <w:color w:val="000000"/>
          <w:sz w:val="20"/>
          <w:szCs w:val="20"/>
        </w:rPr>
        <w:t>Fig</w:t>
      </w:r>
      <w:r w:rsidRPr="00647629">
        <w:rPr>
          <w:rFonts w:eastAsia="SimSun" w:hint="eastAsia"/>
          <w:b/>
          <w:bCs/>
          <w:color w:val="000000"/>
          <w:sz w:val="20"/>
          <w:szCs w:val="20"/>
        </w:rPr>
        <w:t xml:space="preserve">ure </w:t>
      </w:r>
      <w:r w:rsidRPr="00647629">
        <w:rPr>
          <w:rFonts w:eastAsia="SimSun"/>
          <w:b/>
          <w:bCs/>
          <w:color w:val="000000"/>
          <w:sz w:val="20"/>
          <w:szCs w:val="20"/>
        </w:rPr>
        <w:t>3</w:t>
      </w:r>
      <w:r w:rsidRPr="00647629">
        <w:rPr>
          <w:rFonts w:eastAsia="SimSun" w:hint="eastAsia"/>
          <w:b/>
          <w:bCs/>
          <w:color w:val="000000"/>
          <w:sz w:val="20"/>
          <w:szCs w:val="20"/>
        </w:rPr>
        <w:t>.</w:t>
      </w:r>
      <w:r w:rsidRPr="00647629">
        <w:rPr>
          <w:rFonts w:eastAsia="SimSun"/>
          <w:color w:val="000000"/>
          <w:sz w:val="20"/>
          <w:szCs w:val="20"/>
        </w:rPr>
        <w:t xml:space="preserve"> Modified </w:t>
      </w:r>
      <w:proofErr w:type="spellStart"/>
      <w:r w:rsidRPr="00647629">
        <w:rPr>
          <w:rFonts w:eastAsia="SimSun"/>
          <w:color w:val="000000"/>
          <w:sz w:val="20"/>
          <w:szCs w:val="20"/>
        </w:rPr>
        <w:t>Shenling</w:t>
      </w:r>
      <w:proofErr w:type="spellEnd"/>
      <w:r w:rsidRPr="00647629">
        <w:rPr>
          <w:rFonts w:eastAsia="SimSun"/>
          <w:color w:val="000000"/>
          <w:sz w:val="20"/>
          <w:szCs w:val="20"/>
        </w:rPr>
        <w:t xml:space="preserve"> </w:t>
      </w:r>
      <w:proofErr w:type="spellStart"/>
      <w:r w:rsidRPr="00647629">
        <w:rPr>
          <w:rFonts w:eastAsia="SimSun"/>
          <w:color w:val="000000"/>
          <w:sz w:val="20"/>
          <w:szCs w:val="20"/>
        </w:rPr>
        <w:t>Baizhu</w:t>
      </w:r>
      <w:proofErr w:type="spellEnd"/>
      <w:r w:rsidRPr="00647629">
        <w:rPr>
          <w:rFonts w:eastAsia="SimSun"/>
          <w:color w:val="000000"/>
          <w:sz w:val="20"/>
          <w:szCs w:val="20"/>
        </w:rPr>
        <w:t xml:space="preserve"> Powder for </w:t>
      </w:r>
      <w:r w:rsidRPr="00647629">
        <w:rPr>
          <w:rFonts w:eastAsia="SimSun" w:hint="eastAsia"/>
          <w:color w:val="000000"/>
          <w:sz w:val="20"/>
          <w:szCs w:val="20"/>
        </w:rPr>
        <w:t>i</w:t>
      </w:r>
      <w:r w:rsidRPr="00647629">
        <w:rPr>
          <w:rFonts w:eastAsia="SimSun"/>
          <w:color w:val="000000"/>
          <w:sz w:val="20"/>
          <w:szCs w:val="20"/>
        </w:rPr>
        <w:t xml:space="preserve">ntervening in </w:t>
      </w:r>
      <w:r w:rsidRPr="00647629">
        <w:rPr>
          <w:rFonts w:eastAsia="SimSun" w:hint="eastAsia"/>
          <w:color w:val="000000"/>
          <w:sz w:val="20"/>
          <w:szCs w:val="20"/>
        </w:rPr>
        <w:t>o</w:t>
      </w:r>
      <w:r w:rsidRPr="00647629">
        <w:rPr>
          <w:rFonts w:eastAsia="SimSun"/>
          <w:color w:val="000000"/>
          <w:sz w:val="20"/>
          <w:szCs w:val="20"/>
        </w:rPr>
        <w:t xml:space="preserve">besity: PPI </w:t>
      </w:r>
      <w:r w:rsidRPr="00647629">
        <w:rPr>
          <w:rFonts w:eastAsia="SimSun" w:hint="eastAsia"/>
          <w:color w:val="000000"/>
          <w:sz w:val="20"/>
          <w:szCs w:val="20"/>
        </w:rPr>
        <w:t>n</w:t>
      </w:r>
      <w:r w:rsidRPr="00647629">
        <w:rPr>
          <w:rFonts w:eastAsia="SimSun"/>
          <w:color w:val="000000"/>
          <w:sz w:val="20"/>
          <w:szCs w:val="20"/>
        </w:rPr>
        <w:t xml:space="preserve">etwork </w:t>
      </w:r>
      <w:r w:rsidRPr="00647629">
        <w:rPr>
          <w:rFonts w:eastAsia="SimSun" w:hint="eastAsia"/>
          <w:color w:val="000000"/>
          <w:sz w:val="20"/>
          <w:szCs w:val="20"/>
        </w:rPr>
        <w:t>d</w:t>
      </w:r>
      <w:r w:rsidRPr="00647629">
        <w:rPr>
          <w:rFonts w:eastAsia="SimSun"/>
          <w:color w:val="000000"/>
          <w:sz w:val="20"/>
          <w:szCs w:val="20"/>
        </w:rPr>
        <w:t>iagram.</w:t>
      </w:r>
    </w:p>
    <w:p w14:paraId="10A93246" w14:textId="77777777" w:rsidR="00C07B2C" w:rsidRPr="00C07B2C" w:rsidRDefault="00C07B2C" w:rsidP="00647629">
      <w:pPr>
        <w:snapToGrid w:val="0"/>
        <w:spacing w:line="240" w:lineRule="auto"/>
        <w:ind w:firstLineChars="0" w:firstLine="0"/>
        <w:jc w:val="center"/>
        <w:rPr>
          <w:rFonts w:eastAsia="SimSun"/>
          <w:color w:val="FF0000"/>
          <w:sz w:val="24"/>
          <w:szCs w:val="24"/>
        </w:rPr>
      </w:pPr>
    </w:p>
    <w:p w14:paraId="373A5F80" w14:textId="77777777" w:rsidR="00667E00" w:rsidRDefault="001317D9" w:rsidP="00647629">
      <w:pPr>
        <w:snapToGrid w:val="0"/>
        <w:spacing w:line="240" w:lineRule="auto"/>
        <w:ind w:firstLineChars="0" w:firstLine="0"/>
        <w:jc w:val="center"/>
        <w:rPr>
          <w:rFonts w:eastAsia="SimSun"/>
          <w:sz w:val="24"/>
          <w:szCs w:val="24"/>
        </w:rPr>
      </w:pPr>
      <w:r>
        <w:rPr>
          <w:rFonts w:eastAsia="SimSun"/>
          <w:noProof/>
          <w:sz w:val="22"/>
          <w:szCs w:val="22"/>
        </w:rPr>
        <w:lastRenderedPageBreak/>
        <w:drawing>
          <wp:inline distT="0" distB="0" distL="114300" distR="114300" wp14:anchorId="373A5FD3" wp14:editId="56F0223E">
            <wp:extent cx="6057900" cy="2849160"/>
            <wp:effectExtent l="0" t="0" r="0" b="8890"/>
            <wp:docPr id="14" name="图片 14" descr="5.2.20 13个关键靶点基因柱状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5.2.20 13个关键靶点基因柱状图"/>
                    <pic:cNvPicPr>
                      <a:picLocks noChangeAspect="1"/>
                    </pic:cNvPicPr>
                  </pic:nvPicPr>
                  <pic:blipFill>
                    <a:blip r:embed="rId9"/>
                    <a:srcRect l="9483" t="6020" r="4742" b="4536"/>
                    <a:stretch>
                      <a:fillRect/>
                    </a:stretch>
                  </pic:blipFill>
                  <pic:spPr>
                    <a:xfrm>
                      <a:off x="0" y="0"/>
                      <a:ext cx="6065637" cy="2852799"/>
                    </a:xfrm>
                    <a:prstGeom prst="rect">
                      <a:avLst/>
                    </a:prstGeom>
                    <a:noFill/>
                    <a:ln>
                      <a:noFill/>
                    </a:ln>
                  </pic:spPr>
                </pic:pic>
              </a:graphicData>
            </a:graphic>
          </wp:inline>
        </w:drawing>
      </w:r>
    </w:p>
    <w:p w14:paraId="373A5F81" w14:textId="7BF8AA23" w:rsidR="00667E00" w:rsidRPr="00647629" w:rsidRDefault="001317D9" w:rsidP="00647629">
      <w:pPr>
        <w:snapToGrid w:val="0"/>
        <w:spacing w:line="240" w:lineRule="auto"/>
        <w:ind w:firstLineChars="0" w:firstLine="0"/>
        <w:jc w:val="center"/>
        <w:rPr>
          <w:rFonts w:eastAsia="SimSun"/>
          <w:color w:val="000000"/>
          <w:sz w:val="20"/>
          <w:szCs w:val="20"/>
        </w:rPr>
      </w:pPr>
      <w:r w:rsidRPr="00647629">
        <w:rPr>
          <w:rFonts w:eastAsia="SimSun"/>
          <w:b/>
          <w:bCs/>
          <w:color w:val="000000"/>
          <w:sz w:val="20"/>
          <w:szCs w:val="20"/>
        </w:rPr>
        <w:t>Fig</w:t>
      </w:r>
      <w:r w:rsidRPr="00647629">
        <w:rPr>
          <w:rFonts w:eastAsia="SimSun" w:hint="eastAsia"/>
          <w:b/>
          <w:bCs/>
          <w:color w:val="000000"/>
          <w:sz w:val="20"/>
          <w:szCs w:val="20"/>
        </w:rPr>
        <w:t xml:space="preserve">ure </w:t>
      </w:r>
      <w:r w:rsidRPr="00647629">
        <w:rPr>
          <w:rFonts w:eastAsia="SimSun"/>
          <w:b/>
          <w:bCs/>
          <w:color w:val="000000"/>
          <w:sz w:val="20"/>
          <w:szCs w:val="20"/>
        </w:rPr>
        <w:t>4</w:t>
      </w:r>
      <w:r w:rsidRPr="00647629">
        <w:rPr>
          <w:rFonts w:eastAsia="SimSun" w:hint="eastAsia"/>
          <w:b/>
          <w:bCs/>
          <w:color w:val="000000"/>
          <w:sz w:val="20"/>
          <w:szCs w:val="20"/>
        </w:rPr>
        <w:t>.</w:t>
      </w:r>
      <w:r w:rsidRPr="00647629">
        <w:rPr>
          <w:rFonts w:eastAsia="SimSun"/>
          <w:color w:val="000000"/>
          <w:sz w:val="20"/>
          <w:szCs w:val="20"/>
        </w:rPr>
        <w:t xml:space="preserve"> Bar chart of 13 key target genes.</w:t>
      </w:r>
    </w:p>
    <w:p w14:paraId="373A5F82" w14:textId="77777777" w:rsidR="00667E00" w:rsidRDefault="00667E00" w:rsidP="00647629">
      <w:pPr>
        <w:snapToGrid w:val="0"/>
        <w:spacing w:line="240" w:lineRule="auto"/>
        <w:ind w:firstLineChars="0" w:firstLine="0"/>
        <w:jc w:val="both"/>
        <w:rPr>
          <w:rFonts w:eastAsia="SimSun"/>
          <w:color w:val="000000"/>
          <w:sz w:val="24"/>
          <w:szCs w:val="24"/>
        </w:rPr>
      </w:pPr>
    </w:p>
    <w:p w14:paraId="373A5F83" w14:textId="77777777" w:rsidR="00667E00" w:rsidRDefault="001317D9" w:rsidP="00647629">
      <w:pPr>
        <w:pStyle w:val="a1"/>
        <w:snapToGrid w:val="0"/>
        <w:spacing w:before="0" w:after="0" w:line="240" w:lineRule="auto"/>
        <w:jc w:val="both"/>
        <w:rPr>
          <w:rFonts w:eastAsia="SimSun" w:hint="default"/>
          <w:szCs w:val="24"/>
        </w:rPr>
      </w:pPr>
      <w:bookmarkStart w:id="24" w:name="_Toc7546"/>
      <w:bookmarkStart w:id="25" w:name="_Toc2183"/>
      <w:r>
        <w:rPr>
          <w:rFonts w:eastAsia="SimSun"/>
          <w:szCs w:val="24"/>
          <w:lang w:val="en-US"/>
        </w:rPr>
        <w:t>3</w:t>
      </w:r>
      <w:r>
        <w:rPr>
          <w:rFonts w:eastAsia="SimSun" w:hint="default"/>
          <w:szCs w:val="24"/>
          <w:lang w:val="en-US"/>
        </w:rPr>
        <w:t>.3</w:t>
      </w:r>
      <w:r>
        <w:rPr>
          <w:rFonts w:eastAsia="SimSun"/>
          <w:szCs w:val="24"/>
          <w:lang w:val="en-US"/>
        </w:rPr>
        <w:t>.</w:t>
      </w:r>
      <w:r>
        <w:rPr>
          <w:rFonts w:eastAsia="SimSun" w:hint="default"/>
          <w:szCs w:val="24"/>
          <w:lang w:val="en-US"/>
        </w:rPr>
        <w:t xml:space="preserve"> Enrichment </w:t>
      </w:r>
      <w:r>
        <w:rPr>
          <w:rFonts w:eastAsia="SimSun"/>
          <w:szCs w:val="24"/>
          <w:lang w:val="en-US"/>
        </w:rPr>
        <w:t>a</w:t>
      </w:r>
      <w:r>
        <w:rPr>
          <w:rFonts w:eastAsia="SimSun" w:hint="default"/>
          <w:szCs w:val="24"/>
          <w:lang w:val="en-US"/>
        </w:rPr>
        <w:t>nalysis</w:t>
      </w:r>
      <w:bookmarkEnd w:id="24"/>
      <w:bookmarkEnd w:id="25"/>
    </w:p>
    <w:p w14:paraId="3E01A1B0" w14:textId="77777777" w:rsidR="00C07B2C" w:rsidRDefault="001317D9" w:rsidP="00F86697">
      <w:pPr>
        <w:snapToGrid w:val="0"/>
        <w:spacing w:line="240" w:lineRule="auto"/>
        <w:ind w:firstLineChars="0" w:firstLine="0"/>
        <w:jc w:val="both"/>
        <w:rPr>
          <w:rFonts w:eastAsia="SimSun"/>
          <w:sz w:val="24"/>
          <w:szCs w:val="24"/>
        </w:rPr>
      </w:pPr>
      <w:r>
        <w:rPr>
          <w:rFonts w:eastAsia="SimSun"/>
          <w:sz w:val="24"/>
          <w:szCs w:val="24"/>
        </w:rPr>
        <w:t>The GO analysis identified 3,703 pathways (primarily involving lipid metabolism regulation, cellular responses to hormonal stimuli, and growth regulation), 299 CC pathways (including membrane rafts, early endosomes, and vacuolar cavities), and 627 MF pathways (covering nuclear receptor activity, ligand-mediated regulation of transcription factor activity, and transcription factor binding). KEGG enrichment revealed 237 biological pathways, with the top 17 primarily related to insulin resistance, lipid metabo</w:t>
      </w:r>
      <w:r>
        <w:rPr>
          <w:rFonts w:eastAsia="SimSun"/>
          <w:sz w:val="24"/>
          <w:szCs w:val="24"/>
        </w:rPr>
        <w:t>lism and atherosclerosis, and the insulin signaling pathway (</w:t>
      </w:r>
      <w:r>
        <w:rPr>
          <w:rFonts w:eastAsia="SimSun"/>
          <w:b/>
          <w:bCs/>
          <w:sz w:val="24"/>
          <w:szCs w:val="24"/>
        </w:rPr>
        <w:t>Figure 5</w:t>
      </w:r>
      <w:r>
        <w:rPr>
          <w:rFonts w:eastAsia="SimSun"/>
          <w:sz w:val="24"/>
          <w:szCs w:val="24"/>
        </w:rPr>
        <w:t xml:space="preserve"> and </w:t>
      </w:r>
      <w:r>
        <w:rPr>
          <w:rFonts w:eastAsia="SimSun" w:hint="eastAsia"/>
          <w:b/>
          <w:bCs/>
          <w:sz w:val="24"/>
          <w:szCs w:val="24"/>
        </w:rPr>
        <w:t xml:space="preserve">Figure </w:t>
      </w:r>
      <w:r>
        <w:rPr>
          <w:rFonts w:eastAsia="SimSun"/>
          <w:b/>
          <w:bCs/>
          <w:sz w:val="24"/>
          <w:szCs w:val="24"/>
        </w:rPr>
        <w:t>6</w:t>
      </w:r>
      <w:r>
        <w:rPr>
          <w:rFonts w:eastAsia="SimSun"/>
          <w:sz w:val="24"/>
          <w:szCs w:val="24"/>
        </w:rPr>
        <w:t>).</w:t>
      </w:r>
    </w:p>
    <w:p w14:paraId="5BD2F1A4" w14:textId="77777777" w:rsidR="00C07B2C" w:rsidRDefault="00C07B2C" w:rsidP="00F86697">
      <w:pPr>
        <w:snapToGrid w:val="0"/>
        <w:spacing w:line="240" w:lineRule="auto"/>
        <w:ind w:firstLineChars="0" w:firstLine="0"/>
        <w:jc w:val="both"/>
        <w:rPr>
          <w:rFonts w:eastAsia="SimSun"/>
          <w:sz w:val="24"/>
          <w:szCs w:val="24"/>
        </w:rPr>
      </w:pPr>
    </w:p>
    <w:p w14:paraId="373A5F84" w14:textId="2669A592" w:rsidR="00667E00" w:rsidRDefault="001317D9" w:rsidP="00647629">
      <w:pPr>
        <w:snapToGrid w:val="0"/>
        <w:spacing w:line="240" w:lineRule="auto"/>
        <w:ind w:firstLineChars="0" w:firstLine="0"/>
        <w:jc w:val="center"/>
        <w:rPr>
          <w:rFonts w:eastAsia="SimSun"/>
          <w:sz w:val="24"/>
          <w:szCs w:val="24"/>
        </w:rPr>
      </w:pPr>
      <w:r>
        <w:rPr>
          <w:rFonts w:eastAsia="SimSun"/>
          <w:noProof/>
          <w:sz w:val="24"/>
          <w:szCs w:val="24"/>
        </w:rPr>
        <w:drawing>
          <wp:inline distT="0" distB="0" distL="114300" distR="114300" wp14:anchorId="373A5FD5" wp14:editId="0AA7CCCB">
            <wp:extent cx="6061047" cy="2827020"/>
            <wp:effectExtent l="0" t="0" r="0" b="0"/>
            <wp:docPr id="5" name="图片 5" descr="6.3.1 GO点状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6.3.1 GO点状图"/>
                    <pic:cNvPicPr>
                      <a:picLocks noChangeAspect="1"/>
                    </pic:cNvPicPr>
                  </pic:nvPicPr>
                  <pic:blipFill>
                    <a:blip r:embed="rId10"/>
                    <a:stretch>
                      <a:fillRect/>
                    </a:stretch>
                  </pic:blipFill>
                  <pic:spPr>
                    <a:xfrm>
                      <a:off x="0" y="0"/>
                      <a:ext cx="6066358" cy="2829497"/>
                    </a:xfrm>
                    <a:prstGeom prst="rect">
                      <a:avLst/>
                    </a:prstGeom>
                    <a:noFill/>
                    <a:ln>
                      <a:noFill/>
                    </a:ln>
                  </pic:spPr>
                </pic:pic>
              </a:graphicData>
            </a:graphic>
          </wp:inline>
        </w:drawing>
      </w:r>
    </w:p>
    <w:p w14:paraId="373A5F85" w14:textId="77777777" w:rsidR="00667E00" w:rsidRPr="00647629" w:rsidRDefault="001317D9" w:rsidP="00647629">
      <w:pPr>
        <w:snapToGrid w:val="0"/>
        <w:spacing w:line="240" w:lineRule="auto"/>
        <w:ind w:firstLineChars="0" w:firstLine="0"/>
        <w:jc w:val="center"/>
        <w:rPr>
          <w:rFonts w:eastAsia="Segoe UI"/>
          <w:color w:val="0F1115"/>
          <w:sz w:val="20"/>
          <w:szCs w:val="20"/>
          <w:shd w:val="clear" w:color="auto" w:fill="FFFFFF"/>
        </w:rPr>
      </w:pPr>
      <w:r w:rsidRPr="00647629">
        <w:rPr>
          <w:rFonts w:eastAsia="Segoe UI"/>
          <w:b/>
          <w:bCs/>
          <w:color w:val="0F1115"/>
          <w:sz w:val="20"/>
          <w:szCs w:val="20"/>
          <w:shd w:val="clear" w:color="auto" w:fill="FFFFFF"/>
        </w:rPr>
        <w:t xml:space="preserve">Figure 5. </w:t>
      </w:r>
      <w:r w:rsidRPr="00647629">
        <w:rPr>
          <w:rFonts w:eastAsia="Segoe UI"/>
          <w:color w:val="0F1115"/>
          <w:sz w:val="20"/>
          <w:szCs w:val="20"/>
          <w:shd w:val="clear" w:color="auto" w:fill="FFFFFF"/>
        </w:rPr>
        <w:t>GO MF, GO BP, GO CC bubble charts.</w:t>
      </w:r>
    </w:p>
    <w:p w14:paraId="02710638" w14:textId="77777777" w:rsidR="00C07B2C" w:rsidRDefault="00C07B2C" w:rsidP="00647629">
      <w:pPr>
        <w:snapToGrid w:val="0"/>
        <w:spacing w:line="240" w:lineRule="auto"/>
        <w:ind w:firstLineChars="0" w:firstLine="0"/>
        <w:jc w:val="both"/>
        <w:rPr>
          <w:rFonts w:eastAsia="SimSun"/>
          <w:sz w:val="24"/>
          <w:szCs w:val="24"/>
        </w:rPr>
      </w:pPr>
    </w:p>
    <w:p w14:paraId="373A5F86" w14:textId="77777777" w:rsidR="00667E00" w:rsidRDefault="001317D9" w:rsidP="00647629">
      <w:pPr>
        <w:snapToGrid w:val="0"/>
        <w:spacing w:line="240" w:lineRule="auto"/>
        <w:ind w:firstLineChars="0" w:firstLine="0"/>
        <w:jc w:val="center"/>
        <w:rPr>
          <w:rFonts w:eastAsia="SimSun"/>
          <w:color w:val="1A171B"/>
          <w:sz w:val="24"/>
          <w:szCs w:val="24"/>
        </w:rPr>
      </w:pPr>
      <w:r>
        <w:rPr>
          <w:rFonts w:eastAsia="SimSun"/>
          <w:noProof/>
          <w:color w:val="1A171B"/>
          <w:sz w:val="24"/>
          <w:szCs w:val="24"/>
        </w:rPr>
        <w:lastRenderedPageBreak/>
        <w:drawing>
          <wp:inline distT="0" distB="0" distL="114300" distR="114300" wp14:anchorId="373A5FD7" wp14:editId="232668B7">
            <wp:extent cx="6065520" cy="1890744"/>
            <wp:effectExtent l="0" t="0" r="0" b="0"/>
            <wp:docPr id="6" name="图片 6" descr="6.3.1 KEGG点状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6.3.1 KEGG点状图"/>
                    <pic:cNvPicPr>
                      <a:picLocks noChangeAspect="1"/>
                    </pic:cNvPicPr>
                  </pic:nvPicPr>
                  <pic:blipFill>
                    <a:blip r:embed="rId11"/>
                    <a:srcRect l="1894" t="8159"/>
                    <a:stretch>
                      <a:fillRect/>
                    </a:stretch>
                  </pic:blipFill>
                  <pic:spPr>
                    <a:xfrm>
                      <a:off x="0" y="0"/>
                      <a:ext cx="6073400" cy="1893200"/>
                    </a:xfrm>
                    <a:prstGeom prst="rect">
                      <a:avLst/>
                    </a:prstGeom>
                    <a:noFill/>
                    <a:ln>
                      <a:noFill/>
                    </a:ln>
                  </pic:spPr>
                </pic:pic>
              </a:graphicData>
            </a:graphic>
          </wp:inline>
        </w:drawing>
      </w:r>
    </w:p>
    <w:p w14:paraId="373A5F87" w14:textId="238312E0" w:rsidR="00667E00" w:rsidRPr="00647629" w:rsidRDefault="001317D9" w:rsidP="00647629">
      <w:pPr>
        <w:snapToGrid w:val="0"/>
        <w:spacing w:line="240" w:lineRule="auto"/>
        <w:ind w:firstLineChars="0" w:firstLine="0"/>
        <w:jc w:val="center"/>
        <w:rPr>
          <w:rFonts w:eastAsia="SimSun"/>
          <w:color w:val="000000"/>
          <w:sz w:val="20"/>
          <w:szCs w:val="20"/>
        </w:rPr>
      </w:pPr>
      <w:r w:rsidRPr="00647629">
        <w:rPr>
          <w:rFonts w:eastAsia="SimSun"/>
          <w:b/>
          <w:bCs/>
          <w:color w:val="000000"/>
          <w:sz w:val="20"/>
          <w:szCs w:val="20"/>
        </w:rPr>
        <w:t>Fig</w:t>
      </w:r>
      <w:r w:rsidRPr="00647629">
        <w:rPr>
          <w:rFonts w:eastAsia="SimSun" w:hint="eastAsia"/>
          <w:b/>
          <w:bCs/>
          <w:color w:val="000000"/>
          <w:sz w:val="20"/>
          <w:szCs w:val="20"/>
        </w:rPr>
        <w:t>ure</w:t>
      </w:r>
      <w:r w:rsidRPr="00647629">
        <w:rPr>
          <w:rFonts w:eastAsia="SimSun"/>
          <w:b/>
          <w:bCs/>
          <w:color w:val="000000"/>
          <w:sz w:val="20"/>
          <w:szCs w:val="20"/>
        </w:rPr>
        <w:t xml:space="preserve"> 6</w:t>
      </w:r>
      <w:r w:rsidRPr="00647629">
        <w:rPr>
          <w:rFonts w:eastAsia="SimSun" w:hint="eastAsia"/>
          <w:b/>
          <w:bCs/>
          <w:color w:val="000000"/>
          <w:sz w:val="20"/>
          <w:szCs w:val="20"/>
        </w:rPr>
        <w:t>.</w:t>
      </w:r>
      <w:r w:rsidRPr="00647629">
        <w:rPr>
          <w:rFonts w:eastAsia="SimSun"/>
          <w:color w:val="000000"/>
          <w:sz w:val="20"/>
          <w:szCs w:val="20"/>
        </w:rPr>
        <w:t xml:space="preserve"> KEGG bubble charts.</w:t>
      </w:r>
    </w:p>
    <w:p w14:paraId="373A5F88" w14:textId="77777777" w:rsidR="00667E00" w:rsidRDefault="00667E00" w:rsidP="00647629">
      <w:pPr>
        <w:snapToGrid w:val="0"/>
        <w:spacing w:line="240" w:lineRule="auto"/>
        <w:ind w:firstLineChars="0" w:firstLine="0"/>
        <w:jc w:val="both"/>
        <w:rPr>
          <w:rFonts w:eastAsia="SimSun"/>
          <w:color w:val="000000"/>
          <w:sz w:val="24"/>
          <w:szCs w:val="24"/>
        </w:rPr>
      </w:pPr>
    </w:p>
    <w:p w14:paraId="373A5F89" w14:textId="77777777" w:rsidR="00667E00" w:rsidRDefault="001317D9" w:rsidP="00647629">
      <w:pPr>
        <w:pStyle w:val="a1"/>
        <w:snapToGrid w:val="0"/>
        <w:spacing w:before="0" w:after="0" w:line="240" w:lineRule="auto"/>
        <w:jc w:val="both"/>
        <w:rPr>
          <w:rFonts w:eastAsia="SimSun" w:hint="default"/>
          <w:szCs w:val="24"/>
        </w:rPr>
      </w:pPr>
      <w:bookmarkStart w:id="26" w:name="_Toc2990"/>
      <w:bookmarkStart w:id="27" w:name="_Toc1736"/>
      <w:r>
        <w:rPr>
          <w:rFonts w:eastAsia="SimSun"/>
          <w:szCs w:val="24"/>
          <w:lang w:val="en-US"/>
        </w:rPr>
        <w:t>3</w:t>
      </w:r>
      <w:r>
        <w:rPr>
          <w:rFonts w:eastAsia="SimSun" w:hint="default"/>
          <w:szCs w:val="24"/>
          <w:lang w:val="en-US"/>
        </w:rPr>
        <w:t>.4</w:t>
      </w:r>
      <w:r>
        <w:rPr>
          <w:rFonts w:eastAsia="SimSun"/>
          <w:szCs w:val="24"/>
          <w:lang w:val="en-US"/>
        </w:rPr>
        <w:t>.</w:t>
      </w:r>
      <w:r>
        <w:rPr>
          <w:rFonts w:eastAsia="SimSun" w:hint="default"/>
          <w:szCs w:val="24"/>
          <w:lang w:val="en-US"/>
        </w:rPr>
        <w:t xml:space="preserve"> Molecular docking validation results</w:t>
      </w:r>
      <w:bookmarkEnd w:id="26"/>
      <w:bookmarkEnd w:id="27"/>
    </w:p>
    <w:p w14:paraId="373A5F8A" w14:textId="36DA3904" w:rsidR="00667E00" w:rsidRDefault="001317D9" w:rsidP="00F86697">
      <w:pPr>
        <w:pStyle w:val="a"/>
        <w:snapToGrid w:val="0"/>
        <w:spacing w:line="240" w:lineRule="auto"/>
        <w:ind w:firstLineChars="0" w:firstLine="0"/>
        <w:rPr>
          <w:rFonts w:hint="default"/>
          <w:sz w:val="24"/>
          <w:szCs w:val="24"/>
          <w:lang w:val="en-US"/>
        </w:rPr>
      </w:pPr>
      <w:r>
        <w:rPr>
          <w:rFonts w:hint="default"/>
          <w:sz w:val="24"/>
          <w:szCs w:val="24"/>
          <w:lang w:val="en-US"/>
        </w:rPr>
        <w:t xml:space="preserve">Three targets (PIK3R1, PIK3CA, and SRC) were docked with 196 compounds, all exhibiting binding energies ≤ -4.514 kcal/mol. The complexes with the lowest binding energies were: PIK3R1 with </w:t>
      </w:r>
      <w:proofErr w:type="spellStart"/>
      <w:r>
        <w:rPr>
          <w:rFonts w:hint="default"/>
          <w:sz w:val="24"/>
          <w:szCs w:val="24"/>
          <w:lang w:val="en-US"/>
        </w:rPr>
        <w:t>ent</w:t>
      </w:r>
      <w:proofErr w:type="spellEnd"/>
      <w:r>
        <w:rPr>
          <w:rFonts w:hint="default"/>
          <w:sz w:val="24"/>
          <w:szCs w:val="24"/>
          <w:lang w:val="en-US"/>
        </w:rPr>
        <w:t xml:space="preserve">-Epicatechin (-5.708 kcal/mol, forming 4 hydrogen bonds); PIK3CA with licorice glycoside E (-7.124 kcal/mol, forming 7 hydrogen bonds); and SRC with </w:t>
      </w:r>
      <w:proofErr w:type="spellStart"/>
      <w:r>
        <w:rPr>
          <w:rFonts w:hint="default"/>
          <w:sz w:val="24"/>
          <w:szCs w:val="24"/>
          <w:lang w:val="en-US"/>
        </w:rPr>
        <w:t>dehydroglyasperins</w:t>
      </w:r>
      <w:proofErr w:type="spellEnd"/>
      <w:r>
        <w:rPr>
          <w:rFonts w:hint="default"/>
          <w:sz w:val="24"/>
          <w:szCs w:val="24"/>
          <w:lang w:val="en-US"/>
        </w:rPr>
        <w:t xml:space="preserve"> C (-6.166 kcal/mol, forming 3 hydrogen bonds and 1 Pi–Pi bond). The top 15 compounds by binding energy are listed in </w:t>
      </w:r>
      <w:r>
        <w:rPr>
          <w:rFonts w:hint="default"/>
          <w:b/>
          <w:bCs/>
          <w:sz w:val="24"/>
          <w:szCs w:val="24"/>
          <w:lang w:val="en-US"/>
        </w:rPr>
        <w:t>Figure 7</w:t>
      </w:r>
      <w:r>
        <w:rPr>
          <w:rFonts w:hint="default"/>
          <w:sz w:val="24"/>
          <w:szCs w:val="24"/>
          <w:lang w:val="en-US"/>
        </w:rPr>
        <w:t>–</w:t>
      </w:r>
      <w:r>
        <w:rPr>
          <w:rFonts w:hint="default"/>
          <w:b/>
          <w:bCs/>
          <w:sz w:val="24"/>
          <w:szCs w:val="24"/>
          <w:lang w:val="en-US"/>
        </w:rPr>
        <w:t>9</w:t>
      </w:r>
      <w:r>
        <w:rPr>
          <w:rFonts w:hint="default"/>
          <w:sz w:val="24"/>
          <w:szCs w:val="24"/>
          <w:lang w:val="en-US"/>
        </w:rPr>
        <w:t>.</w:t>
      </w:r>
    </w:p>
    <w:p w14:paraId="09BECBB5" w14:textId="77777777" w:rsidR="00C07B2C" w:rsidRDefault="00C07B2C" w:rsidP="00647629">
      <w:pPr>
        <w:pStyle w:val="a"/>
        <w:snapToGrid w:val="0"/>
        <w:spacing w:line="240" w:lineRule="auto"/>
        <w:ind w:firstLineChars="0" w:firstLine="0"/>
        <w:rPr>
          <w:rFonts w:hint="default"/>
          <w:sz w:val="24"/>
          <w:szCs w:val="24"/>
          <w:lang w:val="en-US"/>
        </w:rPr>
      </w:pPr>
    </w:p>
    <w:p w14:paraId="373A5F8B" w14:textId="77777777" w:rsidR="00667E00" w:rsidRDefault="001317D9" w:rsidP="00647629">
      <w:pPr>
        <w:snapToGrid w:val="0"/>
        <w:spacing w:line="240" w:lineRule="auto"/>
        <w:ind w:firstLineChars="0" w:firstLine="0"/>
        <w:jc w:val="center"/>
        <w:rPr>
          <w:rFonts w:eastAsia="SimSun"/>
          <w:sz w:val="24"/>
          <w:szCs w:val="24"/>
        </w:rPr>
      </w:pPr>
      <w:r>
        <w:rPr>
          <w:rFonts w:eastAsia="SimSun"/>
          <w:noProof/>
          <w:sz w:val="24"/>
          <w:szCs w:val="24"/>
        </w:rPr>
        <w:drawing>
          <wp:inline distT="0" distB="0" distL="114300" distR="114300" wp14:anchorId="373A5FD9" wp14:editId="1EE04BD1">
            <wp:extent cx="6118860" cy="1409292"/>
            <wp:effectExtent l="0" t="0" r="0" b="635"/>
            <wp:docPr id="7" name="图片 7" descr="7.5.1 分子对接可视化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7.5.1 分子对接可视化_01"/>
                    <pic:cNvPicPr>
                      <a:picLocks noChangeAspect="1"/>
                    </pic:cNvPicPr>
                  </pic:nvPicPr>
                  <pic:blipFill>
                    <a:blip r:embed="rId12"/>
                    <a:srcRect b="57648"/>
                    <a:stretch>
                      <a:fillRect/>
                    </a:stretch>
                  </pic:blipFill>
                  <pic:spPr>
                    <a:xfrm>
                      <a:off x="0" y="0"/>
                      <a:ext cx="6143004" cy="1414853"/>
                    </a:xfrm>
                    <a:prstGeom prst="rect">
                      <a:avLst/>
                    </a:prstGeom>
                    <a:noFill/>
                    <a:ln>
                      <a:noFill/>
                    </a:ln>
                  </pic:spPr>
                </pic:pic>
              </a:graphicData>
            </a:graphic>
          </wp:inline>
        </w:drawing>
      </w:r>
    </w:p>
    <w:p w14:paraId="373A5F8C" w14:textId="77777777" w:rsidR="00667E00" w:rsidRPr="00647629" w:rsidRDefault="001317D9" w:rsidP="00647629">
      <w:pPr>
        <w:snapToGrid w:val="0"/>
        <w:spacing w:line="240" w:lineRule="auto"/>
        <w:ind w:firstLineChars="0" w:firstLine="0"/>
        <w:jc w:val="center"/>
        <w:rPr>
          <w:rFonts w:eastAsia="SimSun"/>
          <w:color w:val="000000"/>
          <w:sz w:val="20"/>
          <w:szCs w:val="20"/>
        </w:rPr>
      </w:pPr>
      <w:bookmarkStart w:id="28" w:name="_Toc20889"/>
      <w:bookmarkStart w:id="29" w:name="_Toc1785"/>
      <w:r w:rsidRPr="00647629">
        <w:rPr>
          <w:rFonts w:eastAsia="SimSun"/>
          <w:b/>
          <w:bCs/>
          <w:color w:val="000000"/>
          <w:sz w:val="20"/>
          <w:szCs w:val="20"/>
        </w:rPr>
        <w:t>Fig</w:t>
      </w:r>
      <w:r w:rsidRPr="00647629">
        <w:rPr>
          <w:rFonts w:eastAsia="SimSun" w:hint="eastAsia"/>
          <w:b/>
          <w:bCs/>
          <w:color w:val="000000"/>
          <w:sz w:val="20"/>
          <w:szCs w:val="20"/>
        </w:rPr>
        <w:t xml:space="preserve">ure </w:t>
      </w:r>
      <w:r w:rsidRPr="00647629">
        <w:rPr>
          <w:rFonts w:eastAsia="SimSun"/>
          <w:b/>
          <w:bCs/>
          <w:color w:val="000000"/>
          <w:sz w:val="20"/>
          <w:szCs w:val="20"/>
        </w:rPr>
        <w:t>7</w:t>
      </w:r>
      <w:r w:rsidRPr="00647629">
        <w:rPr>
          <w:rFonts w:eastAsia="SimSun" w:hint="eastAsia"/>
          <w:b/>
          <w:bCs/>
          <w:color w:val="000000"/>
          <w:sz w:val="20"/>
          <w:szCs w:val="20"/>
        </w:rPr>
        <w:t>.</w:t>
      </w:r>
      <w:r w:rsidRPr="00647629">
        <w:rPr>
          <w:rFonts w:eastAsia="SimSun"/>
          <w:color w:val="000000"/>
          <w:sz w:val="20"/>
          <w:szCs w:val="20"/>
        </w:rPr>
        <w:t xml:space="preserve"> The molecular docking results are displayed in 3D</w:t>
      </w:r>
    </w:p>
    <w:p w14:paraId="373A5F8D" w14:textId="77777777" w:rsidR="00667E00" w:rsidRPr="00647629" w:rsidRDefault="001317D9" w:rsidP="00647629">
      <w:pPr>
        <w:snapToGrid w:val="0"/>
        <w:spacing w:line="240" w:lineRule="auto"/>
        <w:ind w:firstLineChars="0" w:firstLine="0"/>
        <w:jc w:val="center"/>
        <w:rPr>
          <w:rFonts w:eastAsia="SimSun"/>
          <w:color w:val="000000"/>
          <w:sz w:val="20"/>
          <w:szCs w:val="20"/>
        </w:rPr>
      </w:pPr>
      <w:r w:rsidRPr="00647629">
        <w:rPr>
          <w:rFonts w:eastAsia="SimSun"/>
          <w:color w:val="000000"/>
          <w:sz w:val="20"/>
          <w:szCs w:val="20"/>
        </w:rPr>
        <w:t>(</w:t>
      </w:r>
      <w:proofErr w:type="gramStart"/>
      <w:r w:rsidRPr="00647629">
        <w:rPr>
          <w:rFonts w:eastAsia="SimSun"/>
          <w:color w:val="000000"/>
          <w:sz w:val="20"/>
          <w:szCs w:val="20"/>
        </w:rPr>
        <w:t>A:PIK</w:t>
      </w:r>
      <w:proofErr w:type="gramEnd"/>
      <w:r w:rsidRPr="00647629">
        <w:rPr>
          <w:rFonts w:eastAsia="SimSun"/>
          <w:color w:val="000000"/>
          <w:sz w:val="20"/>
          <w:szCs w:val="20"/>
        </w:rPr>
        <w:t xml:space="preserve">3R1 with </w:t>
      </w:r>
      <w:proofErr w:type="spellStart"/>
      <w:r w:rsidRPr="00647629">
        <w:rPr>
          <w:rFonts w:eastAsia="SimSun"/>
          <w:color w:val="000000"/>
          <w:sz w:val="20"/>
          <w:szCs w:val="20"/>
        </w:rPr>
        <w:t>ent</w:t>
      </w:r>
      <w:proofErr w:type="spellEnd"/>
      <w:r w:rsidRPr="00647629">
        <w:rPr>
          <w:rFonts w:eastAsia="SimSun"/>
          <w:color w:val="000000"/>
          <w:sz w:val="20"/>
          <w:szCs w:val="20"/>
        </w:rPr>
        <w:t>-Epicatechin</w:t>
      </w:r>
      <w:r w:rsidRPr="00647629">
        <w:rPr>
          <w:rFonts w:eastAsia="SimSun" w:hint="eastAsia"/>
          <w:color w:val="000000"/>
          <w:sz w:val="20"/>
          <w:szCs w:val="20"/>
        </w:rPr>
        <w:t xml:space="preserve">, </w:t>
      </w:r>
      <w:proofErr w:type="gramStart"/>
      <w:r w:rsidRPr="00647629">
        <w:rPr>
          <w:rFonts w:eastAsia="SimSun"/>
          <w:color w:val="000000"/>
          <w:sz w:val="20"/>
          <w:szCs w:val="20"/>
        </w:rPr>
        <w:t>B:PIK</w:t>
      </w:r>
      <w:proofErr w:type="gramEnd"/>
      <w:r w:rsidRPr="00647629">
        <w:rPr>
          <w:rFonts w:eastAsia="SimSun"/>
          <w:color w:val="000000"/>
          <w:sz w:val="20"/>
          <w:szCs w:val="20"/>
        </w:rPr>
        <w:t>3CA with licorice glycoside E</w:t>
      </w:r>
      <w:r w:rsidRPr="00647629">
        <w:rPr>
          <w:rFonts w:eastAsia="SimSun" w:hint="eastAsia"/>
          <w:color w:val="000000"/>
          <w:sz w:val="20"/>
          <w:szCs w:val="20"/>
        </w:rPr>
        <w:t xml:space="preserve">, </w:t>
      </w:r>
      <w:r w:rsidRPr="00647629">
        <w:rPr>
          <w:rFonts w:eastAsia="SimSun"/>
          <w:color w:val="000000"/>
          <w:sz w:val="20"/>
          <w:szCs w:val="20"/>
        </w:rPr>
        <w:t xml:space="preserve">C:SRC with </w:t>
      </w:r>
      <w:proofErr w:type="spellStart"/>
      <w:r w:rsidRPr="00647629">
        <w:rPr>
          <w:rFonts w:eastAsia="SimSun"/>
          <w:color w:val="000000"/>
          <w:sz w:val="20"/>
          <w:szCs w:val="20"/>
        </w:rPr>
        <w:t>dehydroglyasperins</w:t>
      </w:r>
      <w:proofErr w:type="spellEnd"/>
      <w:r w:rsidRPr="00647629">
        <w:rPr>
          <w:rFonts w:eastAsia="SimSun"/>
          <w:color w:val="000000"/>
          <w:sz w:val="20"/>
          <w:szCs w:val="20"/>
        </w:rPr>
        <w:t xml:space="preserve"> C).</w:t>
      </w:r>
    </w:p>
    <w:p w14:paraId="6ABAAF35" w14:textId="77777777" w:rsidR="00C07B2C" w:rsidRDefault="00C07B2C" w:rsidP="00647629">
      <w:pPr>
        <w:snapToGrid w:val="0"/>
        <w:spacing w:line="240" w:lineRule="auto"/>
        <w:ind w:firstLineChars="0" w:firstLine="0"/>
        <w:jc w:val="both"/>
        <w:rPr>
          <w:rFonts w:eastAsia="SimSun"/>
          <w:color w:val="000000"/>
          <w:sz w:val="24"/>
          <w:szCs w:val="24"/>
        </w:rPr>
      </w:pPr>
    </w:p>
    <w:p w14:paraId="373A5F8E" w14:textId="77777777" w:rsidR="00667E00" w:rsidRDefault="001317D9" w:rsidP="00647629">
      <w:pPr>
        <w:snapToGrid w:val="0"/>
        <w:spacing w:line="240" w:lineRule="auto"/>
        <w:ind w:firstLineChars="0" w:firstLine="0"/>
        <w:jc w:val="center"/>
        <w:rPr>
          <w:rFonts w:eastAsia="SimSun"/>
          <w:sz w:val="24"/>
          <w:szCs w:val="24"/>
        </w:rPr>
      </w:pPr>
      <w:r>
        <w:rPr>
          <w:rFonts w:eastAsia="SimSun"/>
          <w:noProof/>
          <w:sz w:val="24"/>
          <w:szCs w:val="24"/>
        </w:rPr>
        <w:drawing>
          <wp:inline distT="0" distB="0" distL="114300" distR="114300" wp14:anchorId="373A5FDB" wp14:editId="136E0E40">
            <wp:extent cx="6042660" cy="2129035"/>
            <wp:effectExtent l="0" t="0" r="0" b="5080"/>
            <wp:docPr id="8" name="图片 8" descr="对接结果可视化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对接结果可视化_01"/>
                    <pic:cNvPicPr>
                      <a:picLocks noChangeAspect="1"/>
                    </pic:cNvPicPr>
                  </pic:nvPicPr>
                  <pic:blipFill>
                    <a:blip r:embed="rId13"/>
                    <a:srcRect b="37363"/>
                    <a:stretch>
                      <a:fillRect/>
                    </a:stretch>
                  </pic:blipFill>
                  <pic:spPr>
                    <a:xfrm>
                      <a:off x="0" y="0"/>
                      <a:ext cx="6046101" cy="2130247"/>
                    </a:xfrm>
                    <a:prstGeom prst="rect">
                      <a:avLst/>
                    </a:prstGeom>
                    <a:noFill/>
                    <a:ln>
                      <a:noFill/>
                    </a:ln>
                  </pic:spPr>
                </pic:pic>
              </a:graphicData>
            </a:graphic>
          </wp:inline>
        </w:drawing>
      </w:r>
    </w:p>
    <w:p w14:paraId="373A5F8F" w14:textId="77777777" w:rsidR="00667E00" w:rsidRPr="00647629" w:rsidRDefault="001317D9" w:rsidP="00647629">
      <w:pPr>
        <w:snapToGrid w:val="0"/>
        <w:spacing w:line="240" w:lineRule="auto"/>
        <w:ind w:left="301" w:hangingChars="150" w:hanging="301"/>
        <w:jc w:val="center"/>
        <w:rPr>
          <w:rFonts w:eastAsia="SimSun"/>
          <w:color w:val="000000"/>
          <w:sz w:val="20"/>
          <w:szCs w:val="20"/>
        </w:rPr>
      </w:pPr>
      <w:r w:rsidRPr="00647629">
        <w:rPr>
          <w:rFonts w:eastAsia="SimSun"/>
          <w:b/>
          <w:bCs/>
          <w:color w:val="000000"/>
          <w:sz w:val="20"/>
          <w:szCs w:val="20"/>
        </w:rPr>
        <w:t>Fig</w:t>
      </w:r>
      <w:r w:rsidRPr="00647629">
        <w:rPr>
          <w:rFonts w:eastAsia="SimSun" w:hint="eastAsia"/>
          <w:b/>
          <w:bCs/>
          <w:color w:val="000000"/>
          <w:sz w:val="20"/>
          <w:szCs w:val="20"/>
        </w:rPr>
        <w:t xml:space="preserve">ure </w:t>
      </w:r>
      <w:r w:rsidRPr="00647629">
        <w:rPr>
          <w:rFonts w:eastAsia="SimSun"/>
          <w:b/>
          <w:bCs/>
          <w:color w:val="000000"/>
          <w:sz w:val="20"/>
          <w:szCs w:val="20"/>
        </w:rPr>
        <w:t>8</w:t>
      </w:r>
      <w:r w:rsidRPr="00647629">
        <w:rPr>
          <w:rFonts w:eastAsia="SimSun" w:hint="eastAsia"/>
          <w:b/>
          <w:bCs/>
          <w:color w:val="000000"/>
          <w:sz w:val="20"/>
          <w:szCs w:val="20"/>
        </w:rPr>
        <w:t>.</w:t>
      </w:r>
      <w:r w:rsidRPr="00647629">
        <w:rPr>
          <w:rFonts w:eastAsia="SimSun"/>
          <w:color w:val="000000"/>
          <w:sz w:val="20"/>
          <w:szCs w:val="20"/>
        </w:rPr>
        <w:t xml:space="preserve"> </w:t>
      </w:r>
      <w:r w:rsidRPr="00647629">
        <w:rPr>
          <w:rFonts w:eastAsia="SimSun" w:hint="eastAsia"/>
          <w:color w:val="000000"/>
          <w:sz w:val="20"/>
          <w:szCs w:val="20"/>
        </w:rPr>
        <w:t>T</w:t>
      </w:r>
      <w:r w:rsidRPr="00647629">
        <w:rPr>
          <w:rFonts w:eastAsia="SimSun"/>
          <w:color w:val="000000"/>
          <w:sz w:val="20"/>
          <w:szCs w:val="20"/>
        </w:rPr>
        <w:t>he three results with the lowest molecular docking binding energy</w:t>
      </w:r>
    </w:p>
    <w:p w14:paraId="373A5F90" w14:textId="77777777" w:rsidR="00667E00" w:rsidRDefault="001317D9" w:rsidP="00C07B2C">
      <w:pPr>
        <w:snapToGrid w:val="0"/>
        <w:spacing w:line="240" w:lineRule="auto"/>
        <w:ind w:firstLineChars="0" w:firstLine="0"/>
        <w:jc w:val="center"/>
        <w:rPr>
          <w:rFonts w:eastAsia="SimSun"/>
          <w:color w:val="000000"/>
          <w:sz w:val="20"/>
          <w:szCs w:val="20"/>
        </w:rPr>
      </w:pPr>
      <w:r w:rsidRPr="00647629">
        <w:rPr>
          <w:rFonts w:eastAsia="SimSun"/>
          <w:color w:val="000000"/>
          <w:sz w:val="20"/>
          <w:szCs w:val="20"/>
        </w:rPr>
        <w:t>Vimentin</w:t>
      </w:r>
      <w:r w:rsidRPr="00647629">
        <w:rPr>
          <w:rFonts w:eastAsia="SimSun" w:hint="eastAsia"/>
          <w:color w:val="000000"/>
          <w:sz w:val="20"/>
          <w:szCs w:val="20"/>
        </w:rPr>
        <w:t xml:space="preserve">: </w:t>
      </w:r>
      <w:r w:rsidRPr="00647629">
        <w:rPr>
          <w:rFonts w:eastAsia="SimSun"/>
          <w:color w:val="000000"/>
          <w:sz w:val="20"/>
          <w:szCs w:val="20"/>
        </w:rPr>
        <w:t>Purple arrows indicate hydrogen bonds; red line segments represent Pi-Cat bonds; and</w:t>
      </w:r>
      <w:r w:rsidRPr="00647629">
        <w:rPr>
          <w:rFonts w:eastAsia="SimSun" w:hint="eastAsia"/>
          <w:color w:val="000000"/>
          <w:sz w:val="20"/>
          <w:szCs w:val="20"/>
        </w:rPr>
        <w:t xml:space="preserve"> </w:t>
      </w:r>
      <w:r w:rsidRPr="00647629">
        <w:rPr>
          <w:rFonts w:eastAsia="SimSun"/>
          <w:color w:val="000000"/>
          <w:sz w:val="20"/>
          <w:szCs w:val="20"/>
        </w:rPr>
        <w:t>green curves represent Pi-Pi bonds.</w:t>
      </w:r>
    </w:p>
    <w:p w14:paraId="3F228B15" w14:textId="77777777" w:rsidR="00C07B2C" w:rsidRPr="00C07B2C" w:rsidRDefault="00C07B2C" w:rsidP="00647629">
      <w:pPr>
        <w:snapToGrid w:val="0"/>
        <w:spacing w:line="240" w:lineRule="auto"/>
        <w:ind w:firstLineChars="0" w:firstLine="0"/>
        <w:jc w:val="center"/>
        <w:rPr>
          <w:rFonts w:eastAsia="SimSun"/>
          <w:sz w:val="24"/>
          <w:szCs w:val="24"/>
        </w:rPr>
      </w:pPr>
    </w:p>
    <w:p w14:paraId="373A5F91" w14:textId="77777777" w:rsidR="00667E00" w:rsidRDefault="001317D9" w:rsidP="00647629">
      <w:pPr>
        <w:snapToGrid w:val="0"/>
        <w:spacing w:line="240" w:lineRule="auto"/>
        <w:ind w:firstLineChars="0" w:firstLine="0"/>
        <w:jc w:val="center"/>
        <w:rPr>
          <w:rFonts w:eastAsia="SimSun"/>
          <w:sz w:val="24"/>
          <w:szCs w:val="24"/>
        </w:rPr>
      </w:pPr>
      <w:r>
        <w:rPr>
          <w:rFonts w:eastAsia="SimSun"/>
          <w:noProof/>
          <w:sz w:val="24"/>
          <w:szCs w:val="24"/>
        </w:rPr>
        <w:lastRenderedPageBreak/>
        <w:drawing>
          <wp:inline distT="0" distB="0" distL="114300" distR="114300" wp14:anchorId="373A5FDD" wp14:editId="6FFA104F">
            <wp:extent cx="6042660" cy="1686835"/>
            <wp:effectExtent l="0" t="0" r="0" b="8890"/>
            <wp:docPr id="9" name="图片 9" descr="7.3.3 分子对接热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7.3.3 分子对接热图"/>
                    <pic:cNvPicPr>
                      <a:picLocks noChangeAspect="1"/>
                    </pic:cNvPicPr>
                  </pic:nvPicPr>
                  <pic:blipFill>
                    <a:blip r:embed="rId14"/>
                    <a:stretch>
                      <a:fillRect/>
                    </a:stretch>
                  </pic:blipFill>
                  <pic:spPr>
                    <a:xfrm>
                      <a:off x="0" y="0"/>
                      <a:ext cx="6054175" cy="1690050"/>
                    </a:xfrm>
                    <a:prstGeom prst="rect">
                      <a:avLst/>
                    </a:prstGeom>
                    <a:noFill/>
                    <a:ln>
                      <a:noFill/>
                    </a:ln>
                  </pic:spPr>
                </pic:pic>
              </a:graphicData>
            </a:graphic>
          </wp:inline>
        </w:drawing>
      </w:r>
    </w:p>
    <w:p w14:paraId="373A5F92" w14:textId="062B257C" w:rsidR="00667E00" w:rsidRPr="00647629" w:rsidRDefault="001317D9" w:rsidP="00647629">
      <w:pPr>
        <w:snapToGrid w:val="0"/>
        <w:spacing w:line="240" w:lineRule="auto"/>
        <w:ind w:firstLineChars="0" w:firstLine="0"/>
        <w:jc w:val="center"/>
        <w:rPr>
          <w:rStyle w:val="Char"/>
          <w:rFonts w:hint="default"/>
          <w:sz w:val="20"/>
          <w:szCs w:val="20"/>
        </w:rPr>
      </w:pPr>
      <w:r w:rsidRPr="00647629">
        <w:rPr>
          <w:rStyle w:val="Char"/>
          <w:rFonts w:hint="default"/>
          <w:b/>
          <w:bCs/>
          <w:color w:val="000000"/>
          <w:sz w:val="20"/>
          <w:szCs w:val="20"/>
        </w:rPr>
        <w:t>Fig</w:t>
      </w:r>
      <w:r w:rsidRPr="00647629">
        <w:rPr>
          <w:rStyle w:val="Char"/>
          <w:b/>
          <w:bCs/>
          <w:color w:val="000000"/>
          <w:sz w:val="20"/>
          <w:szCs w:val="20"/>
        </w:rPr>
        <w:t xml:space="preserve">ure </w:t>
      </w:r>
      <w:r w:rsidRPr="00647629">
        <w:rPr>
          <w:rStyle w:val="Char"/>
          <w:rFonts w:hint="default"/>
          <w:b/>
          <w:bCs/>
          <w:color w:val="000000"/>
          <w:sz w:val="20"/>
          <w:szCs w:val="20"/>
        </w:rPr>
        <w:t>9</w:t>
      </w:r>
      <w:r w:rsidRPr="00647629">
        <w:rPr>
          <w:rStyle w:val="Char"/>
          <w:b/>
          <w:bCs/>
          <w:color w:val="000000"/>
          <w:sz w:val="20"/>
          <w:szCs w:val="20"/>
        </w:rPr>
        <w:t>.</w:t>
      </w:r>
      <w:r w:rsidRPr="00647629">
        <w:rPr>
          <w:rStyle w:val="Char"/>
          <w:rFonts w:hint="default"/>
          <w:color w:val="000000"/>
          <w:sz w:val="20"/>
          <w:szCs w:val="20"/>
        </w:rPr>
        <w:t xml:space="preserve"> Thermal map of molecular docking and binding energy.</w:t>
      </w:r>
    </w:p>
    <w:p w14:paraId="373A5F93" w14:textId="77777777" w:rsidR="00667E00" w:rsidRDefault="00667E00" w:rsidP="00647629">
      <w:pPr>
        <w:snapToGrid w:val="0"/>
        <w:spacing w:line="240" w:lineRule="auto"/>
        <w:ind w:firstLineChars="0" w:firstLine="0"/>
        <w:jc w:val="both"/>
        <w:rPr>
          <w:rStyle w:val="Char"/>
          <w:rFonts w:hint="default"/>
          <w:sz w:val="24"/>
          <w:szCs w:val="24"/>
        </w:rPr>
      </w:pPr>
    </w:p>
    <w:p w14:paraId="373A5F94" w14:textId="77777777" w:rsidR="00667E00" w:rsidRDefault="001317D9" w:rsidP="00647629">
      <w:pPr>
        <w:pStyle w:val="a1"/>
        <w:snapToGrid w:val="0"/>
        <w:spacing w:before="0" w:after="0" w:line="240" w:lineRule="auto"/>
        <w:jc w:val="both"/>
        <w:rPr>
          <w:rFonts w:eastAsia="SimSun" w:hint="default"/>
          <w:szCs w:val="24"/>
          <w:lang w:val="en-US"/>
        </w:rPr>
      </w:pPr>
      <w:bookmarkStart w:id="30" w:name="_Toc12777"/>
      <w:bookmarkStart w:id="31" w:name="_Toc8476"/>
      <w:bookmarkEnd w:id="28"/>
      <w:bookmarkEnd w:id="29"/>
      <w:r>
        <w:rPr>
          <w:rFonts w:eastAsia="SimSun"/>
          <w:szCs w:val="24"/>
          <w:lang w:val="en-US"/>
        </w:rPr>
        <w:t>3</w:t>
      </w:r>
      <w:r>
        <w:rPr>
          <w:rFonts w:eastAsia="SimSun" w:hint="default"/>
          <w:szCs w:val="24"/>
          <w:lang w:val="en-US"/>
        </w:rPr>
        <w:t>.5</w:t>
      </w:r>
      <w:r>
        <w:rPr>
          <w:rFonts w:eastAsia="SimSun"/>
          <w:szCs w:val="24"/>
          <w:lang w:val="en-US"/>
        </w:rPr>
        <w:t>.</w:t>
      </w:r>
      <w:r>
        <w:rPr>
          <w:rFonts w:eastAsia="SimSun" w:hint="default"/>
          <w:szCs w:val="24"/>
          <w:lang w:val="en-US"/>
        </w:rPr>
        <w:t xml:space="preserve"> Molecular dynamics simulations</w:t>
      </w:r>
    </w:p>
    <w:p w14:paraId="373A5F95" w14:textId="77777777" w:rsidR="00667E00" w:rsidRDefault="001317D9" w:rsidP="00F86697">
      <w:pPr>
        <w:pStyle w:val="a"/>
        <w:snapToGrid w:val="0"/>
        <w:spacing w:line="240" w:lineRule="auto"/>
        <w:ind w:firstLineChars="0" w:firstLine="0"/>
        <w:rPr>
          <w:rFonts w:hint="default"/>
          <w:sz w:val="24"/>
          <w:szCs w:val="24"/>
          <w:lang w:val="en-US"/>
        </w:rPr>
      </w:pPr>
      <w:r>
        <w:rPr>
          <w:rFonts w:hint="default"/>
          <w:sz w:val="24"/>
          <w:szCs w:val="24"/>
          <w:lang w:val="en-US"/>
        </w:rPr>
        <w:t>During the 100 ns simulation, the RMSD of the PIK3CA complex stabilized after 15 ns at an average value of 0.4076 nm; that of the PIK3R1 complex was 0.2400 nm on average, and that of the SRC complex was 0.2359 nm. RMSF analysis revealed relatively stable residue fluctuations in the PIK3CA complex, with residues such as LYS-54, ASN-56, and GLN-63 exhibiting relatively active states. Both RG and Buried SASA analyses indicated a more compact structure and tighter binding in the PIK3CA complex (</w:t>
      </w:r>
      <w:r>
        <w:rPr>
          <w:rFonts w:hint="default"/>
          <w:b/>
          <w:bCs/>
          <w:sz w:val="24"/>
          <w:szCs w:val="24"/>
          <w:lang w:val="en-US"/>
        </w:rPr>
        <w:t>Figure 11–14</w:t>
      </w:r>
      <w:r>
        <w:rPr>
          <w:rFonts w:hint="default"/>
          <w:sz w:val="24"/>
          <w:szCs w:val="24"/>
          <w:lang w:val="en-US"/>
        </w:rPr>
        <w:t>).</w:t>
      </w:r>
    </w:p>
    <w:p w14:paraId="5D254AA2" w14:textId="77777777" w:rsidR="00C07B2C" w:rsidRDefault="00C07B2C" w:rsidP="00647629">
      <w:pPr>
        <w:pStyle w:val="a"/>
        <w:snapToGrid w:val="0"/>
        <w:spacing w:line="240" w:lineRule="auto"/>
        <w:ind w:firstLineChars="0" w:firstLine="0"/>
        <w:rPr>
          <w:rFonts w:hint="default"/>
          <w:sz w:val="24"/>
          <w:szCs w:val="24"/>
          <w:lang w:val="en-US"/>
        </w:rPr>
      </w:pPr>
    </w:p>
    <w:p w14:paraId="373A5F96" w14:textId="77777777" w:rsidR="00667E00" w:rsidRDefault="001317D9" w:rsidP="00647629">
      <w:pPr>
        <w:pStyle w:val="a"/>
        <w:snapToGrid w:val="0"/>
        <w:spacing w:line="240" w:lineRule="auto"/>
        <w:ind w:firstLineChars="0" w:firstLine="0"/>
        <w:jc w:val="center"/>
        <w:rPr>
          <w:rFonts w:hint="default"/>
          <w:sz w:val="24"/>
          <w:szCs w:val="24"/>
          <w:lang w:val="en-US"/>
        </w:rPr>
      </w:pPr>
      <w:r>
        <w:rPr>
          <w:rFonts w:hint="default"/>
          <w:noProof/>
          <w:sz w:val="24"/>
          <w:szCs w:val="24"/>
          <w:lang w:val="en-US"/>
        </w:rPr>
        <w:drawing>
          <wp:inline distT="0" distB="0" distL="114300" distR="114300" wp14:anchorId="373A5FDF" wp14:editId="4C803395">
            <wp:extent cx="6187440" cy="1277588"/>
            <wp:effectExtent l="0" t="0" r="3810" b="0"/>
            <wp:docPr id="10" name="图片 10" descr="RMSD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RMSD_01"/>
                    <pic:cNvPicPr>
                      <a:picLocks noChangeAspect="1"/>
                    </pic:cNvPicPr>
                  </pic:nvPicPr>
                  <pic:blipFill>
                    <a:blip r:embed="rId15"/>
                    <a:srcRect t="1938" r="1726" b="61986"/>
                    <a:stretch>
                      <a:fillRect/>
                    </a:stretch>
                  </pic:blipFill>
                  <pic:spPr>
                    <a:xfrm>
                      <a:off x="0" y="0"/>
                      <a:ext cx="6200280" cy="1280239"/>
                    </a:xfrm>
                    <a:prstGeom prst="rect">
                      <a:avLst/>
                    </a:prstGeom>
                    <a:noFill/>
                    <a:ln>
                      <a:noFill/>
                    </a:ln>
                  </pic:spPr>
                </pic:pic>
              </a:graphicData>
            </a:graphic>
          </wp:inline>
        </w:drawing>
      </w:r>
    </w:p>
    <w:p w14:paraId="373A5F98" w14:textId="77777777" w:rsidR="00667E00" w:rsidRPr="00647629" w:rsidRDefault="001317D9" w:rsidP="00647629">
      <w:pPr>
        <w:pStyle w:val="a"/>
        <w:snapToGrid w:val="0"/>
        <w:spacing w:line="240" w:lineRule="auto"/>
        <w:ind w:firstLineChars="0" w:firstLine="0"/>
        <w:jc w:val="center"/>
        <w:rPr>
          <w:rFonts w:hint="default"/>
          <w:sz w:val="20"/>
          <w:lang w:val="en-US"/>
        </w:rPr>
      </w:pPr>
      <w:r w:rsidRPr="00647629">
        <w:rPr>
          <w:rFonts w:hint="default"/>
          <w:b/>
          <w:bCs/>
          <w:sz w:val="20"/>
          <w:lang w:val="en-US"/>
        </w:rPr>
        <w:t>Fig</w:t>
      </w:r>
      <w:r w:rsidRPr="00647629">
        <w:rPr>
          <w:b/>
          <w:bCs/>
          <w:sz w:val="20"/>
          <w:lang w:val="en-US"/>
        </w:rPr>
        <w:t xml:space="preserve">ure </w:t>
      </w:r>
      <w:r w:rsidRPr="00647629">
        <w:rPr>
          <w:rFonts w:hint="default"/>
          <w:b/>
          <w:bCs/>
          <w:sz w:val="20"/>
          <w:lang w:val="en-US"/>
        </w:rPr>
        <w:t>11</w:t>
      </w:r>
      <w:r w:rsidRPr="00647629">
        <w:rPr>
          <w:b/>
          <w:bCs/>
          <w:sz w:val="20"/>
          <w:lang w:val="en-US"/>
        </w:rPr>
        <w:t>.</w:t>
      </w:r>
      <w:r w:rsidRPr="00647629">
        <w:rPr>
          <w:rFonts w:hint="default"/>
          <w:sz w:val="20"/>
          <w:lang w:val="en-US"/>
        </w:rPr>
        <w:t xml:space="preserve"> RMSD analysis of complex systems.</w:t>
      </w:r>
    </w:p>
    <w:p w14:paraId="3F7D4092" w14:textId="77777777" w:rsidR="00C07B2C" w:rsidRDefault="00C07B2C" w:rsidP="00647629">
      <w:pPr>
        <w:pStyle w:val="a"/>
        <w:snapToGrid w:val="0"/>
        <w:spacing w:line="240" w:lineRule="auto"/>
        <w:ind w:firstLineChars="0" w:firstLine="0"/>
        <w:rPr>
          <w:rFonts w:hint="default"/>
          <w:sz w:val="24"/>
          <w:szCs w:val="24"/>
          <w:lang w:val="en-US"/>
        </w:rPr>
      </w:pPr>
    </w:p>
    <w:p w14:paraId="373A5F99" w14:textId="77777777" w:rsidR="00667E00" w:rsidRDefault="001317D9" w:rsidP="00647629">
      <w:pPr>
        <w:pStyle w:val="a"/>
        <w:snapToGrid w:val="0"/>
        <w:spacing w:line="240" w:lineRule="auto"/>
        <w:ind w:firstLineChars="0" w:firstLine="0"/>
        <w:jc w:val="center"/>
        <w:rPr>
          <w:rFonts w:hint="default"/>
          <w:sz w:val="24"/>
          <w:szCs w:val="24"/>
          <w:lang w:val="en-US"/>
        </w:rPr>
      </w:pPr>
      <w:r>
        <w:rPr>
          <w:rFonts w:hint="default"/>
          <w:noProof/>
          <w:sz w:val="24"/>
          <w:szCs w:val="24"/>
          <w:lang w:val="en-US"/>
        </w:rPr>
        <w:drawing>
          <wp:inline distT="0" distB="0" distL="114300" distR="114300" wp14:anchorId="373A5FE1" wp14:editId="2DB6108B">
            <wp:extent cx="5875020" cy="1255695"/>
            <wp:effectExtent l="0" t="0" r="0" b="1905"/>
            <wp:docPr id="11" name="图片 11" descr="RMSF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RMSF_01"/>
                    <pic:cNvPicPr>
                      <a:picLocks noChangeAspect="1"/>
                    </pic:cNvPicPr>
                  </pic:nvPicPr>
                  <pic:blipFill>
                    <a:blip r:embed="rId16"/>
                    <a:srcRect b="62003"/>
                    <a:stretch>
                      <a:fillRect/>
                    </a:stretch>
                  </pic:blipFill>
                  <pic:spPr>
                    <a:xfrm>
                      <a:off x="0" y="0"/>
                      <a:ext cx="5888278" cy="1258529"/>
                    </a:xfrm>
                    <a:prstGeom prst="rect">
                      <a:avLst/>
                    </a:prstGeom>
                    <a:noFill/>
                    <a:ln>
                      <a:noFill/>
                    </a:ln>
                  </pic:spPr>
                </pic:pic>
              </a:graphicData>
            </a:graphic>
          </wp:inline>
        </w:drawing>
      </w:r>
    </w:p>
    <w:p w14:paraId="373A5F9A" w14:textId="77777777" w:rsidR="00667E00" w:rsidRPr="00647629" w:rsidRDefault="001317D9" w:rsidP="00647629">
      <w:pPr>
        <w:pStyle w:val="a"/>
        <w:snapToGrid w:val="0"/>
        <w:spacing w:line="240" w:lineRule="auto"/>
        <w:ind w:firstLineChars="0" w:firstLine="0"/>
        <w:jc w:val="center"/>
        <w:rPr>
          <w:rFonts w:hint="default"/>
          <w:sz w:val="20"/>
          <w:lang w:val="en-US"/>
        </w:rPr>
      </w:pPr>
      <w:r w:rsidRPr="00647629">
        <w:rPr>
          <w:rFonts w:hint="default"/>
          <w:b/>
          <w:bCs/>
          <w:sz w:val="20"/>
          <w:lang w:val="en-US"/>
        </w:rPr>
        <w:t>Fig</w:t>
      </w:r>
      <w:r w:rsidRPr="00647629">
        <w:rPr>
          <w:b/>
          <w:bCs/>
          <w:sz w:val="20"/>
          <w:lang w:val="en-US"/>
        </w:rPr>
        <w:t xml:space="preserve">ure </w:t>
      </w:r>
      <w:r w:rsidRPr="00647629">
        <w:rPr>
          <w:rFonts w:hint="default"/>
          <w:b/>
          <w:bCs/>
          <w:sz w:val="20"/>
          <w:lang w:val="en-US"/>
        </w:rPr>
        <w:t>12</w:t>
      </w:r>
      <w:r w:rsidRPr="00647629">
        <w:rPr>
          <w:b/>
          <w:bCs/>
          <w:sz w:val="20"/>
          <w:lang w:val="en-US"/>
        </w:rPr>
        <w:t>.</w:t>
      </w:r>
      <w:r w:rsidRPr="00647629">
        <w:rPr>
          <w:rFonts w:hint="default"/>
          <w:sz w:val="20"/>
          <w:lang w:val="en-US"/>
        </w:rPr>
        <w:t xml:space="preserve"> RMSF analysis of complex systems.</w:t>
      </w:r>
    </w:p>
    <w:p w14:paraId="11C9CE05" w14:textId="77777777" w:rsidR="00C07B2C" w:rsidRDefault="00C07B2C" w:rsidP="00647629">
      <w:pPr>
        <w:pStyle w:val="a"/>
        <w:snapToGrid w:val="0"/>
        <w:spacing w:line="240" w:lineRule="auto"/>
        <w:ind w:firstLineChars="0" w:firstLine="0"/>
        <w:rPr>
          <w:rFonts w:hint="default"/>
          <w:sz w:val="24"/>
          <w:szCs w:val="24"/>
          <w:lang w:val="en-US"/>
        </w:rPr>
      </w:pPr>
    </w:p>
    <w:p w14:paraId="373A5F9B" w14:textId="77777777" w:rsidR="00667E00" w:rsidRDefault="001317D9" w:rsidP="00647629">
      <w:pPr>
        <w:pStyle w:val="a"/>
        <w:snapToGrid w:val="0"/>
        <w:spacing w:line="240" w:lineRule="auto"/>
        <w:ind w:firstLineChars="0" w:firstLine="0"/>
        <w:jc w:val="center"/>
        <w:rPr>
          <w:rFonts w:hint="default"/>
          <w:sz w:val="24"/>
          <w:szCs w:val="24"/>
          <w:lang w:val="en-US"/>
        </w:rPr>
      </w:pPr>
      <w:r>
        <w:rPr>
          <w:rFonts w:hint="default"/>
          <w:noProof/>
          <w:sz w:val="24"/>
          <w:szCs w:val="24"/>
          <w:lang w:val="en-US"/>
        </w:rPr>
        <w:drawing>
          <wp:inline distT="0" distB="0" distL="114300" distR="114300" wp14:anchorId="373A5FE3" wp14:editId="0F2ED58B">
            <wp:extent cx="5928360" cy="1261378"/>
            <wp:effectExtent l="0" t="0" r="0" b="0"/>
            <wp:docPr id="12" name="图片 12" descr="RG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RG_01"/>
                    <pic:cNvPicPr>
                      <a:picLocks noChangeAspect="1"/>
                    </pic:cNvPicPr>
                  </pic:nvPicPr>
                  <pic:blipFill>
                    <a:blip r:embed="rId17"/>
                    <a:srcRect b="62173"/>
                    <a:stretch>
                      <a:fillRect/>
                    </a:stretch>
                  </pic:blipFill>
                  <pic:spPr>
                    <a:xfrm>
                      <a:off x="0" y="0"/>
                      <a:ext cx="5935402" cy="1262876"/>
                    </a:xfrm>
                    <a:prstGeom prst="rect">
                      <a:avLst/>
                    </a:prstGeom>
                    <a:noFill/>
                    <a:ln>
                      <a:noFill/>
                    </a:ln>
                  </pic:spPr>
                </pic:pic>
              </a:graphicData>
            </a:graphic>
          </wp:inline>
        </w:drawing>
      </w:r>
    </w:p>
    <w:p w14:paraId="373A5F9C" w14:textId="77777777" w:rsidR="00667E00" w:rsidRPr="00647629" w:rsidRDefault="001317D9" w:rsidP="00647629">
      <w:pPr>
        <w:pStyle w:val="a"/>
        <w:snapToGrid w:val="0"/>
        <w:spacing w:line="240" w:lineRule="auto"/>
        <w:ind w:firstLineChars="0" w:firstLine="0"/>
        <w:jc w:val="center"/>
        <w:rPr>
          <w:rFonts w:hint="default"/>
          <w:sz w:val="20"/>
          <w:lang w:val="en-US"/>
        </w:rPr>
      </w:pPr>
      <w:r w:rsidRPr="00647629">
        <w:rPr>
          <w:rFonts w:hint="default"/>
          <w:b/>
          <w:bCs/>
          <w:sz w:val="20"/>
          <w:lang w:val="en-US"/>
        </w:rPr>
        <w:t>Fig</w:t>
      </w:r>
      <w:r w:rsidRPr="00647629">
        <w:rPr>
          <w:b/>
          <w:bCs/>
          <w:sz w:val="20"/>
          <w:lang w:val="en-US"/>
        </w:rPr>
        <w:t xml:space="preserve">ure </w:t>
      </w:r>
      <w:r w:rsidRPr="00647629">
        <w:rPr>
          <w:rFonts w:hint="default"/>
          <w:b/>
          <w:bCs/>
          <w:sz w:val="20"/>
          <w:lang w:val="en-US"/>
        </w:rPr>
        <w:t>13</w:t>
      </w:r>
      <w:r w:rsidRPr="00647629">
        <w:rPr>
          <w:b/>
          <w:bCs/>
          <w:sz w:val="20"/>
          <w:lang w:val="en-US"/>
        </w:rPr>
        <w:t>.</w:t>
      </w:r>
      <w:r w:rsidRPr="00647629">
        <w:rPr>
          <w:rFonts w:hint="default"/>
          <w:sz w:val="20"/>
          <w:lang w:val="en-US"/>
        </w:rPr>
        <w:t xml:space="preserve"> RG analysis of complex systems.</w:t>
      </w:r>
    </w:p>
    <w:p w14:paraId="61D5142D" w14:textId="77777777" w:rsidR="00C07B2C" w:rsidRDefault="00C07B2C" w:rsidP="00647629">
      <w:pPr>
        <w:pStyle w:val="a"/>
        <w:snapToGrid w:val="0"/>
        <w:spacing w:line="240" w:lineRule="auto"/>
        <w:ind w:firstLineChars="0" w:firstLine="0"/>
        <w:rPr>
          <w:rFonts w:hint="default"/>
          <w:sz w:val="24"/>
          <w:szCs w:val="24"/>
          <w:lang w:val="en-US"/>
        </w:rPr>
      </w:pPr>
    </w:p>
    <w:p w14:paraId="373A5F9D" w14:textId="77777777" w:rsidR="00667E00" w:rsidRDefault="001317D9" w:rsidP="00647629">
      <w:pPr>
        <w:pStyle w:val="a"/>
        <w:snapToGrid w:val="0"/>
        <w:spacing w:line="240" w:lineRule="auto"/>
        <w:ind w:firstLineChars="0" w:firstLine="0"/>
        <w:jc w:val="center"/>
        <w:rPr>
          <w:rFonts w:hint="default"/>
          <w:sz w:val="24"/>
          <w:szCs w:val="24"/>
          <w:lang w:val="en-US"/>
        </w:rPr>
      </w:pPr>
      <w:r>
        <w:rPr>
          <w:rFonts w:hint="default"/>
          <w:noProof/>
          <w:sz w:val="24"/>
          <w:szCs w:val="24"/>
          <w:lang w:val="en-US"/>
        </w:rPr>
        <w:lastRenderedPageBreak/>
        <w:drawing>
          <wp:inline distT="0" distB="0" distL="114300" distR="114300" wp14:anchorId="373A5FE5" wp14:editId="1AE17590">
            <wp:extent cx="6156960" cy="1351455"/>
            <wp:effectExtent l="0" t="0" r="0" b="1270"/>
            <wp:docPr id="13" name="图片 13" descr="SASA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SASA_01"/>
                    <pic:cNvPicPr preferRelativeResize="0">
                      <a:picLocks noChangeAspect="1"/>
                    </pic:cNvPicPr>
                  </pic:nvPicPr>
                  <pic:blipFill>
                    <a:blip r:embed="rId18"/>
                    <a:srcRect b="62189"/>
                    <a:stretch>
                      <a:fillRect/>
                    </a:stretch>
                  </pic:blipFill>
                  <pic:spPr>
                    <a:xfrm>
                      <a:off x="0" y="0"/>
                      <a:ext cx="6165986" cy="1353436"/>
                    </a:xfrm>
                    <a:prstGeom prst="rect">
                      <a:avLst/>
                    </a:prstGeom>
                    <a:noFill/>
                    <a:ln>
                      <a:noFill/>
                    </a:ln>
                  </pic:spPr>
                </pic:pic>
              </a:graphicData>
            </a:graphic>
          </wp:inline>
        </w:drawing>
      </w:r>
    </w:p>
    <w:p w14:paraId="373A5F9E" w14:textId="589A0BA4" w:rsidR="00667E00" w:rsidRPr="00647629" w:rsidRDefault="001317D9" w:rsidP="00647629">
      <w:pPr>
        <w:pStyle w:val="a"/>
        <w:snapToGrid w:val="0"/>
        <w:spacing w:line="240" w:lineRule="auto"/>
        <w:ind w:firstLineChars="0" w:firstLine="0"/>
        <w:jc w:val="center"/>
        <w:rPr>
          <w:rFonts w:hint="default"/>
          <w:sz w:val="20"/>
          <w:lang w:val="en-US"/>
        </w:rPr>
      </w:pPr>
      <w:r w:rsidRPr="00647629">
        <w:rPr>
          <w:rFonts w:hint="default"/>
          <w:b/>
          <w:bCs/>
          <w:sz w:val="20"/>
          <w:lang w:val="en-US"/>
        </w:rPr>
        <w:t>Fig</w:t>
      </w:r>
      <w:r w:rsidRPr="00647629">
        <w:rPr>
          <w:b/>
          <w:bCs/>
          <w:sz w:val="20"/>
          <w:lang w:val="en-US"/>
        </w:rPr>
        <w:t xml:space="preserve">ure </w:t>
      </w:r>
      <w:r w:rsidRPr="00647629">
        <w:rPr>
          <w:rFonts w:hint="default"/>
          <w:b/>
          <w:bCs/>
          <w:sz w:val="20"/>
          <w:lang w:val="en-US"/>
        </w:rPr>
        <w:t>14</w:t>
      </w:r>
      <w:r w:rsidRPr="00647629">
        <w:rPr>
          <w:b/>
          <w:bCs/>
          <w:sz w:val="20"/>
          <w:lang w:val="en-US"/>
        </w:rPr>
        <w:t>.</w:t>
      </w:r>
      <w:r w:rsidRPr="00647629">
        <w:rPr>
          <w:rFonts w:hint="default"/>
          <w:sz w:val="20"/>
          <w:lang w:val="en-US"/>
        </w:rPr>
        <w:t xml:space="preserve"> SASA analysis of complex systems.</w:t>
      </w:r>
    </w:p>
    <w:p w14:paraId="373A5F9F" w14:textId="77777777" w:rsidR="00667E00" w:rsidRDefault="00667E00" w:rsidP="00647629">
      <w:pPr>
        <w:pStyle w:val="a"/>
        <w:snapToGrid w:val="0"/>
        <w:spacing w:line="240" w:lineRule="auto"/>
        <w:ind w:firstLineChars="0" w:firstLine="0"/>
        <w:rPr>
          <w:rFonts w:hint="default"/>
          <w:sz w:val="24"/>
          <w:szCs w:val="24"/>
          <w:lang w:val="en-US"/>
        </w:rPr>
      </w:pPr>
    </w:p>
    <w:p w14:paraId="373A5FA0" w14:textId="77777777" w:rsidR="00667E00" w:rsidRDefault="001317D9" w:rsidP="00647629">
      <w:pPr>
        <w:pStyle w:val="a0"/>
        <w:snapToGrid w:val="0"/>
        <w:spacing w:before="0" w:after="0" w:line="240" w:lineRule="auto"/>
        <w:jc w:val="left"/>
        <w:rPr>
          <w:rFonts w:eastAsia="SimSun" w:hint="default"/>
          <w:sz w:val="24"/>
          <w:szCs w:val="24"/>
          <w:lang w:val="en-US"/>
        </w:rPr>
      </w:pPr>
      <w:r>
        <w:rPr>
          <w:rFonts w:eastAsia="FangSong"/>
          <w:sz w:val="24"/>
          <w:szCs w:val="24"/>
          <w:lang w:val="en-US"/>
        </w:rPr>
        <w:t>4.</w:t>
      </w:r>
      <w:r>
        <w:rPr>
          <w:rFonts w:eastAsia="FangSong" w:hint="default"/>
          <w:sz w:val="24"/>
          <w:szCs w:val="24"/>
          <w:lang w:val="en-US"/>
        </w:rPr>
        <w:t xml:space="preserve"> Discussion</w:t>
      </w:r>
      <w:bookmarkEnd w:id="30"/>
      <w:bookmarkEnd w:id="31"/>
    </w:p>
    <w:p w14:paraId="373A5FA1" w14:textId="4FA8D747" w:rsidR="00667E00" w:rsidRDefault="001317D9" w:rsidP="00647629">
      <w:pPr>
        <w:pStyle w:val="a"/>
        <w:snapToGrid w:val="0"/>
        <w:spacing w:line="240" w:lineRule="auto"/>
        <w:ind w:firstLineChars="0" w:firstLine="0"/>
        <w:rPr>
          <w:rFonts w:hint="default"/>
          <w:color w:val="000000"/>
          <w:sz w:val="24"/>
          <w:szCs w:val="24"/>
          <w:lang w:val="en-US"/>
        </w:rPr>
      </w:pPr>
      <w:r>
        <w:rPr>
          <w:rFonts w:hint="default"/>
          <w:sz w:val="24"/>
          <w:szCs w:val="24"/>
          <w:lang w:val="en-US"/>
        </w:rPr>
        <w:t>Obesity is closely associated with type 2 diabetes mellitus, hypertension, coronary heart disease, and other conditions. Data from the World Health Organization (WHO) indicate that the global prevalence rate continues to rise</w:t>
      </w:r>
      <w:r w:rsidR="00C07B2C">
        <w:rPr>
          <w:rFonts w:hint="default"/>
          <w:sz w:val="24"/>
          <w:szCs w:val="24"/>
          <w:lang w:val="en-US"/>
        </w:rPr>
        <w:t xml:space="preserve"> </w:t>
      </w:r>
      <w:r>
        <w:rPr>
          <w:rFonts w:hint="default"/>
          <w:sz w:val="24"/>
          <w:szCs w:val="24"/>
          <w:vertAlign w:val="superscript"/>
          <w:lang w:val="en-US"/>
        </w:rPr>
        <w:t>[13]</w:t>
      </w:r>
      <w:r>
        <w:rPr>
          <w:rFonts w:hint="default"/>
          <w:sz w:val="24"/>
          <w:szCs w:val="24"/>
          <w:lang w:val="en-US"/>
        </w:rPr>
        <w:t>.</w:t>
      </w:r>
      <w:r>
        <w:rPr>
          <w:sz w:val="24"/>
          <w:szCs w:val="24"/>
          <w:lang w:val="en-US"/>
        </w:rPr>
        <w:t xml:space="preserve"> </w:t>
      </w:r>
      <w:r>
        <w:rPr>
          <w:rFonts w:hint="default"/>
          <w:sz w:val="24"/>
          <w:szCs w:val="24"/>
          <w:lang w:val="en-US"/>
        </w:rPr>
        <w:t>Traditional Chinese Medicine holds that the pathogenesis of obesity involves spleen deficiency leading to impaired transportation, internal obstruction by phlegm-dampness, and stagnation in the middle energizer</w:t>
      </w:r>
      <w:r w:rsidR="00C07B2C">
        <w:rPr>
          <w:rFonts w:hint="default"/>
          <w:sz w:val="24"/>
          <w:szCs w:val="24"/>
          <w:lang w:val="en-US"/>
        </w:rPr>
        <w:t xml:space="preserve"> </w:t>
      </w:r>
      <w:r>
        <w:rPr>
          <w:rFonts w:hint="default"/>
          <w:sz w:val="24"/>
          <w:szCs w:val="24"/>
          <w:vertAlign w:val="superscript"/>
          <w:lang w:val="en-US"/>
        </w:rPr>
        <w:t>[14]</w:t>
      </w:r>
      <w:r>
        <w:rPr>
          <w:rFonts w:hint="default"/>
          <w:sz w:val="24"/>
          <w:szCs w:val="24"/>
          <w:lang w:val="en-US"/>
        </w:rPr>
        <w:t>.</w:t>
      </w:r>
      <w:r>
        <w:rPr>
          <w:sz w:val="24"/>
          <w:szCs w:val="24"/>
          <w:lang w:val="en-US"/>
        </w:rPr>
        <w:t xml:space="preserve"> </w:t>
      </w:r>
      <w:proofErr w:type="spellStart"/>
      <w:r>
        <w:rPr>
          <w:rFonts w:hint="default"/>
          <w:sz w:val="24"/>
          <w:szCs w:val="24"/>
          <w:lang w:val="en-US"/>
        </w:rPr>
        <w:t>Shenling</w:t>
      </w:r>
      <w:proofErr w:type="spellEnd"/>
      <w:r>
        <w:rPr>
          <w:rFonts w:hint="default"/>
          <w:sz w:val="24"/>
          <w:szCs w:val="24"/>
          <w:lang w:val="en-US"/>
        </w:rPr>
        <w:t xml:space="preserve"> </w:t>
      </w:r>
      <w:proofErr w:type="spellStart"/>
      <w:r>
        <w:rPr>
          <w:rFonts w:hint="default"/>
          <w:sz w:val="24"/>
          <w:szCs w:val="24"/>
          <w:lang w:val="en-US"/>
        </w:rPr>
        <w:t>Baizhu</w:t>
      </w:r>
      <w:proofErr w:type="spellEnd"/>
      <w:r>
        <w:rPr>
          <w:rFonts w:hint="default"/>
          <w:sz w:val="24"/>
          <w:szCs w:val="24"/>
          <w:lang w:val="en-US"/>
        </w:rPr>
        <w:t xml:space="preserve"> Powder is derived from the </w:t>
      </w:r>
      <w:r w:rsidR="000E4DA4">
        <w:rPr>
          <w:rFonts w:hint="default"/>
          <w:sz w:val="24"/>
          <w:szCs w:val="24"/>
          <w:lang w:val="en-US"/>
        </w:rPr>
        <w:t>“</w:t>
      </w:r>
      <w:r>
        <w:rPr>
          <w:rFonts w:hint="default"/>
          <w:sz w:val="24"/>
          <w:szCs w:val="24"/>
          <w:lang w:val="en-US"/>
        </w:rPr>
        <w:t xml:space="preserve">Taiping Huimin </w:t>
      </w:r>
      <w:proofErr w:type="spellStart"/>
      <w:r>
        <w:rPr>
          <w:rFonts w:hint="default"/>
          <w:sz w:val="24"/>
          <w:szCs w:val="24"/>
          <w:lang w:val="en-US"/>
        </w:rPr>
        <w:t>Heji</w:t>
      </w:r>
      <w:proofErr w:type="spellEnd"/>
      <w:r>
        <w:rPr>
          <w:rFonts w:hint="default"/>
          <w:sz w:val="24"/>
          <w:szCs w:val="24"/>
          <w:lang w:val="en-US"/>
        </w:rPr>
        <w:t xml:space="preserve"> Jufang</w:t>
      </w:r>
      <w:r w:rsidR="000E4DA4">
        <w:rPr>
          <w:rFonts w:hint="default"/>
          <w:sz w:val="24"/>
          <w:szCs w:val="24"/>
          <w:lang w:val="en-US"/>
        </w:rPr>
        <w:t>”</w:t>
      </w:r>
      <w:r>
        <w:rPr>
          <w:rFonts w:hint="default"/>
          <w:sz w:val="24"/>
          <w:szCs w:val="24"/>
          <w:lang w:val="en-US"/>
        </w:rPr>
        <w:t xml:space="preserve"> and consists of ginseng, </w:t>
      </w:r>
      <w:proofErr w:type="spellStart"/>
      <w:r w:rsidRPr="00647629">
        <w:rPr>
          <w:rFonts w:hint="default"/>
          <w:i/>
          <w:iCs/>
          <w:sz w:val="24"/>
          <w:szCs w:val="24"/>
          <w:lang w:val="en-US"/>
        </w:rPr>
        <w:t>poria</w:t>
      </w:r>
      <w:proofErr w:type="spellEnd"/>
      <w:r w:rsidRPr="00647629">
        <w:rPr>
          <w:rFonts w:hint="default"/>
          <w:i/>
          <w:iCs/>
          <w:sz w:val="24"/>
          <w:szCs w:val="24"/>
          <w:lang w:val="en-US"/>
        </w:rPr>
        <w:t xml:space="preserve"> cocos</w:t>
      </w:r>
      <w:r>
        <w:rPr>
          <w:rFonts w:hint="default"/>
          <w:sz w:val="24"/>
          <w:szCs w:val="24"/>
          <w:lang w:val="en-US"/>
        </w:rPr>
        <w:t xml:space="preserve">, white </w:t>
      </w:r>
      <w:proofErr w:type="spellStart"/>
      <w:r w:rsidRPr="00647629">
        <w:rPr>
          <w:rFonts w:hint="default"/>
          <w:i/>
          <w:iCs/>
          <w:sz w:val="24"/>
          <w:szCs w:val="24"/>
          <w:lang w:val="en-US"/>
        </w:rPr>
        <w:t>atractylodes</w:t>
      </w:r>
      <w:proofErr w:type="spellEnd"/>
      <w:r w:rsidRPr="00647629">
        <w:rPr>
          <w:rFonts w:hint="default"/>
          <w:i/>
          <w:iCs/>
          <w:sz w:val="24"/>
          <w:szCs w:val="24"/>
          <w:lang w:val="en-US"/>
        </w:rPr>
        <w:t xml:space="preserve"> rhizome</w:t>
      </w:r>
      <w:r>
        <w:rPr>
          <w:rFonts w:hint="default"/>
          <w:sz w:val="24"/>
          <w:szCs w:val="24"/>
          <w:lang w:val="en-US"/>
        </w:rPr>
        <w:t xml:space="preserve">, hyacinth bean, Chinese yam, licorice root, lotus seed, </w:t>
      </w:r>
      <w:r w:rsidRPr="00647629">
        <w:rPr>
          <w:rFonts w:hint="default"/>
          <w:i/>
          <w:iCs/>
          <w:sz w:val="24"/>
          <w:szCs w:val="24"/>
          <w:lang w:val="en-US"/>
        </w:rPr>
        <w:t xml:space="preserve">amomum </w:t>
      </w:r>
      <w:proofErr w:type="spellStart"/>
      <w:r w:rsidRPr="00647629">
        <w:rPr>
          <w:rFonts w:hint="default"/>
          <w:i/>
          <w:iCs/>
          <w:sz w:val="24"/>
          <w:szCs w:val="24"/>
          <w:lang w:val="en-US"/>
        </w:rPr>
        <w:t>villosum</w:t>
      </w:r>
      <w:proofErr w:type="spellEnd"/>
      <w:r>
        <w:rPr>
          <w:rFonts w:hint="default"/>
          <w:sz w:val="24"/>
          <w:szCs w:val="24"/>
          <w:lang w:val="en-US"/>
        </w:rPr>
        <w:t xml:space="preserve">, </w:t>
      </w:r>
      <w:proofErr w:type="spellStart"/>
      <w:r>
        <w:rPr>
          <w:rFonts w:hint="default"/>
          <w:sz w:val="24"/>
          <w:szCs w:val="24"/>
          <w:lang w:val="en-US"/>
        </w:rPr>
        <w:t>coix</w:t>
      </w:r>
      <w:proofErr w:type="spellEnd"/>
      <w:r>
        <w:rPr>
          <w:rFonts w:hint="default"/>
          <w:sz w:val="24"/>
          <w:szCs w:val="24"/>
          <w:lang w:val="en-US"/>
        </w:rPr>
        <w:t xml:space="preserve"> seed, and </w:t>
      </w:r>
      <w:proofErr w:type="spellStart"/>
      <w:r>
        <w:rPr>
          <w:rFonts w:hint="default"/>
          <w:sz w:val="24"/>
          <w:szCs w:val="24"/>
          <w:lang w:val="en-US"/>
        </w:rPr>
        <w:t>platycodon</w:t>
      </w:r>
      <w:proofErr w:type="spellEnd"/>
      <w:r>
        <w:rPr>
          <w:rFonts w:hint="default"/>
          <w:sz w:val="24"/>
          <w:szCs w:val="24"/>
          <w:lang w:val="en-US"/>
        </w:rPr>
        <w:t xml:space="preserve"> root</w:t>
      </w:r>
      <w:r w:rsidR="00C07B2C">
        <w:rPr>
          <w:rFonts w:hint="default"/>
          <w:sz w:val="24"/>
          <w:szCs w:val="24"/>
          <w:lang w:val="en-US"/>
        </w:rPr>
        <w:t xml:space="preserve"> </w:t>
      </w:r>
      <w:r>
        <w:rPr>
          <w:rFonts w:hint="default"/>
          <w:color w:val="000000"/>
          <w:sz w:val="24"/>
          <w:szCs w:val="24"/>
          <w:vertAlign w:val="superscript"/>
          <w:lang w:val="en-US"/>
        </w:rPr>
        <w:t>[15]</w:t>
      </w:r>
      <w:r>
        <w:rPr>
          <w:rFonts w:hint="default"/>
          <w:sz w:val="24"/>
          <w:szCs w:val="24"/>
          <w:lang w:val="en-US"/>
        </w:rPr>
        <w:t>.</w:t>
      </w:r>
      <w:r>
        <w:rPr>
          <w:sz w:val="24"/>
          <w:szCs w:val="24"/>
          <w:lang w:val="en-US"/>
        </w:rPr>
        <w:t xml:space="preserve"> </w:t>
      </w:r>
      <w:r>
        <w:rPr>
          <w:rFonts w:hint="default"/>
          <w:sz w:val="24"/>
          <w:szCs w:val="24"/>
          <w:lang w:val="en-US"/>
        </w:rPr>
        <w:t xml:space="preserve">It strengthens the spleen and replenishes </w:t>
      </w:r>
      <w:r w:rsidR="0051504C">
        <w:rPr>
          <w:rFonts w:hint="default"/>
          <w:sz w:val="24"/>
          <w:szCs w:val="24"/>
          <w:lang w:val="en-US"/>
        </w:rPr>
        <w:t>Q</w:t>
      </w:r>
      <w:r>
        <w:rPr>
          <w:rFonts w:hint="default"/>
          <w:sz w:val="24"/>
          <w:szCs w:val="24"/>
          <w:lang w:val="en-US"/>
        </w:rPr>
        <w:t xml:space="preserve">i, while eliminating dampness to relieve diarrhea. The formula is supplemented with </w:t>
      </w:r>
      <w:r w:rsidRPr="00647629">
        <w:rPr>
          <w:rFonts w:hint="default"/>
          <w:i/>
          <w:iCs/>
          <w:sz w:val="24"/>
          <w:szCs w:val="24"/>
          <w:lang w:val="en-US"/>
        </w:rPr>
        <w:t xml:space="preserve">Alisma </w:t>
      </w:r>
      <w:proofErr w:type="spellStart"/>
      <w:r w:rsidRPr="00647629">
        <w:rPr>
          <w:rFonts w:hint="default"/>
          <w:i/>
          <w:iCs/>
          <w:sz w:val="24"/>
          <w:szCs w:val="24"/>
          <w:lang w:val="en-US"/>
        </w:rPr>
        <w:t>plantago</w:t>
      </w:r>
      <w:proofErr w:type="spellEnd"/>
      <w:r w:rsidRPr="00647629">
        <w:rPr>
          <w:rFonts w:hint="default"/>
          <w:i/>
          <w:iCs/>
          <w:sz w:val="24"/>
          <w:szCs w:val="24"/>
          <w:lang w:val="en-US"/>
        </w:rPr>
        <w:t>-aquatica</w:t>
      </w:r>
      <w:r>
        <w:rPr>
          <w:rFonts w:hint="default"/>
          <w:sz w:val="24"/>
          <w:szCs w:val="24"/>
          <w:lang w:val="en-US"/>
        </w:rPr>
        <w:t xml:space="preserve"> and </w:t>
      </w:r>
      <w:r w:rsidRPr="00647629">
        <w:rPr>
          <w:rFonts w:hint="default"/>
          <w:i/>
          <w:iCs/>
          <w:sz w:val="24"/>
          <w:szCs w:val="24"/>
          <w:lang w:val="en-US"/>
        </w:rPr>
        <w:t xml:space="preserve">Polyporus </w:t>
      </w:r>
      <w:proofErr w:type="spellStart"/>
      <w:r w:rsidRPr="00647629">
        <w:rPr>
          <w:rFonts w:hint="default"/>
          <w:i/>
          <w:iCs/>
          <w:sz w:val="24"/>
          <w:szCs w:val="24"/>
          <w:lang w:val="en-US"/>
        </w:rPr>
        <w:t>umbellatus</w:t>
      </w:r>
      <w:proofErr w:type="spellEnd"/>
      <w:r>
        <w:rPr>
          <w:rFonts w:hint="default"/>
          <w:sz w:val="24"/>
          <w:szCs w:val="24"/>
          <w:lang w:val="en-US"/>
        </w:rPr>
        <w:t xml:space="preserve"> to promote diuresis and resolve dampness, and Cinnamon Twig (</w:t>
      </w:r>
      <w:r w:rsidRPr="00647629">
        <w:rPr>
          <w:rFonts w:hint="default"/>
          <w:i/>
          <w:iCs/>
          <w:sz w:val="24"/>
          <w:szCs w:val="24"/>
          <w:lang w:val="en-US"/>
        </w:rPr>
        <w:t>Cinnamomum cassia</w:t>
      </w:r>
      <w:r>
        <w:rPr>
          <w:rFonts w:hint="default"/>
          <w:sz w:val="24"/>
          <w:szCs w:val="24"/>
          <w:lang w:val="en-US"/>
        </w:rPr>
        <w:t xml:space="preserve">) to warm yang and transform </w:t>
      </w:r>
      <w:r w:rsidR="0007775F">
        <w:rPr>
          <w:rFonts w:hint="default"/>
          <w:sz w:val="24"/>
          <w:szCs w:val="24"/>
          <w:lang w:val="en-US"/>
        </w:rPr>
        <w:t>Q</w:t>
      </w:r>
      <w:r>
        <w:rPr>
          <w:rFonts w:hint="default"/>
          <w:sz w:val="24"/>
          <w:szCs w:val="24"/>
          <w:lang w:val="en-US"/>
        </w:rPr>
        <w:t xml:space="preserve">i, collectively achieving the therapeutic effect of </w:t>
      </w:r>
      <w:r w:rsidR="000E4DA4">
        <w:rPr>
          <w:rFonts w:hint="default"/>
          <w:sz w:val="24"/>
          <w:szCs w:val="24"/>
          <w:lang w:val="en-US"/>
        </w:rPr>
        <w:t>“</w:t>
      </w:r>
      <w:r>
        <w:rPr>
          <w:rFonts w:hint="default"/>
          <w:sz w:val="24"/>
          <w:szCs w:val="24"/>
          <w:lang w:val="en-US"/>
        </w:rPr>
        <w:t>strengthening earth to generate metal</w:t>
      </w:r>
      <w:r w:rsidR="00C07B2C">
        <w:rPr>
          <w:rFonts w:hint="default"/>
          <w:sz w:val="24"/>
          <w:szCs w:val="24"/>
          <w:lang w:val="en-US"/>
        </w:rPr>
        <w:t xml:space="preserve"> </w:t>
      </w:r>
      <w:r>
        <w:rPr>
          <w:rFonts w:hint="default"/>
          <w:color w:val="000000"/>
          <w:sz w:val="24"/>
          <w:szCs w:val="24"/>
          <w:vertAlign w:val="superscript"/>
          <w:lang w:val="en-US"/>
        </w:rPr>
        <w:t>[14</w:t>
      </w:r>
      <w:r w:rsidR="00C07B2C">
        <w:rPr>
          <w:rFonts w:hint="default"/>
          <w:color w:val="000000"/>
          <w:sz w:val="24"/>
          <w:szCs w:val="24"/>
          <w:vertAlign w:val="superscript"/>
          <w:lang w:val="en-US"/>
        </w:rPr>
        <w:t>,</w:t>
      </w:r>
      <w:r>
        <w:rPr>
          <w:rFonts w:hint="default"/>
          <w:color w:val="000000"/>
          <w:sz w:val="24"/>
          <w:szCs w:val="24"/>
          <w:vertAlign w:val="superscript"/>
          <w:lang w:val="en-US"/>
        </w:rPr>
        <w:t>15]</w:t>
      </w:r>
      <w:r w:rsidR="000E4DA4">
        <w:rPr>
          <w:rFonts w:hint="default"/>
          <w:sz w:val="24"/>
          <w:szCs w:val="24"/>
          <w:lang w:val="en-US"/>
        </w:rPr>
        <w:t>”</w:t>
      </w:r>
      <w:r w:rsidR="0051504C">
        <w:rPr>
          <w:rFonts w:hint="default"/>
          <w:sz w:val="24"/>
          <w:szCs w:val="24"/>
          <w:lang w:val="en-US"/>
        </w:rPr>
        <w:t>.</w:t>
      </w:r>
    </w:p>
    <w:p w14:paraId="373A5FA2" w14:textId="0D10F34D" w:rsidR="00667E00" w:rsidRDefault="001317D9" w:rsidP="00647629">
      <w:pPr>
        <w:pStyle w:val="a"/>
        <w:snapToGrid w:val="0"/>
        <w:spacing w:line="240" w:lineRule="auto"/>
        <w:ind w:firstLine="480"/>
        <w:rPr>
          <w:rFonts w:hint="default"/>
          <w:color w:val="000000"/>
          <w:sz w:val="24"/>
          <w:szCs w:val="24"/>
          <w:lang w:val="en-US"/>
        </w:rPr>
      </w:pPr>
      <w:r>
        <w:rPr>
          <w:rFonts w:hint="default"/>
          <w:color w:val="000000"/>
          <w:sz w:val="24"/>
          <w:szCs w:val="24"/>
          <w:lang w:val="en-US"/>
        </w:rPr>
        <w:t xml:space="preserve">Pharmacological analysis revealed that the active components of the modified </w:t>
      </w:r>
      <w:proofErr w:type="spellStart"/>
      <w:r>
        <w:rPr>
          <w:rFonts w:hint="default"/>
          <w:color w:val="000000"/>
          <w:sz w:val="24"/>
          <w:szCs w:val="24"/>
          <w:lang w:val="en-US"/>
        </w:rPr>
        <w:t>Shenling</w:t>
      </w:r>
      <w:proofErr w:type="spellEnd"/>
      <w:r>
        <w:rPr>
          <w:rFonts w:hint="default"/>
          <w:color w:val="000000"/>
          <w:sz w:val="24"/>
          <w:szCs w:val="24"/>
          <w:lang w:val="en-US"/>
        </w:rPr>
        <w:t xml:space="preserve"> </w:t>
      </w:r>
      <w:proofErr w:type="spellStart"/>
      <w:r>
        <w:rPr>
          <w:rFonts w:hint="default"/>
          <w:color w:val="000000"/>
          <w:sz w:val="24"/>
          <w:szCs w:val="24"/>
          <w:lang w:val="en-US"/>
        </w:rPr>
        <w:t>Baizhu</w:t>
      </w:r>
      <w:proofErr w:type="spellEnd"/>
      <w:r>
        <w:rPr>
          <w:rFonts w:hint="default"/>
          <w:color w:val="000000"/>
          <w:sz w:val="24"/>
          <w:szCs w:val="24"/>
          <w:lang w:val="en-US"/>
        </w:rPr>
        <w:t xml:space="preserve"> Powder for treating obesity include </w:t>
      </w:r>
      <w:proofErr w:type="spellStart"/>
      <w:r>
        <w:rPr>
          <w:rFonts w:hint="default"/>
          <w:color w:val="000000"/>
          <w:sz w:val="24"/>
          <w:szCs w:val="24"/>
          <w:lang w:val="en-US"/>
        </w:rPr>
        <w:t>Dehydroglyasperin</w:t>
      </w:r>
      <w:proofErr w:type="spellEnd"/>
      <w:r>
        <w:rPr>
          <w:rFonts w:hint="default"/>
          <w:color w:val="000000"/>
          <w:sz w:val="24"/>
          <w:szCs w:val="24"/>
          <w:lang w:val="en-US"/>
        </w:rPr>
        <w:t xml:space="preserve"> C, </w:t>
      </w:r>
      <w:proofErr w:type="spellStart"/>
      <w:r>
        <w:rPr>
          <w:rFonts w:hint="default"/>
          <w:color w:val="000000"/>
          <w:sz w:val="24"/>
          <w:szCs w:val="24"/>
          <w:lang w:val="en-US"/>
        </w:rPr>
        <w:t>glycyroside</w:t>
      </w:r>
      <w:proofErr w:type="spellEnd"/>
      <w:r>
        <w:rPr>
          <w:rFonts w:hint="default"/>
          <w:color w:val="000000"/>
          <w:sz w:val="24"/>
          <w:szCs w:val="24"/>
          <w:lang w:val="en-US"/>
        </w:rPr>
        <w:t xml:space="preserve">, </w:t>
      </w:r>
      <w:proofErr w:type="spellStart"/>
      <w:r>
        <w:rPr>
          <w:rFonts w:hint="default"/>
          <w:color w:val="000000"/>
          <w:sz w:val="24"/>
          <w:szCs w:val="24"/>
          <w:lang w:val="en-US"/>
        </w:rPr>
        <w:t>Licoisoflavone</w:t>
      </w:r>
      <w:proofErr w:type="spellEnd"/>
      <w:r>
        <w:rPr>
          <w:rFonts w:hint="default"/>
          <w:color w:val="000000"/>
          <w:sz w:val="24"/>
          <w:szCs w:val="24"/>
          <w:lang w:val="en-US"/>
        </w:rPr>
        <w:t xml:space="preserve"> B, among others. These core active constituents primarily derive from </w:t>
      </w:r>
      <w:proofErr w:type="spellStart"/>
      <w:r w:rsidRPr="00647629">
        <w:rPr>
          <w:rFonts w:hint="default"/>
          <w:i/>
          <w:iCs/>
          <w:color w:val="000000"/>
          <w:sz w:val="24"/>
          <w:szCs w:val="24"/>
          <w:lang w:val="en-US"/>
        </w:rPr>
        <w:t>Atractylodes</w:t>
      </w:r>
      <w:proofErr w:type="spellEnd"/>
      <w:r w:rsidRPr="00647629">
        <w:rPr>
          <w:rFonts w:hint="default"/>
          <w:i/>
          <w:iCs/>
          <w:color w:val="000000"/>
          <w:sz w:val="24"/>
          <w:szCs w:val="24"/>
          <w:lang w:val="en-US"/>
        </w:rPr>
        <w:t xml:space="preserve"> </w:t>
      </w:r>
      <w:proofErr w:type="spellStart"/>
      <w:r w:rsidRPr="00647629">
        <w:rPr>
          <w:rFonts w:hint="default"/>
          <w:i/>
          <w:iCs/>
          <w:color w:val="000000"/>
          <w:sz w:val="24"/>
          <w:szCs w:val="24"/>
          <w:lang w:val="en-US"/>
        </w:rPr>
        <w:t>macrocephala</w:t>
      </w:r>
      <w:proofErr w:type="spellEnd"/>
      <w:r>
        <w:rPr>
          <w:rFonts w:hint="default"/>
          <w:color w:val="000000"/>
          <w:sz w:val="24"/>
          <w:szCs w:val="24"/>
          <w:lang w:val="en-US"/>
        </w:rPr>
        <w:t xml:space="preserve">, </w:t>
      </w:r>
      <w:r w:rsidRPr="00647629">
        <w:rPr>
          <w:rFonts w:hint="default"/>
          <w:i/>
          <w:iCs/>
          <w:color w:val="000000"/>
          <w:sz w:val="24"/>
          <w:szCs w:val="24"/>
          <w:lang w:val="en-US"/>
        </w:rPr>
        <w:t>Cinnamomum cassia</w:t>
      </w:r>
      <w:r>
        <w:rPr>
          <w:rFonts w:hint="default"/>
          <w:color w:val="000000"/>
          <w:sz w:val="24"/>
          <w:szCs w:val="24"/>
          <w:lang w:val="en-US"/>
        </w:rPr>
        <w:t xml:space="preserve">, and </w:t>
      </w:r>
      <w:r w:rsidRPr="00647629">
        <w:rPr>
          <w:rFonts w:hint="default"/>
          <w:i/>
          <w:iCs/>
          <w:color w:val="000000"/>
          <w:sz w:val="24"/>
          <w:szCs w:val="24"/>
          <w:lang w:val="en-US"/>
        </w:rPr>
        <w:t xml:space="preserve">Glycyrrhiza </w:t>
      </w:r>
      <w:proofErr w:type="spellStart"/>
      <w:r w:rsidRPr="00647629">
        <w:rPr>
          <w:rFonts w:hint="default"/>
          <w:i/>
          <w:iCs/>
          <w:color w:val="000000"/>
          <w:sz w:val="24"/>
          <w:szCs w:val="24"/>
          <w:lang w:val="en-US"/>
        </w:rPr>
        <w:t>uralensis</w:t>
      </w:r>
      <w:proofErr w:type="spellEnd"/>
      <w:r>
        <w:rPr>
          <w:rFonts w:hint="default"/>
          <w:color w:val="000000"/>
          <w:sz w:val="24"/>
          <w:szCs w:val="24"/>
          <w:lang w:val="en-US"/>
        </w:rPr>
        <w:t>, highlighting their significance. Existing studies have demonstrated that Glycyrrhiza extract exhibits potent inhibitory effects on subcutaneous fat in sheep and significantly downregulates enzyme activity in lipid synthesis pathways</w:t>
      </w:r>
      <w:r w:rsidR="0007775F">
        <w:rPr>
          <w:rFonts w:hint="default"/>
          <w:color w:val="000000"/>
          <w:sz w:val="24"/>
          <w:szCs w:val="24"/>
          <w:lang w:val="en-US"/>
        </w:rPr>
        <w:t xml:space="preserve"> </w:t>
      </w:r>
      <w:r>
        <w:rPr>
          <w:rFonts w:hint="default"/>
          <w:color w:val="000000"/>
          <w:sz w:val="24"/>
          <w:szCs w:val="24"/>
          <w:vertAlign w:val="superscript"/>
          <w:lang w:val="en-US"/>
        </w:rPr>
        <w:t>[16]</w:t>
      </w:r>
      <w:r>
        <w:rPr>
          <w:rFonts w:hint="default"/>
          <w:color w:val="000000"/>
          <w:sz w:val="24"/>
          <w:szCs w:val="24"/>
          <w:lang w:val="en-US"/>
        </w:rPr>
        <w:t>.</w:t>
      </w:r>
      <w:r>
        <w:rPr>
          <w:color w:val="000000"/>
          <w:sz w:val="24"/>
          <w:szCs w:val="24"/>
          <w:lang w:val="en-US"/>
        </w:rPr>
        <w:t xml:space="preserve"> </w:t>
      </w:r>
      <w:r>
        <w:rPr>
          <w:rFonts w:hint="default"/>
          <w:color w:val="000000"/>
          <w:sz w:val="24"/>
          <w:szCs w:val="24"/>
          <w:lang w:val="en-US"/>
        </w:rPr>
        <w:t xml:space="preserve">Clinically, the development of obesity is attributed to multiple factors; therefore, it is recommended to tailor treatment regimens based on fundamental theories of Traditional Chinese Medicine and combine them with other herbal medicines to enhance efficacy and reduce side effects, thereby maximizing the therapeutic potential of </w:t>
      </w:r>
      <w:proofErr w:type="spellStart"/>
      <w:r w:rsidRPr="00647629">
        <w:rPr>
          <w:rFonts w:hint="default"/>
          <w:i/>
          <w:iCs/>
          <w:color w:val="000000"/>
          <w:sz w:val="24"/>
          <w:szCs w:val="24"/>
          <w:lang w:val="en-US"/>
        </w:rPr>
        <w:t>Atractylodes</w:t>
      </w:r>
      <w:proofErr w:type="spellEnd"/>
      <w:r w:rsidRPr="00647629">
        <w:rPr>
          <w:rFonts w:hint="default"/>
          <w:i/>
          <w:iCs/>
          <w:color w:val="000000"/>
          <w:sz w:val="24"/>
          <w:szCs w:val="24"/>
          <w:lang w:val="en-US"/>
        </w:rPr>
        <w:t xml:space="preserve"> </w:t>
      </w:r>
      <w:proofErr w:type="spellStart"/>
      <w:r w:rsidRPr="00647629">
        <w:rPr>
          <w:rFonts w:hint="default"/>
          <w:i/>
          <w:iCs/>
          <w:color w:val="000000"/>
          <w:sz w:val="24"/>
          <w:szCs w:val="24"/>
          <w:lang w:val="en-US"/>
        </w:rPr>
        <w:t>macrocephala</w:t>
      </w:r>
      <w:proofErr w:type="spellEnd"/>
      <w:r>
        <w:rPr>
          <w:rFonts w:hint="default"/>
          <w:color w:val="000000"/>
          <w:sz w:val="24"/>
          <w:szCs w:val="24"/>
          <w:lang w:val="en-US"/>
        </w:rPr>
        <w:t xml:space="preserve">, Cinnamon Twig Branch, and Licorice Root rather than using them alone. </w:t>
      </w:r>
      <w:proofErr w:type="spellStart"/>
      <w:r>
        <w:rPr>
          <w:rFonts w:hint="default"/>
          <w:color w:val="000000"/>
          <w:sz w:val="24"/>
          <w:szCs w:val="24"/>
          <w:lang w:val="en-US"/>
        </w:rPr>
        <w:t>Dehydroglyasperin</w:t>
      </w:r>
      <w:proofErr w:type="spellEnd"/>
      <w:r>
        <w:rPr>
          <w:rFonts w:hint="default"/>
          <w:color w:val="000000"/>
          <w:sz w:val="24"/>
          <w:szCs w:val="24"/>
          <w:lang w:val="en-US"/>
        </w:rPr>
        <w:t xml:space="preserve"> C, as an isoflavone, exhibits antioxidant, neuroprotective, cancer </w:t>
      </w:r>
      <w:proofErr w:type="spellStart"/>
      <w:r>
        <w:rPr>
          <w:rFonts w:hint="default"/>
          <w:color w:val="000000"/>
          <w:sz w:val="24"/>
          <w:szCs w:val="24"/>
          <w:lang w:val="en-US"/>
        </w:rPr>
        <w:t>chemopreventive</w:t>
      </w:r>
      <w:proofErr w:type="spellEnd"/>
      <w:r>
        <w:rPr>
          <w:rFonts w:hint="default"/>
          <w:color w:val="000000"/>
          <w:sz w:val="24"/>
          <w:szCs w:val="24"/>
          <w:lang w:val="en-US"/>
        </w:rPr>
        <w:t xml:space="preserve">, and anti-inflammatory properties, and serves as an effective inducer of both NAD(P)H: oxidoreductase (NQO1) and phase 2 enzymes. Within adipocytes, </w:t>
      </w:r>
      <w:proofErr w:type="spellStart"/>
      <w:r>
        <w:rPr>
          <w:rFonts w:hint="default"/>
          <w:color w:val="000000"/>
          <w:sz w:val="24"/>
          <w:szCs w:val="24"/>
          <w:lang w:val="en-US"/>
        </w:rPr>
        <w:t>Dehydroglyasperin</w:t>
      </w:r>
      <w:proofErr w:type="spellEnd"/>
      <w:r>
        <w:rPr>
          <w:rFonts w:hint="default"/>
          <w:color w:val="000000"/>
          <w:sz w:val="24"/>
          <w:szCs w:val="24"/>
          <w:lang w:val="en-US"/>
        </w:rPr>
        <w:t xml:space="preserve"> C enhances NQO1 activity, mitigating oxidative stress responses and inflammatory damage in adipocytes</w:t>
      </w:r>
      <w:r w:rsidR="0007775F">
        <w:rPr>
          <w:rFonts w:hint="default"/>
          <w:color w:val="000000"/>
          <w:sz w:val="24"/>
          <w:szCs w:val="24"/>
          <w:lang w:val="en-US"/>
        </w:rPr>
        <w:t xml:space="preserve"> </w:t>
      </w:r>
      <w:r>
        <w:rPr>
          <w:rFonts w:hint="default"/>
          <w:color w:val="000000"/>
          <w:sz w:val="24"/>
          <w:szCs w:val="24"/>
          <w:vertAlign w:val="superscript"/>
          <w:lang w:val="en-US"/>
        </w:rPr>
        <w:t>[17</w:t>
      </w:r>
      <w:r w:rsidR="0007775F">
        <w:rPr>
          <w:rFonts w:hint="default"/>
          <w:color w:val="000000"/>
          <w:sz w:val="24"/>
          <w:szCs w:val="24"/>
          <w:vertAlign w:val="superscript"/>
          <w:lang w:val="en-US"/>
        </w:rPr>
        <w:t>,</w:t>
      </w:r>
      <w:r>
        <w:rPr>
          <w:rFonts w:hint="default"/>
          <w:color w:val="000000"/>
          <w:sz w:val="24"/>
          <w:szCs w:val="24"/>
          <w:vertAlign w:val="superscript"/>
          <w:lang w:val="en-US"/>
        </w:rPr>
        <w:t>18]</w:t>
      </w:r>
      <w:r>
        <w:rPr>
          <w:rFonts w:hint="default"/>
          <w:color w:val="000000"/>
          <w:sz w:val="24"/>
          <w:szCs w:val="24"/>
          <w:lang w:val="en-US"/>
        </w:rPr>
        <w:t>.</w:t>
      </w:r>
      <w:r>
        <w:rPr>
          <w:color w:val="000000"/>
          <w:sz w:val="24"/>
          <w:szCs w:val="24"/>
          <w:lang w:val="en-US"/>
        </w:rPr>
        <w:t xml:space="preserve"> </w:t>
      </w:r>
      <w:r>
        <w:rPr>
          <w:rFonts w:hint="default"/>
          <w:color w:val="000000"/>
          <w:sz w:val="24"/>
          <w:szCs w:val="24"/>
          <w:lang w:val="en-US"/>
        </w:rPr>
        <w:t xml:space="preserve">Furthermore, studies have reported that isoflavones can improve insulin sensitivity, lipid levels, and fat metabolism, primarily by regulating four signaling pathways: miRNAs, AMPK, MCE, and </w:t>
      </w:r>
      <w:proofErr w:type="spellStart"/>
      <w:r>
        <w:rPr>
          <w:rFonts w:hint="default"/>
          <w:color w:val="000000"/>
          <w:sz w:val="24"/>
          <w:szCs w:val="24"/>
          <w:lang w:val="en-US"/>
        </w:rPr>
        <w:t>neuroregulation</w:t>
      </w:r>
      <w:proofErr w:type="spellEnd"/>
      <w:r w:rsidR="0007775F">
        <w:rPr>
          <w:rFonts w:hint="default"/>
          <w:color w:val="000000"/>
          <w:sz w:val="24"/>
          <w:szCs w:val="24"/>
          <w:lang w:val="en-US"/>
        </w:rPr>
        <w:t xml:space="preserve"> </w:t>
      </w:r>
      <w:r>
        <w:rPr>
          <w:rFonts w:hint="default"/>
          <w:color w:val="000000"/>
          <w:sz w:val="24"/>
          <w:szCs w:val="24"/>
          <w:vertAlign w:val="superscript"/>
          <w:lang w:val="en-US"/>
        </w:rPr>
        <w:t>[19]</w:t>
      </w:r>
      <w:r>
        <w:rPr>
          <w:rFonts w:hint="default"/>
          <w:color w:val="000000"/>
          <w:sz w:val="24"/>
          <w:szCs w:val="24"/>
          <w:lang w:val="en-US"/>
        </w:rPr>
        <w:t>.</w:t>
      </w:r>
      <w:r>
        <w:rPr>
          <w:color w:val="000000"/>
          <w:sz w:val="24"/>
          <w:szCs w:val="24"/>
          <w:lang w:val="en-US"/>
        </w:rPr>
        <w:t xml:space="preserve"> </w:t>
      </w:r>
      <w:r>
        <w:rPr>
          <w:rFonts w:hint="default"/>
          <w:color w:val="000000"/>
          <w:sz w:val="24"/>
          <w:szCs w:val="24"/>
          <w:lang w:val="en-US"/>
        </w:rPr>
        <w:t xml:space="preserve">As a flavonoid component of licorice, </w:t>
      </w:r>
      <w:proofErr w:type="spellStart"/>
      <w:r>
        <w:rPr>
          <w:rFonts w:hint="default"/>
          <w:color w:val="000000"/>
          <w:sz w:val="24"/>
          <w:szCs w:val="24"/>
          <w:lang w:val="en-US"/>
        </w:rPr>
        <w:t>glycyroside</w:t>
      </w:r>
      <w:proofErr w:type="spellEnd"/>
      <w:r>
        <w:rPr>
          <w:rFonts w:hint="default"/>
          <w:color w:val="000000"/>
          <w:sz w:val="24"/>
          <w:szCs w:val="24"/>
          <w:lang w:val="en-US"/>
        </w:rPr>
        <w:t xml:space="preserve"> exhibits antibacterial, anti-inflammatory, antioxidant, and anti-atherosclerotic effects. Existing studies have demonstrated that </w:t>
      </w:r>
      <w:proofErr w:type="spellStart"/>
      <w:r>
        <w:rPr>
          <w:rFonts w:hint="default"/>
          <w:color w:val="000000"/>
          <w:sz w:val="24"/>
          <w:szCs w:val="24"/>
          <w:lang w:val="en-US"/>
        </w:rPr>
        <w:t>glycyroside</w:t>
      </w:r>
      <w:proofErr w:type="spellEnd"/>
      <w:r>
        <w:rPr>
          <w:rFonts w:hint="default"/>
          <w:color w:val="000000"/>
          <w:sz w:val="24"/>
          <w:szCs w:val="24"/>
          <w:lang w:val="en-US"/>
        </w:rPr>
        <w:t xml:space="preserve"> significantly reduces body weight in obese rats, suppresses insulin resistance, and attenuates oxidative stress responses induced by obesity</w:t>
      </w:r>
      <w:r w:rsidR="0007775F">
        <w:rPr>
          <w:rFonts w:hint="default"/>
          <w:color w:val="000000"/>
          <w:sz w:val="24"/>
          <w:szCs w:val="24"/>
          <w:lang w:val="en-US"/>
        </w:rPr>
        <w:t xml:space="preserve"> </w:t>
      </w:r>
      <w:r>
        <w:rPr>
          <w:rFonts w:hint="default"/>
          <w:color w:val="000000"/>
          <w:sz w:val="24"/>
          <w:szCs w:val="24"/>
          <w:vertAlign w:val="superscript"/>
          <w:lang w:val="en-US"/>
        </w:rPr>
        <w:t>[20]</w:t>
      </w:r>
      <w:r>
        <w:rPr>
          <w:rFonts w:hint="default"/>
          <w:color w:val="000000"/>
          <w:sz w:val="24"/>
          <w:szCs w:val="24"/>
          <w:lang w:val="en-US"/>
        </w:rPr>
        <w:t>.</w:t>
      </w:r>
      <w:r>
        <w:rPr>
          <w:color w:val="000000"/>
          <w:sz w:val="24"/>
          <w:szCs w:val="24"/>
          <w:lang w:val="en-US"/>
        </w:rPr>
        <w:t xml:space="preserve"> </w:t>
      </w:r>
      <w:r>
        <w:rPr>
          <w:rFonts w:hint="default"/>
          <w:color w:val="000000"/>
          <w:sz w:val="24"/>
          <w:szCs w:val="24"/>
          <w:lang w:val="en-US"/>
        </w:rPr>
        <w:t>Among the key targets, PIK3 serves as a core component of the PI3K-Akt signaling pathway. It is primarily composed of two subunits: p110 and p85, with PIK3CA encoding the catalytic subunit p110α and PIK3R1 encoding the regulatory subunit p85α. As a critical downstream effector of the insulin receptor, PIK3 facilitates the translocation of the glucose transporter GLUT4 to the cell membrane; proper functioning of this pathway is essential for maintaining systemic insulin sensitivity. Studies have shown that w</w:t>
      </w:r>
      <w:r>
        <w:rPr>
          <w:rFonts w:hint="default"/>
          <w:color w:val="000000"/>
          <w:sz w:val="24"/>
          <w:szCs w:val="24"/>
          <w:lang w:val="en-US"/>
        </w:rPr>
        <w:t>hile mutations in the PIK3R1 gene still enable stable p110 subunit formation, they impair its ability to inhibit p110 enzyme activity, thereby enhancing PI3K activity and promoting cellular malignant transformation</w:t>
      </w:r>
      <w:r w:rsidR="0007775F">
        <w:rPr>
          <w:rFonts w:hint="default"/>
          <w:color w:val="000000"/>
          <w:sz w:val="24"/>
          <w:szCs w:val="24"/>
          <w:lang w:val="en-US"/>
        </w:rPr>
        <w:t xml:space="preserve"> </w:t>
      </w:r>
      <w:r>
        <w:rPr>
          <w:rFonts w:hint="default"/>
          <w:color w:val="000000"/>
          <w:sz w:val="24"/>
          <w:szCs w:val="24"/>
          <w:vertAlign w:val="superscript"/>
          <w:lang w:val="en-US"/>
        </w:rPr>
        <w:t>[21]</w:t>
      </w:r>
      <w:r>
        <w:rPr>
          <w:rFonts w:hint="default"/>
          <w:color w:val="000000"/>
          <w:sz w:val="24"/>
          <w:szCs w:val="24"/>
          <w:lang w:val="en-US"/>
        </w:rPr>
        <w:t>.</w:t>
      </w:r>
      <w:r>
        <w:rPr>
          <w:color w:val="000000"/>
          <w:sz w:val="24"/>
          <w:szCs w:val="24"/>
          <w:lang w:val="en-US"/>
        </w:rPr>
        <w:t xml:space="preserve"> </w:t>
      </w:r>
      <w:r>
        <w:rPr>
          <w:rFonts w:hint="default"/>
          <w:color w:val="000000"/>
          <w:sz w:val="24"/>
          <w:szCs w:val="24"/>
          <w:lang w:val="en-US"/>
        </w:rPr>
        <w:t>As the catalytic subunit of PIK3, dysfunction of PIK3CA leads to inhibition of the PIK3/AKT signaling pathway, resulting in disturbances in lipid and glucose metabolism</w:t>
      </w:r>
      <w:r w:rsidR="0007775F">
        <w:rPr>
          <w:rFonts w:hint="default"/>
          <w:color w:val="000000"/>
          <w:sz w:val="24"/>
          <w:szCs w:val="24"/>
          <w:lang w:val="en-US"/>
        </w:rPr>
        <w:t xml:space="preserve"> </w:t>
      </w:r>
      <w:r w:rsidR="0007775F">
        <w:rPr>
          <w:rFonts w:hint="default"/>
          <w:color w:val="000000"/>
          <w:sz w:val="24"/>
          <w:szCs w:val="24"/>
          <w:vertAlign w:val="superscript"/>
          <w:lang w:val="en-US"/>
        </w:rPr>
        <w:t>[22]</w:t>
      </w:r>
      <w:r>
        <w:rPr>
          <w:rFonts w:hint="default"/>
          <w:color w:val="000000"/>
          <w:sz w:val="24"/>
          <w:szCs w:val="24"/>
          <w:lang w:val="en-US"/>
        </w:rPr>
        <w:t>.</w:t>
      </w:r>
      <w:r>
        <w:rPr>
          <w:color w:val="000000"/>
          <w:sz w:val="24"/>
          <w:szCs w:val="24"/>
          <w:lang w:val="en-US"/>
        </w:rPr>
        <w:t xml:space="preserve"> </w:t>
      </w:r>
      <w:r>
        <w:rPr>
          <w:rFonts w:hint="default"/>
          <w:color w:val="000000"/>
          <w:sz w:val="24"/>
          <w:szCs w:val="24"/>
          <w:lang w:val="en-US"/>
        </w:rPr>
        <w:t xml:space="preserve">As a coactivator of the P160 family and a key regulatory factor in maintaining </w:t>
      </w:r>
      <w:r>
        <w:rPr>
          <w:rFonts w:hint="default"/>
          <w:color w:val="000000"/>
          <w:sz w:val="24"/>
          <w:szCs w:val="24"/>
          <w:lang w:val="en-US"/>
        </w:rPr>
        <w:lastRenderedPageBreak/>
        <w:t>systemic energy homeostasis, SRC regulates the expression of numerous critical metabolic enzymes. There are three main types of SRC: SRC-1 collaboratively activates CEBPα, promoting transcription of key enzymes in the gluconeogenesis pathway; SRC-2 not only enhances insulin sensitivity, stimulates fat breakdown, and reduces fat uptake, but also activates NR1H4 to promote ABCB11 expression, thereby maintaining systemic energy home</w:t>
      </w:r>
      <w:r>
        <w:rPr>
          <w:rFonts w:hint="default"/>
          <w:color w:val="000000"/>
          <w:sz w:val="24"/>
          <w:szCs w:val="24"/>
          <w:lang w:val="en-US"/>
        </w:rPr>
        <w:t>ostasis; SRC-3 is involved not only in white adipocyte regulation but also in modulating SLC25A20 expression</w:t>
      </w:r>
      <w:r w:rsidR="0007775F">
        <w:rPr>
          <w:rFonts w:hint="default"/>
          <w:color w:val="000000"/>
          <w:sz w:val="24"/>
          <w:szCs w:val="24"/>
          <w:lang w:val="en-US"/>
        </w:rPr>
        <w:t xml:space="preserve"> </w:t>
      </w:r>
      <w:r>
        <w:rPr>
          <w:rFonts w:hint="default"/>
          <w:color w:val="000000"/>
          <w:sz w:val="24"/>
          <w:szCs w:val="24"/>
          <w:vertAlign w:val="superscript"/>
          <w:lang w:val="en-US"/>
        </w:rPr>
        <w:t>[23]</w:t>
      </w:r>
      <w:r>
        <w:rPr>
          <w:rFonts w:hint="default"/>
          <w:color w:val="000000"/>
          <w:sz w:val="24"/>
          <w:szCs w:val="24"/>
          <w:lang w:val="en-US"/>
        </w:rPr>
        <w:t>.</w:t>
      </w:r>
      <w:r>
        <w:rPr>
          <w:color w:val="000000"/>
          <w:sz w:val="24"/>
          <w:szCs w:val="24"/>
          <w:lang w:val="en-US"/>
        </w:rPr>
        <w:t xml:space="preserve"> </w:t>
      </w:r>
      <w:r>
        <w:rPr>
          <w:rFonts w:hint="default"/>
          <w:color w:val="000000"/>
          <w:sz w:val="24"/>
          <w:szCs w:val="24"/>
          <w:lang w:val="en-US"/>
        </w:rPr>
        <w:t>This indicates that PIK3R1, PIK3CA, and SRC are all closely associated with the onset and progression of obesity.</w:t>
      </w:r>
    </w:p>
    <w:p w14:paraId="373A5FA3" w14:textId="0AA9E946" w:rsidR="00667E00" w:rsidRDefault="001317D9" w:rsidP="00647629">
      <w:pPr>
        <w:pStyle w:val="a"/>
        <w:snapToGrid w:val="0"/>
        <w:spacing w:line="240" w:lineRule="auto"/>
        <w:ind w:firstLine="480"/>
        <w:rPr>
          <w:rFonts w:hint="default"/>
          <w:color w:val="000000"/>
          <w:sz w:val="24"/>
          <w:szCs w:val="24"/>
          <w:lang w:val="en-US"/>
        </w:rPr>
      </w:pPr>
      <w:r>
        <w:rPr>
          <w:rFonts w:hint="default"/>
          <w:color w:val="000000"/>
          <w:sz w:val="24"/>
          <w:szCs w:val="24"/>
          <w:lang w:val="en-US"/>
        </w:rPr>
        <w:t>It is worth noting that numerous research reports have consistently demonstrated the importance of drug compatibility, as exemplified by Hu Fang et al.</w:t>
      </w:r>
      <w:r w:rsidR="0007775F">
        <w:rPr>
          <w:rFonts w:hint="default"/>
          <w:color w:val="000000"/>
          <w:sz w:val="24"/>
          <w:szCs w:val="24"/>
          <w:vertAlign w:val="superscript"/>
          <w:lang w:val="en-US"/>
        </w:rPr>
        <w:t xml:space="preserve">, </w:t>
      </w:r>
      <w:r w:rsidR="0007775F">
        <w:rPr>
          <w:rFonts w:hint="default"/>
          <w:color w:val="000000"/>
          <w:sz w:val="24"/>
          <w:szCs w:val="24"/>
          <w:lang w:val="en-US"/>
        </w:rPr>
        <w:t>s</w:t>
      </w:r>
      <w:r>
        <w:rPr>
          <w:rFonts w:hint="default"/>
          <w:color w:val="000000"/>
          <w:sz w:val="24"/>
          <w:szCs w:val="24"/>
          <w:lang w:val="en-US"/>
        </w:rPr>
        <w:t xml:space="preserve">tudies have shown that </w:t>
      </w:r>
      <w:r w:rsidR="000E4DA4">
        <w:rPr>
          <w:rFonts w:hint="default"/>
          <w:color w:val="000000"/>
          <w:sz w:val="24"/>
          <w:szCs w:val="24"/>
          <w:lang w:val="en-US"/>
        </w:rPr>
        <w:t>“</w:t>
      </w:r>
      <w:r>
        <w:rPr>
          <w:rFonts w:hint="default"/>
          <w:color w:val="000000"/>
          <w:sz w:val="24"/>
          <w:szCs w:val="24"/>
          <w:lang w:val="en-US"/>
        </w:rPr>
        <w:t>licorice</w:t>
      </w:r>
      <w:r w:rsidR="000E4DA4">
        <w:rPr>
          <w:rFonts w:hint="default"/>
          <w:color w:val="000000"/>
          <w:sz w:val="24"/>
          <w:szCs w:val="24"/>
          <w:lang w:val="en-US"/>
        </w:rPr>
        <w:t>”</w:t>
      </w:r>
      <w:r>
        <w:rPr>
          <w:rFonts w:hint="default"/>
          <w:color w:val="000000"/>
          <w:sz w:val="24"/>
          <w:szCs w:val="24"/>
          <w:lang w:val="en-US"/>
        </w:rPr>
        <w:t xml:space="preserve"> can be combined with </w:t>
      </w:r>
      <w:r w:rsidR="000E4DA4">
        <w:rPr>
          <w:rFonts w:hint="default"/>
          <w:color w:val="000000"/>
          <w:sz w:val="24"/>
          <w:szCs w:val="24"/>
          <w:lang w:val="en-US"/>
        </w:rPr>
        <w:t>“</w:t>
      </w:r>
      <w:r>
        <w:rPr>
          <w:rFonts w:hint="default"/>
          <w:color w:val="000000"/>
          <w:sz w:val="24"/>
          <w:szCs w:val="24"/>
          <w:lang w:val="en-US"/>
        </w:rPr>
        <w:t>angelica</w:t>
      </w:r>
      <w:r w:rsidR="000E4DA4">
        <w:rPr>
          <w:rFonts w:hint="default"/>
          <w:color w:val="000000"/>
          <w:sz w:val="24"/>
          <w:szCs w:val="24"/>
          <w:lang w:val="en-US"/>
        </w:rPr>
        <w:t>”</w:t>
      </w:r>
      <w:r>
        <w:rPr>
          <w:rFonts w:hint="default"/>
          <w:color w:val="000000"/>
          <w:sz w:val="24"/>
          <w:szCs w:val="24"/>
          <w:lang w:val="en-US"/>
        </w:rPr>
        <w:t xml:space="preserve"> and </w:t>
      </w:r>
      <w:r w:rsidR="000E4DA4">
        <w:rPr>
          <w:rFonts w:hint="default"/>
          <w:color w:val="000000"/>
          <w:sz w:val="24"/>
          <w:szCs w:val="24"/>
          <w:lang w:val="en-US"/>
        </w:rPr>
        <w:t>“</w:t>
      </w:r>
      <w:r>
        <w:rPr>
          <w:rFonts w:hint="default"/>
          <w:color w:val="000000"/>
          <w:sz w:val="24"/>
          <w:szCs w:val="24"/>
          <w:lang w:val="en-US"/>
        </w:rPr>
        <w:t>white peony root</w:t>
      </w:r>
      <w:r w:rsidR="000E4DA4">
        <w:rPr>
          <w:rFonts w:hint="default"/>
          <w:color w:val="000000"/>
          <w:sz w:val="24"/>
          <w:szCs w:val="24"/>
          <w:lang w:val="en-US"/>
        </w:rPr>
        <w:t>”</w:t>
      </w:r>
      <w:r>
        <w:rPr>
          <w:rFonts w:hint="default"/>
          <w:color w:val="000000"/>
          <w:sz w:val="24"/>
          <w:szCs w:val="24"/>
          <w:lang w:val="en-US"/>
        </w:rPr>
        <w:t xml:space="preserve"> to promote </w:t>
      </w:r>
      <w:r w:rsidR="0007775F">
        <w:rPr>
          <w:rFonts w:hint="default"/>
          <w:color w:val="000000"/>
          <w:sz w:val="24"/>
          <w:szCs w:val="24"/>
          <w:lang w:val="en-US"/>
        </w:rPr>
        <w:t>Q</w:t>
      </w:r>
      <w:r w:rsidR="0007775F">
        <w:rPr>
          <w:rFonts w:hint="default"/>
          <w:color w:val="000000"/>
          <w:sz w:val="24"/>
          <w:szCs w:val="24"/>
          <w:lang w:val="en-US"/>
        </w:rPr>
        <w:t xml:space="preserve">i </w:t>
      </w:r>
      <w:r>
        <w:rPr>
          <w:rFonts w:hint="default"/>
          <w:color w:val="000000"/>
          <w:sz w:val="24"/>
          <w:szCs w:val="24"/>
          <w:lang w:val="en-US"/>
        </w:rPr>
        <w:t xml:space="preserve">circulation, activate blood flow, and resolve stasis; </w:t>
      </w:r>
      <w:r w:rsidR="000E4DA4">
        <w:rPr>
          <w:rFonts w:hint="default"/>
          <w:color w:val="000000"/>
          <w:sz w:val="24"/>
          <w:szCs w:val="24"/>
          <w:lang w:val="en-US"/>
        </w:rPr>
        <w:t>“</w:t>
      </w:r>
      <w:r>
        <w:rPr>
          <w:rFonts w:hint="default"/>
          <w:color w:val="000000"/>
          <w:sz w:val="24"/>
          <w:szCs w:val="24"/>
          <w:lang w:val="en-US"/>
        </w:rPr>
        <w:t xml:space="preserve">white </w:t>
      </w:r>
      <w:proofErr w:type="spellStart"/>
      <w:r>
        <w:rPr>
          <w:rFonts w:hint="default"/>
          <w:color w:val="000000"/>
          <w:sz w:val="24"/>
          <w:szCs w:val="24"/>
          <w:lang w:val="en-US"/>
        </w:rPr>
        <w:t>atractylodes</w:t>
      </w:r>
      <w:proofErr w:type="spellEnd"/>
      <w:r w:rsidR="000E4DA4">
        <w:rPr>
          <w:rFonts w:hint="default"/>
          <w:color w:val="000000"/>
          <w:sz w:val="24"/>
          <w:szCs w:val="24"/>
          <w:lang w:val="en-US"/>
        </w:rPr>
        <w:t>”</w:t>
      </w:r>
      <w:r>
        <w:rPr>
          <w:rFonts w:hint="default"/>
          <w:color w:val="000000"/>
          <w:sz w:val="24"/>
          <w:szCs w:val="24"/>
          <w:lang w:val="en-US"/>
        </w:rPr>
        <w:t xml:space="preserve"> possesses the effects of strengthening the spleen, replenishing </w:t>
      </w:r>
      <w:r w:rsidR="0051504C">
        <w:rPr>
          <w:rFonts w:hint="default"/>
          <w:color w:val="000000"/>
          <w:sz w:val="24"/>
          <w:szCs w:val="24"/>
          <w:lang w:val="en-US"/>
        </w:rPr>
        <w:t>Q</w:t>
      </w:r>
      <w:r>
        <w:rPr>
          <w:rFonts w:hint="default"/>
          <w:color w:val="000000"/>
          <w:sz w:val="24"/>
          <w:szCs w:val="24"/>
          <w:lang w:val="en-US"/>
        </w:rPr>
        <w:t xml:space="preserve">i, drying dampness, and promoting diuresis; it can also be paired with </w:t>
      </w:r>
      <w:r w:rsidR="000E4DA4">
        <w:rPr>
          <w:rFonts w:hint="default"/>
          <w:color w:val="000000"/>
          <w:sz w:val="24"/>
          <w:szCs w:val="24"/>
          <w:lang w:val="en-US"/>
        </w:rPr>
        <w:t>“</w:t>
      </w:r>
      <w:proofErr w:type="spellStart"/>
      <w:r>
        <w:rPr>
          <w:rFonts w:hint="default"/>
          <w:color w:val="000000"/>
          <w:sz w:val="24"/>
          <w:szCs w:val="24"/>
          <w:lang w:val="en-US"/>
        </w:rPr>
        <w:t>poria</w:t>
      </w:r>
      <w:proofErr w:type="spellEnd"/>
      <w:r w:rsidR="000E4DA4">
        <w:rPr>
          <w:rFonts w:hint="default"/>
          <w:color w:val="000000"/>
          <w:sz w:val="24"/>
          <w:szCs w:val="24"/>
          <w:lang w:val="en-US"/>
        </w:rPr>
        <w:t>”</w:t>
      </w:r>
      <w:r>
        <w:rPr>
          <w:rFonts w:hint="default"/>
          <w:color w:val="000000"/>
          <w:sz w:val="24"/>
          <w:szCs w:val="24"/>
          <w:lang w:val="en-US"/>
        </w:rPr>
        <w:t xml:space="preserve"> and </w:t>
      </w:r>
      <w:r w:rsidR="000E4DA4">
        <w:rPr>
          <w:rFonts w:hint="default"/>
          <w:color w:val="000000"/>
          <w:sz w:val="24"/>
          <w:szCs w:val="24"/>
          <w:lang w:val="en-US"/>
        </w:rPr>
        <w:t>“</w:t>
      </w:r>
      <w:r>
        <w:rPr>
          <w:rFonts w:hint="default"/>
          <w:color w:val="000000"/>
          <w:sz w:val="24"/>
          <w:szCs w:val="24"/>
          <w:lang w:val="en-US"/>
        </w:rPr>
        <w:t>alisma</w:t>
      </w:r>
      <w:r w:rsidR="000E4DA4">
        <w:rPr>
          <w:rFonts w:hint="default"/>
          <w:color w:val="000000"/>
          <w:sz w:val="24"/>
          <w:szCs w:val="24"/>
          <w:lang w:val="en-US"/>
        </w:rPr>
        <w:t>”</w:t>
      </w:r>
      <w:r>
        <w:rPr>
          <w:rFonts w:hint="default"/>
          <w:color w:val="000000"/>
          <w:sz w:val="24"/>
          <w:szCs w:val="24"/>
          <w:lang w:val="en-US"/>
        </w:rPr>
        <w:t xml:space="preserve"> to enhance spleen function, eliminate dampness, and facilitate urination</w:t>
      </w:r>
      <w:r w:rsidR="0007775F">
        <w:rPr>
          <w:rFonts w:hint="default"/>
          <w:color w:val="000000"/>
          <w:sz w:val="24"/>
          <w:szCs w:val="24"/>
          <w:lang w:val="en-US"/>
        </w:rPr>
        <w:t xml:space="preserve"> </w:t>
      </w:r>
      <w:r w:rsidR="0007775F">
        <w:rPr>
          <w:rFonts w:hint="default"/>
          <w:color w:val="000000"/>
          <w:sz w:val="24"/>
          <w:szCs w:val="24"/>
          <w:vertAlign w:val="superscript"/>
          <w:lang w:val="en-US"/>
        </w:rPr>
        <w:t>[24]</w:t>
      </w:r>
      <w:r>
        <w:rPr>
          <w:rFonts w:hint="default"/>
          <w:color w:val="000000"/>
          <w:sz w:val="24"/>
          <w:szCs w:val="24"/>
          <w:lang w:val="en-US"/>
        </w:rPr>
        <w:t xml:space="preserve">. This is consistent with the pathogenesis of obesity characterized by </w:t>
      </w:r>
      <w:r w:rsidR="000E4DA4">
        <w:rPr>
          <w:rFonts w:hint="default"/>
          <w:color w:val="000000"/>
          <w:sz w:val="24"/>
          <w:szCs w:val="24"/>
          <w:lang w:val="en-US"/>
        </w:rPr>
        <w:t>“</w:t>
      </w:r>
      <w:r>
        <w:rPr>
          <w:rFonts w:hint="default"/>
          <w:color w:val="000000"/>
          <w:sz w:val="24"/>
          <w:szCs w:val="24"/>
          <w:lang w:val="en-US"/>
        </w:rPr>
        <w:t>deficiency at the root and excess at the surface</w:t>
      </w:r>
      <w:r w:rsidR="0007775F">
        <w:rPr>
          <w:rFonts w:hint="default"/>
          <w:color w:val="000000"/>
          <w:sz w:val="24"/>
          <w:szCs w:val="24"/>
          <w:lang w:val="en-US"/>
        </w:rPr>
        <w:t xml:space="preserve"> </w:t>
      </w:r>
      <w:r>
        <w:rPr>
          <w:rFonts w:hint="default"/>
          <w:color w:val="000000"/>
          <w:sz w:val="24"/>
          <w:szCs w:val="24"/>
          <w:vertAlign w:val="superscript"/>
          <w:lang w:val="en-US"/>
        </w:rPr>
        <w:t>[24</w:t>
      </w:r>
      <w:r w:rsidR="0007775F">
        <w:rPr>
          <w:rFonts w:hint="default"/>
          <w:color w:val="000000"/>
          <w:sz w:val="24"/>
          <w:szCs w:val="24"/>
          <w:vertAlign w:val="superscript"/>
          <w:lang w:val="en-US"/>
        </w:rPr>
        <w:t>,</w:t>
      </w:r>
      <w:r>
        <w:rPr>
          <w:rFonts w:hint="default"/>
          <w:color w:val="000000"/>
          <w:sz w:val="24"/>
          <w:szCs w:val="24"/>
          <w:vertAlign w:val="superscript"/>
          <w:lang w:val="en-US"/>
        </w:rPr>
        <w:t>25</w:t>
      </w:r>
      <w:proofErr w:type="gramStart"/>
      <w:r>
        <w:rPr>
          <w:rFonts w:hint="default"/>
          <w:color w:val="000000"/>
          <w:sz w:val="24"/>
          <w:szCs w:val="24"/>
          <w:vertAlign w:val="superscript"/>
          <w:lang w:val="en-US"/>
        </w:rPr>
        <w:t>]</w:t>
      </w:r>
      <w:r>
        <w:rPr>
          <w:color w:val="000000"/>
          <w:sz w:val="24"/>
          <w:szCs w:val="24"/>
          <w:vertAlign w:val="superscript"/>
          <w:lang w:val="en-US"/>
        </w:rPr>
        <w:t xml:space="preserve"> </w:t>
      </w:r>
      <w:r w:rsidR="000E4DA4">
        <w:rPr>
          <w:rFonts w:hint="default"/>
          <w:color w:val="000000"/>
          <w:sz w:val="24"/>
          <w:szCs w:val="24"/>
          <w:lang w:val="en-US"/>
        </w:rPr>
        <w:t>”</w:t>
      </w:r>
      <w:proofErr w:type="gramEnd"/>
      <w:r w:rsidR="0007775F">
        <w:rPr>
          <w:rFonts w:hint="default"/>
          <w:color w:val="000000"/>
          <w:sz w:val="24"/>
          <w:szCs w:val="24"/>
          <w:lang w:val="en-US"/>
        </w:rPr>
        <w:t>.</w:t>
      </w:r>
      <w:r>
        <w:rPr>
          <w:color w:val="000000"/>
          <w:sz w:val="24"/>
          <w:szCs w:val="24"/>
          <w:lang w:val="en-US"/>
        </w:rPr>
        <w:t xml:space="preserve"> </w:t>
      </w:r>
      <w:r>
        <w:rPr>
          <w:rFonts w:hint="default"/>
          <w:color w:val="000000"/>
          <w:sz w:val="24"/>
          <w:szCs w:val="24"/>
          <w:lang w:val="en-US"/>
        </w:rPr>
        <w:t xml:space="preserve">This approach can effectively target obesity. Additionally, both </w:t>
      </w:r>
      <w:r w:rsidRPr="00647629">
        <w:rPr>
          <w:rFonts w:hint="default"/>
          <w:i/>
          <w:iCs/>
          <w:color w:val="000000"/>
          <w:sz w:val="24"/>
          <w:szCs w:val="24"/>
          <w:lang w:val="en-US"/>
        </w:rPr>
        <w:t>Poria cocos</w:t>
      </w:r>
      <w:r>
        <w:rPr>
          <w:rFonts w:hint="default"/>
          <w:color w:val="000000"/>
          <w:sz w:val="24"/>
          <w:szCs w:val="24"/>
          <w:lang w:val="en-US"/>
        </w:rPr>
        <w:t xml:space="preserve"> and </w:t>
      </w:r>
      <w:r w:rsidRPr="00647629">
        <w:rPr>
          <w:rFonts w:hint="default"/>
          <w:i/>
          <w:iCs/>
          <w:color w:val="000000"/>
          <w:sz w:val="24"/>
          <w:szCs w:val="24"/>
          <w:lang w:val="en-US"/>
        </w:rPr>
        <w:t xml:space="preserve">Polyporus </w:t>
      </w:r>
      <w:proofErr w:type="spellStart"/>
      <w:r w:rsidRPr="00647629">
        <w:rPr>
          <w:rFonts w:hint="default"/>
          <w:i/>
          <w:iCs/>
          <w:color w:val="000000"/>
          <w:sz w:val="24"/>
          <w:szCs w:val="24"/>
          <w:lang w:val="en-US"/>
        </w:rPr>
        <w:t>umbellatus</w:t>
      </w:r>
      <w:proofErr w:type="spellEnd"/>
      <w:r>
        <w:rPr>
          <w:rFonts w:hint="default"/>
          <w:color w:val="000000"/>
          <w:sz w:val="24"/>
          <w:szCs w:val="24"/>
          <w:lang w:val="en-US"/>
        </w:rPr>
        <w:t xml:space="preserve"> contain the common active component </w:t>
      </w:r>
      <w:proofErr w:type="spellStart"/>
      <w:r>
        <w:rPr>
          <w:rFonts w:hint="default"/>
          <w:color w:val="000000"/>
          <w:sz w:val="24"/>
          <w:szCs w:val="24"/>
          <w:lang w:val="en-US"/>
        </w:rPr>
        <w:t>cerevisterol</w:t>
      </w:r>
      <w:proofErr w:type="spellEnd"/>
      <w:r>
        <w:rPr>
          <w:rFonts w:hint="default"/>
          <w:color w:val="000000"/>
          <w:sz w:val="24"/>
          <w:szCs w:val="24"/>
          <w:lang w:val="en-US"/>
        </w:rPr>
        <w:t xml:space="preserve">. Studies have demonstrated that </w:t>
      </w:r>
      <w:r w:rsidRPr="00647629">
        <w:rPr>
          <w:rFonts w:hint="default"/>
          <w:i/>
          <w:iCs/>
          <w:color w:val="000000"/>
          <w:sz w:val="24"/>
          <w:szCs w:val="24"/>
          <w:lang w:val="en-US"/>
        </w:rPr>
        <w:t>Poria cocos</w:t>
      </w:r>
      <w:r>
        <w:rPr>
          <w:rFonts w:hint="default"/>
          <w:color w:val="000000"/>
          <w:sz w:val="24"/>
          <w:szCs w:val="24"/>
          <w:lang w:val="en-US"/>
        </w:rPr>
        <w:t xml:space="preserve"> and </w:t>
      </w:r>
      <w:r w:rsidRPr="00647629">
        <w:rPr>
          <w:rFonts w:hint="default"/>
          <w:i/>
          <w:iCs/>
          <w:color w:val="000000"/>
          <w:sz w:val="24"/>
          <w:szCs w:val="24"/>
          <w:lang w:val="en-US"/>
        </w:rPr>
        <w:t xml:space="preserve">Polyporus </w:t>
      </w:r>
      <w:proofErr w:type="spellStart"/>
      <w:r w:rsidRPr="00647629">
        <w:rPr>
          <w:rFonts w:hint="default"/>
          <w:i/>
          <w:iCs/>
          <w:color w:val="000000"/>
          <w:sz w:val="24"/>
          <w:szCs w:val="24"/>
          <w:lang w:val="en-US"/>
        </w:rPr>
        <w:t>umbellatus</w:t>
      </w:r>
      <w:proofErr w:type="spellEnd"/>
      <w:r>
        <w:rPr>
          <w:rFonts w:hint="default"/>
          <w:color w:val="000000"/>
          <w:sz w:val="24"/>
          <w:szCs w:val="24"/>
          <w:lang w:val="en-US"/>
        </w:rPr>
        <w:t xml:space="preserve"> can significantly improve obesity in rats</w:t>
      </w:r>
      <w:r w:rsidR="0007775F">
        <w:rPr>
          <w:rFonts w:hint="default"/>
          <w:color w:val="000000"/>
          <w:sz w:val="24"/>
          <w:szCs w:val="24"/>
          <w:lang w:val="en-US"/>
        </w:rPr>
        <w:t xml:space="preserve"> </w:t>
      </w:r>
      <w:r>
        <w:rPr>
          <w:rFonts w:hint="default"/>
          <w:color w:val="000000"/>
          <w:sz w:val="24"/>
          <w:szCs w:val="24"/>
          <w:vertAlign w:val="superscript"/>
          <w:lang w:val="en-US"/>
        </w:rPr>
        <w:t>[26]</w:t>
      </w:r>
      <w:r>
        <w:rPr>
          <w:rFonts w:hint="default"/>
          <w:color w:val="000000"/>
          <w:sz w:val="24"/>
          <w:szCs w:val="24"/>
          <w:lang w:val="en-US"/>
        </w:rPr>
        <w:t>.</w:t>
      </w:r>
      <w:r>
        <w:rPr>
          <w:color w:val="000000"/>
          <w:sz w:val="24"/>
          <w:szCs w:val="24"/>
          <w:lang w:val="en-US"/>
        </w:rPr>
        <w:t xml:space="preserve"> </w:t>
      </w:r>
      <w:r>
        <w:rPr>
          <w:rFonts w:hint="default"/>
          <w:color w:val="000000"/>
          <w:sz w:val="24"/>
          <w:szCs w:val="24"/>
          <w:lang w:val="en-US"/>
        </w:rPr>
        <w:t xml:space="preserve">The ginsenoside </w:t>
      </w:r>
      <w:proofErr w:type="spellStart"/>
      <w:r>
        <w:rPr>
          <w:rFonts w:hint="default"/>
          <w:color w:val="000000"/>
          <w:sz w:val="24"/>
          <w:szCs w:val="24"/>
          <w:lang w:val="en-US"/>
        </w:rPr>
        <w:t>Rc</w:t>
      </w:r>
      <w:proofErr w:type="spellEnd"/>
      <w:r>
        <w:rPr>
          <w:rFonts w:hint="default"/>
          <w:color w:val="000000"/>
          <w:sz w:val="24"/>
          <w:szCs w:val="24"/>
          <w:lang w:val="en-US"/>
        </w:rPr>
        <w:t xml:space="preserve"> present in ginseng can upregulate SIRT6 expression, inhibit H3K9ac and H3K56ac acetylation, and enhance the activity of AMPK, PGC-1α, and PPARα, thereby ameliorating dyslipidemia</w:t>
      </w:r>
      <w:r w:rsidR="0007775F">
        <w:rPr>
          <w:rFonts w:hint="default"/>
          <w:color w:val="000000"/>
          <w:sz w:val="24"/>
          <w:szCs w:val="24"/>
          <w:lang w:val="en-US"/>
        </w:rPr>
        <w:t xml:space="preserve"> </w:t>
      </w:r>
      <w:r>
        <w:rPr>
          <w:rFonts w:hint="default"/>
          <w:color w:val="000000"/>
          <w:sz w:val="24"/>
          <w:szCs w:val="24"/>
          <w:vertAlign w:val="superscript"/>
          <w:lang w:val="en-US"/>
        </w:rPr>
        <w:t>[27]</w:t>
      </w:r>
      <w:r>
        <w:rPr>
          <w:rFonts w:hint="default"/>
          <w:color w:val="000000"/>
          <w:sz w:val="24"/>
          <w:szCs w:val="24"/>
          <w:lang w:val="en-US"/>
        </w:rPr>
        <w:t>.</w:t>
      </w:r>
    </w:p>
    <w:p w14:paraId="373A5FA4" w14:textId="77777777" w:rsidR="00667E00" w:rsidRDefault="001317D9" w:rsidP="00647629">
      <w:pPr>
        <w:pStyle w:val="a"/>
        <w:snapToGrid w:val="0"/>
        <w:spacing w:line="240" w:lineRule="auto"/>
        <w:ind w:firstLine="480"/>
        <w:rPr>
          <w:rFonts w:hint="default"/>
          <w:sz w:val="24"/>
          <w:szCs w:val="24"/>
          <w:lang w:val="en-US"/>
        </w:rPr>
      </w:pPr>
      <w:r>
        <w:rPr>
          <w:rFonts w:hint="default"/>
          <w:sz w:val="24"/>
          <w:szCs w:val="24"/>
          <w:lang w:val="en-US"/>
        </w:rPr>
        <w:t xml:space="preserve">The study identified that the target genes affected by the active components of modified </w:t>
      </w:r>
      <w:proofErr w:type="spellStart"/>
      <w:r>
        <w:rPr>
          <w:rFonts w:hint="default"/>
          <w:sz w:val="24"/>
          <w:szCs w:val="24"/>
          <w:lang w:val="en-US"/>
        </w:rPr>
        <w:t>Shenling</w:t>
      </w:r>
      <w:proofErr w:type="spellEnd"/>
      <w:r>
        <w:rPr>
          <w:rFonts w:hint="default"/>
          <w:sz w:val="24"/>
          <w:szCs w:val="24"/>
          <w:lang w:val="en-US"/>
        </w:rPr>
        <w:t xml:space="preserve"> </w:t>
      </w:r>
      <w:proofErr w:type="spellStart"/>
      <w:r>
        <w:rPr>
          <w:rFonts w:hint="default"/>
          <w:sz w:val="24"/>
          <w:szCs w:val="24"/>
          <w:lang w:val="en-US"/>
        </w:rPr>
        <w:t>Baizhu</w:t>
      </w:r>
      <w:proofErr w:type="spellEnd"/>
      <w:r>
        <w:rPr>
          <w:rFonts w:hint="default"/>
          <w:sz w:val="24"/>
          <w:szCs w:val="24"/>
          <w:lang w:val="en-US"/>
        </w:rPr>
        <w:t xml:space="preserve"> Powder align with those previously reported as associated with obesity development, demonstrating its multi-target and multi-pathway therapeutic mechanism. Analysis of the protein-protein interaction (PPI) network revealed that all 13 selected key target genes participate in these metabolic pathways. Molecular docking results confirmed strong binding affinities between all active components of the formula and the top three core target genes. To validate network pharmacological findings, mole</w:t>
      </w:r>
      <w:r>
        <w:rPr>
          <w:rFonts w:hint="default"/>
          <w:sz w:val="24"/>
          <w:szCs w:val="24"/>
          <w:lang w:val="en-US"/>
        </w:rPr>
        <w:t>cular docking and molecular dynamics simulations were conducted to assess binding stability between core components and targets. The top three complexes based on binding affinity exhibited optimal stability and structural integrity, particularly the complex formed between PIK3CA and licorice glycoside E, which showed the highest binding affinity and compact structure as evidenced by RMSD, RMSF, RG, and SASA analyses. Comprehensive validation using multiple methodologies demonstrated consistent findings acro</w:t>
      </w:r>
      <w:r>
        <w:rPr>
          <w:rFonts w:hint="default"/>
          <w:sz w:val="24"/>
          <w:szCs w:val="24"/>
          <w:lang w:val="en-US"/>
        </w:rPr>
        <w:t xml:space="preserve">ss both static and dynamic molecular levels, confirming that the active components of modified </w:t>
      </w:r>
      <w:proofErr w:type="spellStart"/>
      <w:r>
        <w:rPr>
          <w:rFonts w:hint="default"/>
          <w:sz w:val="24"/>
          <w:szCs w:val="24"/>
          <w:lang w:val="en-US"/>
        </w:rPr>
        <w:t>Shenling</w:t>
      </w:r>
      <w:proofErr w:type="spellEnd"/>
      <w:r>
        <w:rPr>
          <w:rFonts w:hint="default"/>
          <w:sz w:val="24"/>
          <w:szCs w:val="24"/>
          <w:lang w:val="en-US"/>
        </w:rPr>
        <w:t xml:space="preserve"> </w:t>
      </w:r>
      <w:proofErr w:type="spellStart"/>
      <w:r>
        <w:rPr>
          <w:rFonts w:hint="default"/>
          <w:sz w:val="24"/>
          <w:szCs w:val="24"/>
          <w:lang w:val="en-US"/>
        </w:rPr>
        <w:t>Baizhu</w:t>
      </w:r>
      <w:proofErr w:type="spellEnd"/>
      <w:r>
        <w:rPr>
          <w:rFonts w:hint="default"/>
          <w:sz w:val="24"/>
          <w:szCs w:val="24"/>
          <w:lang w:val="en-US"/>
        </w:rPr>
        <w:t xml:space="preserve"> Powder play a pivotal role in obesity intervention.</w:t>
      </w:r>
      <w:r>
        <w:rPr>
          <w:sz w:val="24"/>
          <w:szCs w:val="24"/>
          <w:lang w:val="en-US"/>
        </w:rPr>
        <w:t xml:space="preserve"> </w:t>
      </w:r>
      <w:r>
        <w:rPr>
          <w:rFonts w:hint="default"/>
          <w:sz w:val="24"/>
          <w:szCs w:val="24"/>
          <w:lang w:val="en-US"/>
        </w:rPr>
        <w:t xml:space="preserve">The potential mechanisms of </w:t>
      </w:r>
      <w:proofErr w:type="spellStart"/>
      <w:r>
        <w:rPr>
          <w:rFonts w:hint="default"/>
          <w:sz w:val="24"/>
          <w:szCs w:val="24"/>
          <w:lang w:val="en-US"/>
        </w:rPr>
        <w:t>Shenling</w:t>
      </w:r>
      <w:proofErr w:type="spellEnd"/>
      <w:r>
        <w:rPr>
          <w:rFonts w:hint="default"/>
          <w:sz w:val="24"/>
          <w:szCs w:val="24"/>
          <w:lang w:val="en-US"/>
        </w:rPr>
        <w:t xml:space="preserve"> </w:t>
      </w:r>
      <w:proofErr w:type="spellStart"/>
      <w:r>
        <w:rPr>
          <w:rFonts w:hint="default"/>
          <w:sz w:val="24"/>
          <w:szCs w:val="24"/>
          <w:lang w:val="en-US"/>
        </w:rPr>
        <w:t>Baizhu</w:t>
      </w:r>
      <w:proofErr w:type="spellEnd"/>
      <w:r>
        <w:rPr>
          <w:rFonts w:hint="default"/>
          <w:sz w:val="24"/>
          <w:szCs w:val="24"/>
          <w:lang w:val="en-US"/>
        </w:rPr>
        <w:t xml:space="preserve"> Powder with modified formula in treating obesity.</w:t>
      </w:r>
    </w:p>
    <w:p w14:paraId="373A5FA5" w14:textId="77777777" w:rsidR="00667E00" w:rsidRDefault="00667E00" w:rsidP="00647629">
      <w:pPr>
        <w:pStyle w:val="a"/>
        <w:snapToGrid w:val="0"/>
        <w:spacing w:line="240" w:lineRule="auto"/>
        <w:ind w:firstLine="480"/>
        <w:rPr>
          <w:rFonts w:hint="default"/>
          <w:sz w:val="24"/>
          <w:szCs w:val="24"/>
          <w:lang w:val="en-US"/>
        </w:rPr>
      </w:pPr>
    </w:p>
    <w:p w14:paraId="373A5FA6" w14:textId="77777777" w:rsidR="00667E00" w:rsidRDefault="001317D9" w:rsidP="00647629">
      <w:pPr>
        <w:pStyle w:val="a"/>
        <w:snapToGrid w:val="0"/>
        <w:spacing w:line="240" w:lineRule="auto"/>
        <w:ind w:firstLineChars="0" w:firstLine="0"/>
        <w:rPr>
          <w:rFonts w:hint="default"/>
          <w:b/>
          <w:bCs/>
          <w:sz w:val="24"/>
          <w:szCs w:val="24"/>
          <w:lang w:val="en-US"/>
        </w:rPr>
      </w:pPr>
      <w:r>
        <w:rPr>
          <w:b/>
          <w:bCs/>
          <w:sz w:val="24"/>
          <w:szCs w:val="24"/>
          <w:lang w:val="en-US"/>
        </w:rPr>
        <w:t xml:space="preserve">5. </w:t>
      </w:r>
      <w:r>
        <w:rPr>
          <w:rFonts w:hint="default"/>
          <w:b/>
          <w:bCs/>
          <w:sz w:val="24"/>
          <w:szCs w:val="24"/>
          <w:lang w:val="en-US"/>
        </w:rPr>
        <w:t>Conclusion</w:t>
      </w:r>
    </w:p>
    <w:p w14:paraId="373A5FA7" w14:textId="77777777" w:rsidR="00667E00" w:rsidRDefault="001317D9" w:rsidP="00647629">
      <w:pPr>
        <w:pStyle w:val="a"/>
        <w:snapToGrid w:val="0"/>
        <w:spacing w:line="240" w:lineRule="auto"/>
        <w:ind w:firstLineChars="0" w:firstLine="0"/>
        <w:rPr>
          <w:rFonts w:hint="default"/>
          <w:sz w:val="24"/>
          <w:szCs w:val="24"/>
          <w:lang w:val="en-US"/>
        </w:rPr>
      </w:pPr>
      <w:r>
        <w:rPr>
          <w:rFonts w:hint="default"/>
          <w:sz w:val="24"/>
          <w:szCs w:val="24"/>
          <w:lang w:val="en-US"/>
        </w:rPr>
        <w:t xml:space="preserve">Network pharmacology and molecular dynamics analyses revealed that Modified </w:t>
      </w:r>
      <w:proofErr w:type="spellStart"/>
      <w:r>
        <w:rPr>
          <w:rFonts w:hint="default"/>
          <w:sz w:val="24"/>
          <w:szCs w:val="24"/>
          <w:lang w:val="en-US"/>
        </w:rPr>
        <w:t>Shenling</w:t>
      </w:r>
      <w:proofErr w:type="spellEnd"/>
      <w:r>
        <w:rPr>
          <w:rFonts w:hint="default"/>
          <w:sz w:val="24"/>
          <w:szCs w:val="24"/>
          <w:lang w:val="en-US"/>
        </w:rPr>
        <w:t xml:space="preserve"> </w:t>
      </w:r>
      <w:proofErr w:type="spellStart"/>
      <w:r>
        <w:rPr>
          <w:rFonts w:hint="default"/>
          <w:sz w:val="24"/>
          <w:szCs w:val="24"/>
          <w:lang w:val="en-US"/>
        </w:rPr>
        <w:t>Baizhu</w:t>
      </w:r>
      <w:proofErr w:type="spellEnd"/>
      <w:r>
        <w:rPr>
          <w:rFonts w:hint="default"/>
          <w:sz w:val="24"/>
          <w:szCs w:val="24"/>
          <w:lang w:val="en-US"/>
        </w:rPr>
        <w:t xml:space="preserve"> Powder treats obesity through multi-component, multi-target, and multi-pathway mechanisms. Ent-Epicatechin, licorice glycoside E, and </w:t>
      </w:r>
      <w:proofErr w:type="spellStart"/>
      <w:r>
        <w:rPr>
          <w:rFonts w:hint="default"/>
          <w:sz w:val="24"/>
          <w:szCs w:val="24"/>
          <w:lang w:val="en-US"/>
        </w:rPr>
        <w:t>dehydroglyasperin</w:t>
      </w:r>
      <w:proofErr w:type="spellEnd"/>
      <w:r>
        <w:rPr>
          <w:rFonts w:hint="default"/>
          <w:sz w:val="24"/>
          <w:szCs w:val="24"/>
          <w:lang w:val="en-US"/>
        </w:rPr>
        <w:t xml:space="preserve"> C were identified as core active components, acting primarily on PIK3R1, PIK3CA, and SRC. These targets are mainly enriched in insulin resistance, lipid metabolism, and the PI3K-Akt signaling pathway. Molecular docking and dynamics simulations confirmed stable binding, particularly between PIK3CA and licorice glycoside E. These findings provi</w:t>
      </w:r>
      <w:r>
        <w:rPr>
          <w:rFonts w:hint="default"/>
          <w:sz w:val="24"/>
          <w:szCs w:val="24"/>
          <w:lang w:val="en-US"/>
        </w:rPr>
        <w:t xml:space="preserve">de a theoretical foundation for the clinical application of Modified </w:t>
      </w:r>
      <w:proofErr w:type="spellStart"/>
      <w:r>
        <w:rPr>
          <w:rFonts w:hint="default"/>
          <w:sz w:val="24"/>
          <w:szCs w:val="24"/>
          <w:lang w:val="en-US"/>
        </w:rPr>
        <w:t>Shenling</w:t>
      </w:r>
      <w:proofErr w:type="spellEnd"/>
      <w:r>
        <w:rPr>
          <w:rFonts w:hint="default"/>
          <w:sz w:val="24"/>
          <w:szCs w:val="24"/>
          <w:lang w:val="en-US"/>
        </w:rPr>
        <w:t xml:space="preserve"> </w:t>
      </w:r>
      <w:proofErr w:type="spellStart"/>
      <w:r>
        <w:rPr>
          <w:rFonts w:hint="default"/>
          <w:sz w:val="24"/>
          <w:szCs w:val="24"/>
          <w:lang w:val="en-US"/>
        </w:rPr>
        <w:t>Baizhu</w:t>
      </w:r>
      <w:proofErr w:type="spellEnd"/>
      <w:r>
        <w:rPr>
          <w:rFonts w:hint="default"/>
          <w:sz w:val="24"/>
          <w:szCs w:val="24"/>
          <w:lang w:val="en-US"/>
        </w:rPr>
        <w:t xml:space="preserve"> Powder in obesity treatment.</w:t>
      </w:r>
    </w:p>
    <w:p w14:paraId="373A5FA8" w14:textId="77777777" w:rsidR="00667E00" w:rsidRDefault="00667E00" w:rsidP="00647629">
      <w:pPr>
        <w:pStyle w:val="a"/>
        <w:snapToGrid w:val="0"/>
        <w:spacing w:line="240" w:lineRule="auto"/>
        <w:ind w:firstLineChars="0" w:firstLine="0"/>
        <w:rPr>
          <w:rFonts w:hint="default"/>
          <w:sz w:val="24"/>
          <w:szCs w:val="24"/>
          <w:lang w:val="en-US"/>
        </w:rPr>
      </w:pPr>
    </w:p>
    <w:p w14:paraId="373A5FA9" w14:textId="77777777" w:rsidR="00667E00" w:rsidRDefault="001317D9" w:rsidP="00647629">
      <w:pPr>
        <w:pStyle w:val="a"/>
        <w:snapToGrid w:val="0"/>
        <w:spacing w:line="240" w:lineRule="auto"/>
        <w:ind w:firstLineChars="0" w:firstLine="0"/>
        <w:rPr>
          <w:rFonts w:hint="default"/>
          <w:b/>
          <w:bCs/>
          <w:sz w:val="24"/>
          <w:szCs w:val="24"/>
          <w:lang w:val="en-US"/>
        </w:rPr>
      </w:pPr>
      <w:r>
        <w:rPr>
          <w:rFonts w:hint="default"/>
          <w:b/>
          <w:bCs/>
          <w:sz w:val="24"/>
          <w:szCs w:val="24"/>
          <w:lang w:val="en-US"/>
        </w:rPr>
        <w:t>Funding</w:t>
      </w:r>
    </w:p>
    <w:p w14:paraId="373A5FAA" w14:textId="3366E0EC" w:rsidR="00667E00" w:rsidRDefault="001317D9" w:rsidP="00647629">
      <w:pPr>
        <w:pStyle w:val="a"/>
        <w:snapToGrid w:val="0"/>
        <w:spacing w:line="240" w:lineRule="auto"/>
        <w:ind w:firstLineChars="0" w:firstLine="0"/>
        <w:rPr>
          <w:rFonts w:hint="default"/>
          <w:sz w:val="24"/>
          <w:szCs w:val="24"/>
          <w:lang w:val="en-US"/>
        </w:rPr>
      </w:pPr>
      <w:r>
        <w:rPr>
          <w:rFonts w:hint="default"/>
          <w:sz w:val="24"/>
          <w:szCs w:val="24"/>
          <w:lang w:val="en-US"/>
        </w:rPr>
        <w:t>General Project of the Guangxi Natural Science Gene Program (</w:t>
      </w:r>
      <w:r w:rsidR="0007775F">
        <w:rPr>
          <w:rFonts w:hint="default"/>
          <w:sz w:val="24"/>
          <w:szCs w:val="24"/>
          <w:lang w:val="en-US"/>
        </w:rPr>
        <w:t xml:space="preserve">Project No.: </w:t>
      </w:r>
      <w:r>
        <w:rPr>
          <w:rFonts w:hint="default"/>
          <w:sz w:val="24"/>
          <w:szCs w:val="24"/>
          <w:lang w:val="en-US"/>
        </w:rPr>
        <w:t>2025 GXNSFAA069582); 2024 Student Innovation and Entrepreneurship Project of the Sains New Medicine College at Guangxi University of Traditional Chinese Medicine (</w:t>
      </w:r>
      <w:r w:rsidR="0007775F">
        <w:rPr>
          <w:rFonts w:hint="default"/>
          <w:sz w:val="24"/>
          <w:szCs w:val="24"/>
          <w:lang w:val="en-US"/>
        </w:rPr>
        <w:t xml:space="preserve">Project No.: </w:t>
      </w:r>
      <w:r>
        <w:rPr>
          <w:rFonts w:hint="default"/>
          <w:sz w:val="24"/>
          <w:szCs w:val="24"/>
          <w:lang w:val="en-US"/>
        </w:rPr>
        <w:t>S202413643012)</w:t>
      </w:r>
    </w:p>
    <w:p w14:paraId="373A5FAB" w14:textId="77777777" w:rsidR="00667E00" w:rsidRDefault="00667E00" w:rsidP="00647629">
      <w:pPr>
        <w:pStyle w:val="a"/>
        <w:snapToGrid w:val="0"/>
        <w:spacing w:line="240" w:lineRule="auto"/>
        <w:ind w:firstLineChars="0" w:firstLine="0"/>
        <w:rPr>
          <w:rFonts w:hint="default"/>
          <w:sz w:val="24"/>
          <w:szCs w:val="24"/>
          <w:lang w:val="en-US"/>
        </w:rPr>
      </w:pPr>
    </w:p>
    <w:p w14:paraId="373A5FAC" w14:textId="77777777" w:rsidR="00667E00" w:rsidRDefault="001317D9" w:rsidP="00647629">
      <w:pPr>
        <w:pStyle w:val="a"/>
        <w:snapToGrid w:val="0"/>
        <w:spacing w:line="240" w:lineRule="auto"/>
        <w:ind w:firstLineChars="0" w:firstLine="0"/>
        <w:rPr>
          <w:rFonts w:hint="default"/>
          <w:b/>
          <w:bCs/>
          <w:sz w:val="24"/>
          <w:szCs w:val="24"/>
          <w:lang w:val="en-US"/>
        </w:rPr>
      </w:pPr>
      <w:r>
        <w:rPr>
          <w:rFonts w:hint="default"/>
          <w:b/>
          <w:bCs/>
          <w:sz w:val="24"/>
          <w:szCs w:val="24"/>
          <w:lang w:val="en-US"/>
        </w:rPr>
        <w:t>Disclosure statement</w:t>
      </w:r>
    </w:p>
    <w:p w14:paraId="373A5FAD" w14:textId="77777777" w:rsidR="00667E00" w:rsidRDefault="001317D9" w:rsidP="00647629">
      <w:pPr>
        <w:pStyle w:val="a"/>
        <w:snapToGrid w:val="0"/>
        <w:spacing w:line="240" w:lineRule="auto"/>
        <w:ind w:firstLineChars="0" w:firstLine="0"/>
        <w:rPr>
          <w:rFonts w:hint="default"/>
          <w:sz w:val="24"/>
          <w:szCs w:val="24"/>
          <w:lang w:val="en-US"/>
        </w:rPr>
      </w:pPr>
      <w:r>
        <w:rPr>
          <w:rFonts w:hint="default"/>
          <w:sz w:val="24"/>
          <w:szCs w:val="24"/>
          <w:lang w:val="en-US"/>
        </w:rPr>
        <w:lastRenderedPageBreak/>
        <w:t>The authors declare no conflict of interest.</w:t>
      </w:r>
      <w:bookmarkStart w:id="32" w:name="_Toc23030"/>
      <w:bookmarkStart w:id="33" w:name="_Toc22142"/>
    </w:p>
    <w:p w14:paraId="373A5FAE" w14:textId="77777777" w:rsidR="00667E00" w:rsidRDefault="00667E00" w:rsidP="00647629">
      <w:pPr>
        <w:pStyle w:val="a"/>
        <w:snapToGrid w:val="0"/>
        <w:spacing w:line="240" w:lineRule="auto"/>
        <w:ind w:firstLineChars="0" w:firstLine="0"/>
        <w:rPr>
          <w:rFonts w:hint="default"/>
          <w:sz w:val="24"/>
          <w:szCs w:val="24"/>
          <w:lang w:val="en-US"/>
        </w:rPr>
      </w:pPr>
    </w:p>
    <w:p w14:paraId="42417C03" w14:textId="77777777" w:rsidR="0007775F" w:rsidRDefault="001317D9" w:rsidP="0007775F">
      <w:pPr>
        <w:pStyle w:val="a"/>
        <w:snapToGrid w:val="0"/>
        <w:spacing w:line="240" w:lineRule="auto"/>
        <w:ind w:left="709" w:firstLineChars="0" w:hanging="709"/>
        <w:rPr>
          <w:rFonts w:hint="default"/>
          <w:bCs/>
          <w:sz w:val="24"/>
          <w:szCs w:val="24"/>
          <w:lang w:val="en-US"/>
        </w:rPr>
      </w:pPr>
      <w:r>
        <w:rPr>
          <w:rFonts w:hint="default"/>
          <w:b/>
          <w:sz w:val="24"/>
          <w:szCs w:val="24"/>
          <w:lang w:val="en-US"/>
        </w:rPr>
        <w:t>References</w:t>
      </w:r>
      <w:bookmarkEnd w:id="32"/>
      <w:bookmarkEnd w:id="33"/>
    </w:p>
    <w:p w14:paraId="3338C8C4" w14:textId="0CCF83F2" w:rsidR="0007775F" w:rsidRDefault="0007775F" w:rsidP="0007775F">
      <w:pPr>
        <w:pStyle w:val="a"/>
        <w:snapToGrid w:val="0"/>
        <w:spacing w:line="240" w:lineRule="auto"/>
        <w:ind w:left="709" w:firstLineChars="0" w:hanging="709"/>
        <w:rPr>
          <w:rFonts w:hint="default"/>
          <w:bCs/>
          <w:sz w:val="24"/>
          <w:szCs w:val="24"/>
        </w:rPr>
      </w:pPr>
      <w:r w:rsidRPr="00647629">
        <w:rPr>
          <w:rFonts w:hint="default"/>
          <w:bCs/>
          <w:sz w:val="24"/>
          <w:szCs w:val="24"/>
        </w:rPr>
        <w:t xml:space="preserve">[1] </w:t>
      </w:r>
      <w:r>
        <w:rPr>
          <w:rFonts w:hint="default"/>
          <w:bCs/>
          <w:sz w:val="24"/>
          <w:szCs w:val="24"/>
        </w:rPr>
        <w:tab/>
      </w:r>
      <w:r w:rsidRPr="00647629">
        <w:rPr>
          <w:rFonts w:hint="default"/>
          <w:bCs/>
          <w:sz w:val="24"/>
          <w:szCs w:val="24"/>
        </w:rPr>
        <w:t>Gao Y, Guo H, 2025, Research Progress on the Application of Traditional Chinese Medicine in Obesity Prevention and Treatment. China Drugs and Clinical Practice, 25(9): 573</w:t>
      </w:r>
      <w:r w:rsidRPr="00647629">
        <w:rPr>
          <w:rFonts w:hint="default"/>
          <w:bCs/>
          <w:sz w:val="24"/>
          <w:szCs w:val="24"/>
        </w:rPr>
        <w:t>–</w:t>
      </w:r>
      <w:r w:rsidRPr="00647629">
        <w:rPr>
          <w:rFonts w:hint="default"/>
          <w:bCs/>
          <w:sz w:val="24"/>
          <w:szCs w:val="24"/>
        </w:rPr>
        <w:t>578.</w:t>
      </w:r>
    </w:p>
    <w:p w14:paraId="7A6CB00E" w14:textId="53BDFE7A" w:rsidR="0007775F" w:rsidRDefault="0007775F" w:rsidP="0007775F">
      <w:pPr>
        <w:pStyle w:val="a"/>
        <w:snapToGrid w:val="0"/>
        <w:spacing w:line="240" w:lineRule="auto"/>
        <w:ind w:left="709" w:firstLineChars="0" w:hanging="709"/>
        <w:rPr>
          <w:rFonts w:hint="default"/>
          <w:bCs/>
          <w:sz w:val="24"/>
          <w:szCs w:val="24"/>
        </w:rPr>
      </w:pPr>
      <w:r w:rsidRPr="00647629">
        <w:rPr>
          <w:rFonts w:hint="default"/>
          <w:bCs/>
          <w:sz w:val="24"/>
          <w:szCs w:val="24"/>
        </w:rPr>
        <w:t xml:space="preserve">[2] </w:t>
      </w:r>
      <w:r>
        <w:rPr>
          <w:rFonts w:hint="default"/>
          <w:bCs/>
          <w:sz w:val="24"/>
          <w:szCs w:val="24"/>
        </w:rPr>
        <w:tab/>
      </w:r>
      <w:r w:rsidRPr="00647629">
        <w:rPr>
          <w:rFonts w:hint="default"/>
          <w:bCs/>
          <w:sz w:val="24"/>
          <w:szCs w:val="24"/>
        </w:rPr>
        <w:t xml:space="preserve">Chen Z, 2023, Clinical Observation on Traditional Chinese Medicine Treatment for Simple Obesity </w:t>
      </w:r>
      <w:r>
        <w:rPr>
          <w:rFonts w:hint="default"/>
          <w:bCs/>
          <w:sz w:val="24"/>
          <w:szCs w:val="24"/>
        </w:rPr>
        <w:t>w</w:t>
      </w:r>
      <w:r w:rsidRPr="00647629">
        <w:rPr>
          <w:rFonts w:hint="default"/>
          <w:bCs/>
          <w:sz w:val="24"/>
          <w:szCs w:val="24"/>
        </w:rPr>
        <w:t>ith Spleen Deficiency and Dampness Obstruction. China Journal of Ethnic Medicine, 29(10): 1–4.</w:t>
      </w:r>
    </w:p>
    <w:p w14:paraId="62ECEFAE" w14:textId="1AFCFCBF" w:rsidR="0007775F" w:rsidRDefault="0007775F" w:rsidP="0007775F">
      <w:pPr>
        <w:pStyle w:val="a"/>
        <w:snapToGrid w:val="0"/>
        <w:spacing w:line="240" w:lineRule="auto"/>
        <w:ind w:left="709" w:firstLineChars="0" w:hanging="709"/>
        <w:rPr>
          <w:rFonts w:hint="default"/>
          <w:bCs/>
          <w:sz w:val="24"/>
          <w:szCs w:val="24"/>
        </w:rPr>
      </w:pPr>
      <w:r w:rsidRPr="00647629">
        <w:rPr>
          <w:rFonts w:hint="default"/>
          <w:bCs/>
          <w:sz w:val="24"/>
          <w:szCs w:val="24"/>
        </w:rPr>
        <w:t xml:space="preserve">[3] </w:t>
      </w:r>
      <w:r>
        <w:rPr>
          <w:rFonts w:hint="default"/>
          <w:bCs/>
          <w:sz w:val="24"/>
          <w:szCs w:val="24"/>
        </w:rPr>
        <w:tab/>
      </w:r>
      <w:r w:rsidRPr="00647629">
        <w:rPr>
          <w:rFonts w:hint="default"/>
          <w:bCs/>
          <w:sz w:val="24"/>
          <w:szCs w:val="24"/>
        </w:rPr>
        <w:t xml:space="preserve">Gu J, Zhang M, 2020, Clinical Study on the Modified Combination of </w:t>
      </w:r>
      <w:proofErr w:type="spellStart"/>
      <w:r w:rsidRPr="00647629">
        <w:rPr>
          <w:rFonts w:hint="default"/>
          <w:bCs/>
          <w:sz w:val="24"/>
          <w:szCs w:val="24"/>
        </w:rPr>
        <w:t>Shenling</w:t>
      </w:r>
      <w:proofErr w:type="spellEnd"/>
      <w:r w:rsidRPr="00647629">
        <w:rPr>
          <w:rFonts w:hint="default"/>
          <w:bCs/>
          <w:sz w:val="24"/>
          <w:szCs w:val="24"/>
        </w:rPr>
        <w:t xml:space="preserve"> </w:t>
      </w:r>
      <w:proofErr w:type="spellStart"/>
      <w:r w:rsidRPr="00647629">
        <w:rPr>
          <w:rFonts w:hint="default"/>
          <w:bCs/>
          <w:sz w:val="24"/>
          <w:szCs w:val="24"/>
        </w:rPr>
        <w:t>Baizhu</w:t>
      </w:r>
      <w:proofErr w:type="spellEnd"/>
      <w:r w:rsidRPr="00647629">
        <w:rPr>
          <w:rFonts w:hint="default"/>
          <w:bCs/>
          <w:sz w:val="24"/>
          <w:szCs w:val="24"/>
        </w:rPr>
        <w:t xml:space="preserve"> Powder and Wuling Powder in Treating Coronary Heart Disease </w:t>
      </w:r>
      <w:r>
        <w:rPr>
          <w:rFonts w:hint="default"/>
          <w:bCs/>
          <w:sz w:val="24"/>
          <w:szCs w:val="24"/>
        </w:rPr>
        <w:t>w</w:t>
      </w:r>
      <w:r w:rsidRPr="00647629">
        <w:rPr>
          <w:rFonts w:hint="default"/>
          <w:bCs/>
          <w:sz w:val="24"/>
          <w:szCs w:val="24"/>
        </w:rPr>
        <w:t xml:space="preserve">ith </w:t>
      </w:r>
      <w:proofErr w:type="spellStart"/>
      <w:r w:rsidRPr="00647629">
        <w:rPr>
          <w:rFonts w:hint="default"/>
          <w:bCs/>
          <w:sz w:val="24"/>
          <w:szCs w:val="24"/>
        </w:rPr>
        <w:t>Hyperlipidemia</w:t>
      </w:r>
      <w:proofErr w:type="spellEnd"/>
      <w:r w:rsidRPr="00647629">
        <w:rPr>
          <w:rFonts w:hint="default"/>
          <w:bCs/>
          <w:sz w:val="24"/>
          <w:szCs w:val="24"/>
        </w:rPr>
        <w:t xml:space="preserve"> in Patients </w:t>
      </w:r>
      <w:r>
        <w:rPr>
          <w:rFonts w:hint="default"/>
          <w:bCs/>
          <w:sz w:val="24"/>
          <w:szCs w:val="24"/>
        </w:rPr>
        <w:t>w</w:t>
      </w:r>
      <w:r w:rsidRPr="00647629">
        <w:rPr>
          <w:rFonts w:hint="default"/>
          <w:bCs/>
          <w:sz w:val="24"/>
          <w:szCs w:val="24"/>
        </w:rPr>
        <w:t>ith Phlegm-Dampness Constitution. Journal of Hunan University of Chinese Medicine, 40(2): 236–241.</w:t>
      </w:r>
    </w:p>
    <w:p w14:paraId="604E6A23" w14:textId="77777777" w:rsidR="0007775F" w:rsidRDefault="0007775F" w:rsidP="0007775F">
      <w:pPr>
        <w:pStyle w:val="a"/>
        <w:snapToGrid w:val="0"/>
        <w:spacing w:line="240" w:lineRule="auto"/>
        <w:ind w:left="709" w:firstLineChars="0" w:hanging="709"/>
        <w:rPr>
          <w:rFonts w:hint="default"/>
          <w:bCs/>
          <w:sz w:val="24"/>
          <w:szCs w:val="24"/>
        </w:rPr>
      </w:pPr>
      <w:r w:rsidRPr="00647629">
        <w:rPr>
          <w:rFonts w:hint="default"/>
          <w:bCs/>
          <w:sz w:val="24"/>
          <w:szCs w:val="24"/>
        </w:rPr>
        <w:t xml:space="preserve">[4] </w:t>
      </w:r>
      <w:r>
        <w:rPr>
          <w:rFonts w:hint="default"/>
          <w:bCs/>
          <w:sz w:val="24"/>
          <w:szCs w:val="24"/>
        </w:rPr>
        <w:tab/>
      </w:r>
      <w:r w:rsidRPr="00647629">
        <w:rPr>
          <w:rFonts w:hint="default"/>
          <w:bCs/>
          <w:sz w:val="24"/>
          <w:szCs w:val="24"/>
        </w:rPr>
        <w:t xml:space="preserve">Jie N, Wang S, Zhang X, 2025, Research Progress on the Treatment of Metabolic Syndrome </w:t>
      </w:r>
      <w:r>
        <w:rPr>
          <w:rFonts w:hint="default"/>
          <w:bCs/>
          <w:sz w:val="24"/>
          <w:szCs w:val="24"/>
        </w:rPr>
        <w:t>w</w:t>
      </w:r>
      <w:r w:rsidRPr="00647629">
        <w:rPr>
          <w:rFonts w:hint="default"/>
          <w:bCs/>
          <w:sz w:val="24"/>
          <w:szCs w:val="24"/>
        </w:rPr>
        <w:t xml:space="preserve">ith </w:t>
      </w:r>
      <w:proofErr w:type="spellStart"/>
      <w:r w:rsidRPr="00647629">
        <w:rPr>
          <w:rFonts w:hint="default"/>
          <w:bCs/>
          <w:sz w:val="24"/>
          <w:szCs w:val="24"/>
        </w:rPr>
        <w:t>Shenling</w:t>
      </w:r>
      <w:proofErr w:type="spellEnd"/>
      <w:r w:rsidRPr="00647629">
        <w:rPr>
          <w:rFonts w:hint="default"/>
          <w:bCs/>
          <w:sz w:val="24"/>
          <w:szCs w:val="24"/>
        </w:rPr>
        <w:t xml:space="preserve"> </w:t>
      </w:r>
      <w:proofErr w:type="spellStart"/>
      <w:r w:rsidRPr="00647629">
        <w:rPr>
          <w:rFonts w:hint="default"/>
          <w:bCs/>
          <w:sz w:val="24"/>
          <w:szCs w:val="24"/>
        </w:rPr>
        <w:t>Baizhu</w:t>
      </w:r>
      <w:proofErr w:type="spellEnd"/>
      <w:r w:rsidRPr="00647629">
        <w:rPr>
          <w:rFonts w:hint="default"/>
          <w:bCs/>
          <w:sz w:val="24"/>
          <w:szCs w:val="24"/>
        </w:rPr>
        <w:t xml:space="preserve"> Powder. Chinese Journal of Clinical Research in Traditional Medicine, 17(16): 133–139.</w:t>
      </w:r>
    </w:p>
    <w:p w14:paraId="444C0D49" w14:textId="77777777" w:rsidR="0007775F" w:rsidRDefault="0007775F" w:rsidP="0007775F">
      <w:pPr>
        <w:pStyle w:val="a"/>
        <w:snapToGrid w:val="0"/>
        <w:spacing w:line="240" w:lineRule="auto"/>
        <w:ind w:left="709" w:firstLineChars="0" w:hanging="709"/>
        <w:rPr>
          <w:rFonts w:hint="default"/>
          <w:bCs/>
          <w:sz w:val="24"/>
          <w:szCs w:val="24"/>
        </w:rPr>
      </w:pPr>
      <w:r w:rsidRPr="00647629">
        <w:rPr>
          <w:rFonts w:hint="default"/>
          <w:bCs/>
          <w:sz w:val="24"/>
          <w:szCs w:val="24"/>
        </w:rPr>
        <w:t xml:space="preserve">[5] </w:t>
      </w:r>
      <w:r>
        <w:rPr>
          <w:rFonts w:hint="default"/>
          <w:bCs/>
          <w:sz w:val="24"/>
          <w:szCs w:val="24"/>
        </w:rPr>
        <w:tab/>
      </w:r>
      <w:r w:rsidRPr="00647629">
        <w:rPr>
          <w:rFonts w:hint="default"/>
          <w:bCs/>
          <w:sz w:val="24"/>
          <w:szCs w:val="24"/>
        </w:rPr>
        <w:t xml:space="preserve">Zhang J, Wang L, Liang R, et al., 2016, Study on the Mechanism of Action of </w:t>
      </w:r>
      <w:proofErr w:type="spellStart"/>
      <w:r w:rsidRPr="00647629">
        <w:rPr>
          <w:rFonts w:hint="default"/>
          <w:bCs/>
          <w:sz w:val="24"/>
          <w:szCs w:val="24"/>
        </w:rPr>
        <w:t>Danshen-Shanzha</w:t>
      </w:r>
      <w:proofErr w:type="spellEnd"/>
      <w:r w:rsidRPr="00647629">
        <w:rPr>
          <w:rFonts w:hint="default"/>
          <w:bCs/>
          <w:sz w:val="24"/>
          <w:szCs w:val="24"/>
        </w:rPr>
        <w:t xml:space="preserve"> Formula in Combating Atherosclerosis Based on Network Pharmacology Analysis. China Journal of Traditional Chinese Medicine, 41(23): 4408–4415.</w:t>
      </w:r>
    </w:p>
    <w:p w14:paraId="2C8DB7E3" w14:textId="77777777" w:rsidR="0007775F" w:rsidRDefault="0007775F" w:rsidP="0007775F">
      <w:pPr>
        <w:pStyle w:val="a"/>
        <w:snapToGrid w:val="0"/>
        <w:spacing w:line="240" w:lineRule="auto"/>
        <w:ind w:left="709" w:firstLineChars="0" w:hanging="709"/>
        <w:rPr>
          <w:rFonts w:hint="default"/>
          <w:bCs/>
          <w:sz w:val="24"/>
          <w:szCs w:val="24"/>
        </w:rPr>
      </w:pPr>
      <w:r w:rsidRPr="00647629">
        <w:rPr>
          <w:rFonts w:hint="default"/>
          <w:bCs/>
          <w:sz w:val="24"/>
          <w:szCs w:val="24"/>
        </w:rPr>
        <w:t xml:space="preserve">[6] </w:t>
      </w:r>
      <w:r>
        <w:rPr>
          <w:rFonts w:hint="default"/>
          <w:bCs/>
          <w:sz w:val="24"/>
          <w:szCs w:val="24"/>
        </w:rPr>
        <w:tab/>
      </w:r>
      <w:r w:rsidRPr="00647629">
        <w:rPr>
          <w:rFonts w:hint="default"/>
          <w:bCs/>
          <w:sz w:val="24"/>
          <w:szCs w:val="24"/>
        </w:rPr>
        <w:t xml:space="preserve">Liao Z, Chen R, Chen M, et al., 2006, Introduction to Biological Information Databases. Biology Teaching, </w:t>
      </w:r>
      <w:r>
        <w:rPr>
          <w:rFonts w:hint="default"/>
          <w:bCs/>
          <w:sz w:val="24"/>
          <w:szCs w:val="24"/>
        </w:rPr>
        <w:t>2006</w:t>
      </w:r>
      <w:r w:rsidRPr="00647629">
        <w:rPr>
          <w:rFonts w:hint="default"/>
          <w:bCs/>
          <w:sz w:val="24"/>
          <w:szCs w:val="24"/>
        </w:rPr>
        <w:t>(1): 61–62.</w:t>
      </w:r>
    </w:p>
    <w:p w14:paraId="0BF28E15" w14:textId="77777777" w:rsidR="0007775F" w:rsidRDefault="0007775F" w:rsidP="0007775F">
      <w:pPr>
        <w:pStyle w:val="a"/>
        <w:snapToGrid w:val="0"/>
        <w:spacing w:line="240" w:lineRule="auto"/>
        <w:ind w:left="709" w:firstLineChars="0" w:hanging="709"/>
        <w:rPr>
          <w:rFonts w:hint="default"/>
          <w:bCs/>
          <w:sz w:val="24"/>
          <w:szCs w:val="24"/>
        </w:rPr>
      </w:pPr>
      <w:r w:rsidRPr="00647629">
        <w:rPr>
          <w:rFonts w:hint="default"/>
          <w:bCs/>
          <w:sz w:val="24"/>
          <w:szCs w:val="24"/>
        </w:rPr>
        <w:t xml:space="preserve">[7] </w:t>
      </w:r>
      <w:r>
        <w:rPr>
          <w:rFonts w:hint="default"/>
          <w:bCs/>
          <w:sz w:val="24"/>
          <w:szCs w:val="24"/>
        </w:rPr>
        <w:tab/>
      </w:r>
      <w:r w:rsidRPr="00647629">
        <w:rPr>
          <w:rFonts w:hint="default"/>
          <w:bCs/>
          <w:sz w:val="24"/>
          <w:szCs w:val="24"/>
        </w:rPr>
        <w:t>Keiser M, Roth B, Armbruster B, et al., 2007, Relating Protein Pharmacology by Ligand Chemistry. Nature Biotechnology, 25(2): 197–206.</w:t>
      </w:r>
    </w:p>
    <w:p w14:paraId="6A847977" w14:textId="77777777" w:rsidR="0007775F" w:rsidRDefault="0007775F" w:rsidP="0007775F">
      <w:pPr>
        <w:pStyle w:val="a"/>
        <w:snapToGrid w:val="0"/>
        <w:spacing w:line="240" w:lineRule="auto"/>
        <w:ind w:left="709" w:firstLineChars="0" w:hanging="709"/>
        <w:rPr>
          <w:rFonts w:hint="default"/>
          <w:bCs/>
          <w:sz w:val="24"/>
          <w:szCs w:val="24"/>
        </w:rPr>
      </w:pPr>
      <w:r w:rsidRPr="00647629">
        <w:rPr>
          <w:rFonts w:hint="default"/>
          <w:bCs/>
          <w:sz w:val="24"/>
          <w:szCs w:val="24"/>
        </w:rPr>
        <w:t xml:space="preserve">[8] </w:t>
      </w:r>
      <w:r>
        <w:rPr>
          <w:rFonts w:hint="default"/>
          <w:bCs/>
          <w:sz w:val="24"/>
          <w:szCs w:val="24"/>
        </w:rPr>
        <w:tab/>
      </w:r>
      <w:r w:rsidRPr="00647629">
        <w:rPr>
          <w:rFonts w:hint="default"/>
          <w:bCs/>
          <w:sz w:val="24"/>
          <w:szCs w:val="24"/>
        </w:rPr>
        <w:t xml:space="preserve">Sayers E, Beck J, Brister J, et al., 2020, Database Resources of the National </w:t>
      </w:r>
      <w:proofErr w:type="spellStart"/>
      <w:r w:rsidRPr="00647629">
        <w:rPr>
          <w:rFonts w:hint="default"/>
          <w:bCs/>
          <w:sz w:val="24"/>
          <w:szCs w:val="24"/>
        </w:rPr>
        <w:t>Center</w:t>
      </w:r>
      <w:proofErr w:type="spellEnd"/>
      <w:r w:rsidRPr="00647629">
        <w:rPr>
          <w:rFonts w:hint="default"/>
          <w:bCs/>
          <w:sz w:val="24"/>
          <w:szCs w:val="24"/>
        </w:rPr>
        <w:t xml:space="preserve"> for Biotechnology Information. Nucleic Acids Research, 48(D1): D9–D16.</w:t>
      </w:r>
    </w:p>
    <w:p w14:paraId="034362A0" w14:textId="77777777" w:rsidR="0007775F" w:rsidRDefault="0007775F" w:rsidP="0007775F">
      <w:pPr>
        <w:pStyle w:val="a"/>
        <w:snapToGrid w:val="0"/>
        <w:spacing w:line="240" w:lineRule="auto"/>
        <w:ind w:left="709" w:firstLineChars="0" w:hanging="709"/>
        <w:rPr>
          <w:rFonts w:hint="default"/>
          <w:bCs/>
          <w:sz w:val="24"/>
          <w:szCs w:val="24"/>
        </w:rPr>
      </w:pPr>
      <w:r w:rsidRPr="00647629">
        <w:rPr>
          <w:rFonts w:hint="default"/>
          <w:bCs/>
          <w:sz w:val="24"/>
          <w:szCs w:val="24"/>
        </w:rPr>
        <w:t xml:space="preserve">[9] </w:t>
      </w:r>
      <w:r>
        <w:rPr>
          <w:rFonts w:hint="default"/>
          <w:bCs/>
          <w:sz w:val="24"/>
          <w:szCs w:val="24"/>
        </w:rPr>
        <w:tab/>
      </w:r>
      <w:r w:rsidRPr="00647629">
        <w:rPr>
          <w:rFonts w:hint="default"/>
          <w:bCs/>
          <w:sz w:val="24"/>
          <w:szCs w:val="24"/>
        </w:rPr>
        <w:t>Huang J, Yue L, Sun L, et al., 2025, Systematic Analysis of Potential Drug Targets Related to Multiple Sclerosis Progression Based on the GEO Database and Prediction of Targeted Traditional Chinese Medicine Components. Chinese Herbal Medicine, 56(20): 7472–7484.</w:t>
      </w:r>
    </w:p>
    <w:p w14:paraId="0F850172" w14:textId="77777777" w:rsidR="0007775F" w:rsidRDefault="0007775F" w:rsidP="0007775F">
      <w:pPr>
        <w:pStyle w:val="a"/>
        <w:snapToGrid w:val="0"/>
        <w:spacing w:line="240" w:lineRule="auto"/>
        <w:ind w:left="709" w:firstLineChars="0" w:hanging="709"/>
        <w:rPr>
          <w:rFonts w:hint="default"/>
          <w:bCs/>
          <w:sz w:val="24"/>
          <w:szCs w:val="24"/>
        </w:rPr>
      </w:pPr>
      <w:r w:rsidRPr="00647629">
        <w:rPr>
          <w:rFonts w:hint="default"/>
          <w:bCs/>
          <w:sz w:val="24"/>
          <w:szCs w:val="24"/>
        </w:rPr>
        <w:t xml:space="preserve">[10] </w:t>
      </w:r>
      <w:r>
        <w:rPr>
          <w:rFonts w:hint="default"/>
          <w:bCs/>
          <w:sz w:val="24"/>
          <w:szCs w:val="24"/>
        </w:rPr>
        <w:tab/>
      </w:r>
      <w:r w:rsidRPr="00647629">
        <w:rPr>
          <w:rFonts w:hint="default"/>
          <w:bCs/>
          <w:sz w:val="24"/>
          <w:szCs w:val="24"/>
        </w:rPr>
        <w:t xml:space="preserve">Tang D, Chen M, Huang X, et al., 2023, </w:t>
      </w:r>
      <w:proofErr w:type="spellStart"/>
      <w:r w:rsidRPr="00647629">
        <w:rPr>
          <w:rFonts w:hint="default"/>
          <w:bCs/>
          <w:sz w:val="24"/>
          <w:szCs w:val="24"/>
        </w:rPr>
        <w:t>SRplot</w:t>
      </w:r>
      <w:proofErr w:type="spellEnd"/>
      <w:r w:rsidRPr="00647629">
        <w:rPr>
          <w:rFonts w:hint="default"/>
          <w:bCs/>
          <w:sz w:val="24"/>
          <w:szCs w:val="24"/>
        </w:rPr>
        <w:t xml:space="preserve">: A Free Online Platform for Data Visualization and Graphing. </w:t>
      </w:r>
      <w:proofErr w:type="spellStart"/>
      <w:r w:rsidRPr="00647629">
        <w:rPr>
          <w:rFonts w:hint="default"/>
          <w:bCs/>
          <w:sz w:val="24"/>
          <w:szCs w:val="24"/>
        </w:rPr>
        <w:t>PLoS</w:t>
      </w:r>
      <w:proofErr w:type="spellEnd"/>
      <w:r w:rsidRPr="00647629">
        <w:rPr>
          <w:rFonts w:hint="default"/>
          <w:bCs/>
          <w:sz w:val="24"/>
          <w:szCs w:val="24"/>
        </w:rPr>
        <w:t xml:space="preserve"> One, 18(11): e0294236.</w:t>
      </w:r>
    </w:p>
    <w:p w14:paraId="010340D9" w14:textId="77777777" w:rsidR="0007775F" w:rsidRDefault="0007775F" w:rsidP="0007775F">
      <w:pPr>
        <w:pStyle w:val="a"/>
        <w:snapToGrid w:val="0"/>
        <w:spacing w:line="240" w:lineRule="auto"/>
        <w:ind w:left="709" w:firstLineChars="0" w:hanging="709"/>
        <w:rPr>
          <w:rFonts w:hint="default"/>
          <w:bCs/>
          <w:sz w:val="24"/>
          <w:szCs w:val="24"/>
        </w:rPr>
      </w:pPr>
      <w:r w:rsidRPr="00647629">
        <w:rPr>
          <w:rFonts w:hint="default"/>
          <w:bCs/>
          <w:sz w:val="24"/>
          <w:szCs w:val="24"/>
        </w:rPr>
        <w:t xml:space="preserve">[11] </w:t>
      </w:r>
      <w:r>
        <w:rPr>
          <w:rFonts w:hint="default"/>
          <w:bCs/>
          <w:sz w:val="24"/>
          <w:szCs w:val="24"/>
        </w:rPr>
        <w:tab/>
      </w:r>
      <w:r w:rsidRPr="00647629">
        <w:rPr>
          <w:rFonts w:hint="default"/>
          <w:bCs/>
          <w:sz w:val="24"/>
          <w:szCs w:val="24"/>
        </w:rPr>
        <w:t xml:space="preserve">Doncheva N, Morris J, Gorodkin J, et al., 2019, </w:t>
      </w:r>
      <w:proofErr w:type="spellStart"/>
      <w:r w:rsidRPr="00647629">
        <w:rPr>
          <w:rFonts w:hint="default"/>
          <w:bCs/>
          <w:sz w:val="24"/>
          <w:szCs w:val="24"/>
        </w:rPr>
        <w:t>Cytoscape</w:t>
      </w:r>
      <w:proofErr w:type="spellEnd"/>
      <w:r w:rsidRPr="00647629">
        <w:rPr>
          <w:rFonts w:hint="default"/>
          <w:bCs/>
          <w:sz w:val="24"/>
          <w:szCs w:val="24"/>
        </w:rPr>
        <w:t xml:space="preserve"> String App: Network Analysis and Visualization of Proteomics Data. Journal of Proteome Research, 18(2): 623–632.</w:t>
      </w:r>
    </w:p>
    <w:p w14:paraId="3C5BC706" w14:textId="77777777" w:rsidR="0007775F" w:rsidRDefault="0007775F" w:rsidP="0007775F">
      <w:pPr>
        <w:pStyle w:val="a"/>
        <w:snapToGrid w:val="0"/>
        <w:spacing w:line="240" w:lineRule="auto"/>
        <w:ind w:left="709" w:firstLineChars="0" w:hanging="709"/>
        <w:rPr>
          <w:rFonts w:hint="default"/>
          <w:bCs/>
          <w:sz w:val="24"/>
          <w:szCs w:val="24"/>
        </w:rPr>
      </w:pPr>
      <w:r w:rsidRPr="00647629">
        <w:rPr>
          <w:rFonts w:hint="default"/>
          <w:bCs/>
          <w:sz w:val="24"/>
          <w:szCs w:val="24"/>
        </w:rPr>
        <w:t xml:space="preserve">[12] </w:t>
      </w:r>
      <w:r>
        <w:rPr>
          <w:rFonts w:hint="default"/>
          <w:bCs/>
          <w:sz w:val="24"/>
          <w:szCs w:val="24"/>
        </w:rPr>
        <w:tab/>
      </w:r>
      <w:r w:rsidRPr="00647629">
        <w:rPr>
          <w:rFonts w:hint="default"/>
          <w:bCs/>
          <w:sz w:val="24"/>
          <w:szCs w:val="24"/>
        </w:rPr>
        <w:t xml:space="preserve">Liu N, Yang Z, Yan Z, et al., 2025, Exploring the Mechanism of Action and Experimental Validation of </w:t>
      </w:r>
      <w:proofErr w:type="spellStart"/>
      <w:r w:rsidRPr="00647629">
        <w:rPr>
          <w:rFonts w:hint="default"/>
          <w:bCs/>
          <w:sz w:val="24"/>
          <w:szCs w:val="24"/>
        </w:rPr>
        <w:t>Zhuanggu</w:t>
      </w:r>
      <w:proofErr w:type="spellEnd"/>
      <w:r w:rsidRPr="00647629">
        <w:rPr>
          <w:rFonts w:hint="default"/>
          <w:bCs/>
          <w:sz w:val="24"/>
          <w:szCs w:val="24"/>
        </w:rPr>
        <w:t xml:space="preserve"> </w:t>
      </w:r>
      <w:proofErr w:type="spellStart"/>
      <w:r w:rsidRPr="00647629">
        <w:rPr>
          <w:rFonts w:hint="default"/>
          <w:bCs/>
          <w:sz w:val="24"/>
          <w:szCs w:val="24"/>
        </w:rPr>
        <w:t>Zhitong</w:t>
      </w:r>
      <w:proofErr w:type="spellEnd"/>
      <w:r w:rsidRPr="00647629">
        <w:rPr>
          <w:rFonts w:hint="default"/>
          <w:bCs/>
          <w:sz w:val="24"/>
          <w:szCs w:val="24"/>
        </w:rPr>
        <w:t xml:space="preserve"> Capsule in Treating Osteoporosis Based on Network Pharmacology and Molecular Docking. Journal of Cervical and Lumbar Pain, 1–11.</w:t>
      </w:r>
    </w:p>
    <w:p w14:paraId="447295F8" w14:textId="77777777" w:rsidR="0007775F" w:rsidRDefault="0007775F" w:rsidP="0007775F">
      <w:pPr>
        <w:pStyle w:val="a"/>
        <w:snapToGrid w:val="0"/>
        <w:spacing w:line="240" w:lineRule="auto"/>
        <w:ind w:left="709" w:firstLineChars="0" w:hanging="709"/>
        <w:rPr>
          <w:rFonts w:hint="default"/>
          <w:bCs/>
          <w:sz w:val="24"/>
          <w:szCs w:val="24"/>
        </w:rPr>
      </w:pPr>
      <w:r w:rsidRPr="00647629">
        <w:rPr>
          <w:rFonts w:hint="default"/>
          <w:bCs/>
          <w:sz w:val="24"/>
          <w:szCs w:val="24"/>
        </w:rPr>
        <w:t xml:space="preserve">[13] </w:t>
      </w:r>
      <w:r>
        <w:rPr>
          <w:rFonts w:hint="default"/>
          <w:bCs/>
          <w:sz w:val="24"/>
          <w:szCs w:val="24"/>
        </w:rPr>
        <w:tab/>
      </w:r>
      <w:r w:rsidRPr="00647629">
        <w:rPr>
          <w:rFonts w:hint="default"/>
          <w:bCs/>
          <w:sz w:val="24"/>
          <w:szCs w:val="24"/>
        </w:rPr>
        <w:t>Zhang M, Li J, Yan W, 2024, Analysis of the Mediating Effects of Global Clustering Distribution of Obesity and Its Impact on Health Expenditure. China Primary Health Care, 38(3): 30–33.</w:t>
      </w:r>
    </w:p>
    <w:p w14:paraId="25A7A82D" w14:textId="084BF976" w:rsidR="0007775F" w:rsidRDefault="0007775F" w:rsidP="0007775F">
      <w:pPr>
        <w:pStyle w:val="a"/>
        <w:snapToGrid w:val="0"/>
        <w:spacing w:line="240" w:lineRule="auto"/>
        <w:ind w:left="709" w:firstLineChars="0" w:hanging="709"/>
        <w:rPr>
          <w:rFonts w:hint="default"/>
          <w:bCs/>
          <w:sz w:val="24"/>
          <w:szCs w:val="24"/>
        </w:rPr>
      </w:pPr>
      <w:r w:rsidRPr="00647629">
        <w:rPr>
          <w:rFonts w:hint="default"/>
          <w:bCs/>
          <w:sz w:val="24"/>
          <w:szCs w:val="24"/>
        </w:rPr>
        <w:t xml:space="preserve">[14] </w:t>
      </w:r>
      <w:r>
        <w:rPr>
          <w:rFonts w:hint="default"/>
          <w:bCs/>
          <w:sz w:val="24"/>
          <w:szCs w:val="24"/>
        </w:rPr>
        <w:tab/>
      </w:r>
      <w:r w:rsidRPr="00647629">
        <w:rPr>
          <w:rFonts w:hint="default"/>
          <w:bCs/>
          <w:sz w:val="24"/>
          <w:szCs w:val="24"/>
        </w:rPr>
        <w:t xml:space="preserve">Wang Y, Chen F, He L, 2021, Efficacy Observation of </w:t>
      </w:r>
      <w:proofErr w:type="spellStart"/>
      <w:r w:rsidRPr="00647629">
        <w:rPr>
          <w:rFonts w:hint="default"/>
          <w:bCs/>
          <w:sz w:val="24"/>
          <w:szCs w:val="24"/>
        </w:rPr>
        <w:t>Shenling</w:t>
      </w:r>
      <w:proofErr w:type="spellEnd"/>
      <w:r w:rsidRPr="00647629">
        <w:rPr>
          <w:rFonts w:hint="default"/>
          <w:bCs/>
          <w:sz w:val="24"/>
          <w:szCs w:val="24"/>
        </w:rPr>
        <w:t xml:space="preserve"> </w:t>
      </w:r>
      <w:proofErr w:type="spellStart"/>
      <w:r w:rsidRPr="00647629">
        <w:rPr>
          <w:rFonts w:hint="default"/>
          <w:bCs/>
          <w:sz w:val="24"/>
          <w:szCs w:val="24"/>
        </w:rPr>
        <w:t>Baizhu</w:t>
      </w:r>
      <w:proofErr w:type="spellEnd"/>
      <w:r w:rsidRPr="00647629">
        <w:rPr>
          <w:rFonts w:hint="default"/>
          <w:bCs/>
          <w:sz w:val="24"/>
          <w:szCs w:val="24"/>
        </w:rPr>
        <w:t xml:space="preserve"> Powder Combined </w:t>
      </w:r>
      <w:r>
        <w:rPr>
          <w:rFonts w:hint="default"/>
          <w:bCs/>
          <w:sz w:val="24"/>
          <w:szCs w:val="24"/>
        </w:rPr>
        <w:t>w</w:t>
      </w:r>
      <w:r w:rsidRPr="00647629">
        <w:rPr>
          <w:rFonts w:hint="default"/>
          <w:bCs/>
          <w:sz w:val="24"/>
          <w:szCs w:val="24"/>
        </w:rPr>
        <w:t>ith Acupoint Thread Embedding in the Treatment of Simple Obesity. Hebei Medical Journal, 27(4): 664–669.</w:t>
      </w:r>
    </w:p>
    <w:p w14:paraId="6604DF33" w14:textId="77777777" w:rsidR="0007775F" w:rsidRDefault="0007775F" w:rsidP="0007775F">
      <w:pPr>
        <w:pStyle w:val="a"/>
        <w:snapToGrid w:val="0"/>
        <w:spacing w:line="240" w:lineRule="auto"/>
        <w:ind w:left="709" w:firstLineChars="0" w:hanging="709"/>
        <w:rPr>
          <w:rFonts w:hint="default"/>
          <w:bCs/>
          <w:sz w:val="24"/>
          <w:szCs w:val="24"/>
        </w:rPr>
      </w:pPr>
      <w:r w:rsidRPr="00647629">
        <w:rPr>
          <w:rFonts w:hint="default"/>
          <w:bCs/>
          <w:sz w:val="24"/>
          <w:szCs w:val="24"/>
        </w:rPr>
        <w:t xml:space="preserve">[15] </w:t>
      </w:r>
      <w:r>
        <w:rPr>
          <w:rFonts w:hint="default"/>
          <w:bCs/>
          <w:sz w:val="24"/>
          <w:szCs w:val="24"/>
        </w:rPr>
        <w:tab/>
      </w:r>
      <w:r w:rsidRPr="00647629">
        <w:rPr>
          <w:rFonts w:hint="default"/>
          <w:bCs/>
          <w:sz w:val="24"/>
          <w:szCs w:val="24"/>
        </w:rPr>
        <w:t xml:space="preserve">Niu C, Liang L, Yin Y, et al., 2024, Exploring the Molecular Mechanisms of </w:t>
      </w:r>
      <w:proofErr w:type="spellStart"/>
      <w:r w:rsidRPr="00647629">
        <w:rPr>
          <w:rFonts w:hint="default"/>
          <w:bCs/>
          <w:sz w:val="24"/>
          <w:szCs w:val="24"/>
        </w:rPr>
        <w:t>Shenling</w:t>
      </w:r>
      <w:proofErr w:type="spellEnd"/>
      <w:r w:rsidRPr="00647629">
        <w:rPr>
          <w:rFonts w:hint="default"/>
          <w:bCs/>
          <w:sz w:val="24"/>
          <w:szCs w:val="24"/>
        </w:rPr>
        <w:t xml:space="preserve"> </w:t>
      </w:r>
      <w:proofErr w:type="spellStart"/>
      <w:r w:rsidRPr="00647629">
        <w:rPr>
          <w:rFonts w:hint="default"/>
          <w:bCs/>
          <w:sz w:val="24"/>
          <w:szCs w:val="24"/>
        </w:rPr>
        <w:t>Baizhu</w:t>
      </w:r>
      <w:proofErr w:type="spellEnd"/>
      <w:r w:rsidRPr="00647629">
        <w:rPr>
          <w:rFonts w:hint="default"/>
          <w:bCs/>
          <w:sz w:val="24"/>
          <w:szCs w:val="24"/>
        </w:rPr>
        <w:t xml:space="preserve"> Powder in Improving Inflammatory Changes in Adipose Tissue in Children </w:t>
      </w:r>
      <w:r>
        <w:rPr>
          <w:rFonts w:hint="default"/>
          <w:bCs/>
          <w:sz w:val="24"/>
          <w:szCs w:val="24"/>
        </w:rPr>
        <w:t>w</w:t>
      </w:r>
      <w:r w:rsidRPr="00647629">
        <w:rPr>
          <w:rFonts w:hint="default"/>
          <w:bCs/>
          <w:sz w:val="24"/>
          <w:szCs w:val="24"/>
        </w:rPr>
        <w:t>ith Obesity and Validating Them Through Animal Experiments Based on Network Pharmacology. China Journal of Traditional Chinese Medicine Information, 31(12): 27–34.</w:t>
      </w:r>
    </w:p>
    <w:p w14:paraId="682CF115" w14:textId="77777777" w:rsidR="0007775F" w:rsidRDefault="0007775F" w:rsidP="0007775F">
      <w:pPr>
        <w:pStyle w:val="a"/>
        <w:snapToGrid w:val="0"/>
        <w:spacing w:line="240" w:lineRule="auto"/>
        <w:ind w:left="709" w:firstLineChars="0" w:hanging="709"/>
        <w:rPr>
          <w:rFonts w:hint="default"/>
          <w:bCs/>
          <w:sz w:val="24"/>
          <w:szCs w:val="24"/>
        </w:rPr>
      </w:pPr>
      <w:r w:rsidRPr="00647629">
        <w:rPr>
          <w:rFonts w:hint="default"/>
          <w:bCs/>
          <w:sz w:val="24"/>
          <w:szCs w:val="24"/>
        </w:rPr>
        <w:t xml:space="preserve">[16] </w:t>
      </w:r>
      <w:r>
        <w:rPr>
          <w:rFonts w:hint="default"/>
          <w:bCs/>
          <w:sz w:val="24"/>
          <w:szCs w:val="24"/>
        </w:rPr>
        <w:tab/>
      </w:r>
      <w:r w:rsidRPr="00647629">
        <w:rPr>
          <w:rFonts w:hint="default"/>
          <w:bCs/>
          <w:sz w:val="24"/>
          <w:szCs w:val="24"/>
        </w:rPr>
        <w:t xml:space="preserve">Chang Y, Luo H, Zhang Y, et al., 2013, Effects of </w:t>
      </w:r>
      <w:proofErr w:type="spellStart"/>
      <w:r w:rsidRPr="00647629">
        <w:rPr>
          <w:rFonts w:hint="default"/>
          <w:bCs/>
          <w:sz w:val="24"/>
          <w:szCs w:val="24"/>
        </w:rPr>
        <w:t>Licorice</w:t>
      </w:r>
      <w:proofErr w:type="spellEnd"/>
      <w:r w:rsidRPr="00647629">
        <w:rPr>
          <w:rFonts w:hint="default"/>
          <w:bCs/>
          <w:sz w:val="24"/>
          <w:szCs w:val="24"/>
        </w:rPr>
        <w:t xml:space="preserve"> Extract on Subcutaneous Fat Deposition and Activity of Metabolic Enzymes in Sheep. China Animal Husbandry and Veterinary Medicine, 40(11): 115–120.</w:t>
      </w:r>
    </w:p>
    <w:p w14:paraId="047DDFBD" w14:textId="77777777" w:rsidR="0007775F" w:rsidRDefault="0007775F" w:rsidP="0007775F">
      <w:pPr>
        <w:pStyle w:val="a"/>
        <w:snapToGrid w:val="0"/>
        <w:spacing w:line="240" w:lineRule="auto"/>
        <w:ind w:left="709" w:firstLineChars="0" w:hanging="709"/>
        <w:rPr>
          <w:rFonts w:hint="default"/>
          <w:bCs/>
          <w:sz w:val="24"/>
          <w:szCs w:val="24"/>
        </w:rPr>
      </w:pPr>
      <w:r w:rsidRPr="00647629">
        <w:rPr>
          <w:rFonts w:hint="default"/>
          <w:bCs/>
          <w:sz w:val="24"/>
          <w:szCs w:val="24"/>
        </w:rPr>
        <w:t xml:space="preserve">[17] </w:t>
      </w:r>
      <w:r>
        <w:rPr>
          <w:rFonts w:hint="default"/>
          <w:bCs/>
          <w:sz w:val="24"/>
          <w:szCs w:val="24"/>
        </w:rPr>
        <w:tab/>
      </w:r>
      <w:r w:rsidRPr="00647629">
        <w:rPr>
          <w:rFonts w:hint="default"/>
          <w:bCs/>
          <w:sz w:val="24"/>
          <w:szCs w:val="24"/>
        </w:rPr>
        <w:t xml:space="preserve">Wu J, Zhang J, </w:t>
      </w:r>
      <w:proofErr w:type="spellStart"/>
      <w:r w:rsidRPr="00647629">
        <w:rPr>
          <w:rFonts w:hint="default"/>
          <w:bCs/>
          <w:sz w:val="24"/>
          <w:szCs w:val="24"/>
        </w:rPr>
        <w:t>Lü</w:t>
      </w:r>
      <w:proofErr w:type="spellEnd"/>
      <w:r w:rsidRPr="00647629">
        <w:rPr>
          <w:rFonts w:hint="default"/>
          <w:bCs/>
          <w:sz w:val="24"/>
          <w:szCs w:val="24"/>
        </w:rPr>
        <w:t xml:space="preserve"> G, et al., 2023, Effect of </w:t>
      </w:r>
      <w:proofErr w:type="spellStart"/>
      <w:r w:rsidRPr="00647629">
        <w:rPr>
          <w:rFonts w:hint="default"/>
          <w:bCs/>
          <w:sz w:val="24"/>
          <w:szCs w:val="24"/>
        </w:rPr>
        <w:t>Trichosanthes</w:t>
      </w:r>
      <w:proofErr w:type="spellEnd"/>
      <w:r w:rsidRPr="00647629">
        <w:rPr>
          <w:rFonts w:hint="default"/>
          <w:bCs/>
          <w:sz w:val="24"/>
          <w:szCs w:val="24"/>
        </w:rPr>
        <w:t xml:space="preserve"> </w:t>
      </w:r>
      <w:proofErr w:type="spellStart"/>
      <w:r w:rsidRPr="00647629">
        <w:rPr>
          <w:rFonts w:hint="default"/>
          <w:bCs/>
          <w:sz w:val="24"/>
          <w:szCs w:val="24"/>
        </w:rPr>
        <w:t>kirilowii</w:t>
      </w:r>
      <w:proofErr w:type="spellEnd"/>
      <w:r w:rsidRPr="00647629">
        <w:rPr>
          <w:rFonts w:hint="default"/>
          <w:bCs/>
          <w:sz w:val="24"/>
          <w:szCs w:val="24"/>
        </w:rPr>
        <w:t xml:space="preserve"> Peel Extract on the Expression of Inflammatory Factors in High-Sugar-Induced Human Renal Tubular Epithelial Cells Through Regulation of NQO1. China Journal of Immunology, 39(8): 1585–1589.</w:t>
      </w:r>
    </w:p>
    <w:p w14:paraId="293571E4" w14:textId="77777777" w:rsidR="0007775F" w:rsidRDefault="0007775F" w:rsidP="0007775F">
      <w:pPr>
        <w:pStyle w:val="a"/>
        <w:snapToGrid w:val="0"/>
        <w:spacing w:line="240" w:lineRule="auto"/>
        <w:ind w:left="709" w:firstLineChars="0" w:hanging="709"/>
        <w:rPr>
          <w:rFonts w:hint="default"/>
          <w:bCs/>
          <w:sz w:val="24"/>
          <w:szCs w:val="24"/>
        </w:rPr>
      </w:pPr>
      <w:r w:rsidRPr="00647629">
        <w:rPr>
          <w:rFonts w:hint="default"/>
          <w:bCs/>
          <w:sz w:val="24"/>
          <w:szCs w:val="24"/>
        </w:rPr>
        <w:lastRenderedPageBreak/>
        <w:t xml:space="preserve">[18] </w:t>
      </w:r>
      <w:r>
        <w:rPr>
          <w:rFonts w:hint="default"/>
          <w:bCs/>
          <w:sz w:val="24"/>
          <w:szCs w:val="24"/>
        </w:rPr>
        <w:tab/>
      </w:r>
      <w:proofErr w:type="spellStart"/>
      <w:r w:rsidRPr="00647629">
        <w:rPr>
          <w:rFonts w:hint="default"/>
          <w:bCs/>
          <w:sz w:val="24"/>
          <w:szCs w:val="24"/>
        </w:rPr>
        <w:t>Yilihan</w:t>
      </w:r>
      <w:proofErr w:type="spellEnd"/>
      <w:r w:rsidRPr="00647629">
        <w:rPr>
          <w:rFonts w:hint="default"/>
          <w:bCs/>
          <w:sz w:val="24"/>
          <w:szCs w:val="24"/>
        </w:rPr>
        <w:t xml:space="preserve"> Y, </w:t>
      </w:r>
      <w:proofErr w:type="spellStart"/>
      <w:r w:rsidRPr="00647629">
        <w:rPr>
          <w:rFonts w:hint="default"/>
          <w:bCs/>
          <w:sz w:val="24"/>
          <w:szCs w:val="24"/>
        </w:rPr>
        <w:t>Aikebaier</w:t>
      </w:r>
      <w:proofErr w:type="spellEnd"/>
      <w:r w:rsidRPr="00647629">
        <w:rPr>
          <w:rFonts w:hint="default"/>
          <w:bCs/>
          <w:sz w:val="24"/>
          <w:szCs w:val="24"/>
        </w:rPr>
        <w:t xml:space="preserve"> A, </w:t>
      </w:r>
      <w:proofErr w:type="spellStart"/>
      <w:r w:rsidRPr="00647629">
        <w:rPr>
          <w:rFonts w:hint="default"/>
          <w:bCs/>
          <w:sz w:val="24"/>
          <w:szCs w:val="24"/>
        </w:rPr>
        <w:t>Maimaiti</w:t>
      </w:r>
      <w:proofErr w:type="spellEnd"/>
      <w:r w:rsidRPr="00647629">
        <w:rPr>
          <w:rFonts w:hint="default"/>
          <w:bCs/>
          <w:sz w:val="24"/>
          <w:szCs w:val="24"/>
        </w:rPr>
        <w:t xml:space="preserve"> Y, et al., 2023, Molecular Mechanisms of Dipeptidyl Peptidase-4 (DPP4) in Promoting Oxidative Stress and Inflammatory Responses in Adipocytes. Advances in Clinical Medicine, 13(2): 2529–2935.</w:t>
      </w:r>
    </w:p>
    <w:p w14:paraId="2B3EF40F" w14:textId="77777777" w:rsidR="0007775F" w:rsidRDefault="0007775F" w:rsidP="0007775F">
      <w:pPr>
        <w:pStyle w:val="a"/>
        <w:snapToGrid w:val="0"/>
        <w:spacing w:line="240" w:lineRule="auto"/>
        <w:ind w:left="709" w:firstLineChars="0" w:hanging="709"/>
        <w:rPr>
          <w:rFonts w:hint="default"/>
          <w:bCs/>
          <w:sz w:val="24"/>
          <w:szCs w:val="24"/>
        </w:rPr>
      </w:pPr>
      <w:r w:rsidRPr="00647629">
        <w:rPr>
          <w:rFonts w:hint="default"/>
          <w:bCs/>
          <w:sz w:val="24"/>
          <w:szCs w:val="24"/>
        </w:rPr>
        <w:t>[19]</w:t>
      </w:r>
      <w:r>
        <w:rPr>
          <w:rFonts w:hint="default"/>
          <w:bCs/>
          <w:sz w:val="24"/>
          <w:szCs w:val="24"/>
        </w:rPr>
        <w:tab/>
      </w:r>
      <w:r w:rsidRPr="00647629">
        <w:rPr>
          <w:rFonts w:hint="default"/>
          <w:bCs/>
          <w:sz w:val="24"/>
          <w:szCs w:val="24"/>
        </w:rPr>
        <w:t>Zhong G, Chen D, 2022, Research Progress on the Mechanisms of Flavonoids in Fat Metabolism. Journal of Animal Nutrition, 34(6): 3483–3494.</w:t>
      </w:r>
    </w:p>
    <w:p w14:paraId="5AB17C9A" w14:textId="756B7D77" w:rsidR="0007775F" w:rsidRDefault="0007775F" w:rsidP="0007775F">
      <w:pPr>
        <w:pStyle w:val="a"/>
        <w:snapToGrid w:val="0"/>
        <w:spacing w:line="240" w:lineRule="auto"/>
        <w:ind w:left="709" w:firstLineChars="0" w:hanging="709"/>
        <w:rPr>
          <w:rFonts w:hint="default"/>
          <w:bCs/>
          <w:sz w:val="24"/>
          <w:szCs w:val="24"/>
        </w:rPr>
      </w:pPr>
      <w:r w:rsidRPr="00647629">
        <w:rPr>
          <w:rFonts w:hint="default"/>
          <w:bCs/>
          <w:sz w:val="24"/>
          <w:szCs w:val="24"/>
        </w:rPr>
        <w:t xml:space="preserve">[20] </w:t>
      </w:r>
      <w:r>
        <w:rPr>
          <w:rFonts w:hint="default"/>
          <w:bCs/>
          <w:sz w:val="24"/>
          <w:szCs w:val="24"/>
        </w:rPr>
        <w:tab/>
      </w:r>
      <w:r w:rsidRPr="00647629">
        <w:rPr>
          <w:rFonts w:hint="default"/>
          <w:bCs/>
          <w:sz w:val="24"/>
          <w:szCs w:val="24"/>
        </w:rPr>
        <w:t xml:space="preserve">Zhao P, Jian J, Ren M, 2021, Research Progress on the Active Components and Mechanisms of Medicinal Foods </w:t>
      </w:r>
      <w:r>
        <w:rPr>
          <w:rFonts w:hint="default"/>
          <w:bCs/>
          <w:sz w:val="24"/>
          <w:szCs w:val="24"/>
        </w:rPr>
        <w:t>w</w:t>
      </w:r>
      <w:r w:rsidRPr="00647629">
        <w:rPr>
          <w:rFonts w:hint="default"/>
          <w:bCs/>
          <w:sz w:val="24"/>
          <w:szCs w:val="24"/>
        </w:rPr>
        <w:t>ith Shared Properties in Treating Obesity. Journal of Guangdong University of Pharmaceutical Sciences, 37(3): 141–149.</w:t>
      </w:r>
    </w:p>
    <w:p w14:paraId="5D86D26F" w14:textId="77777777" w:rsidR="0007775F" w:rsidRDefault="0007775F" w:rsidP="0007775F">
      <w:pPr>
        <w:pStyle w:val="a"/>
        <w:snapToGrid w:val="0"/>
        <w:spacing w:line="240" w:lineRule="auto"/>
        <w:ind w:left="709" w:firstLineChars="0" w:hanging="709"/>
        <w:rPr>
          <w:rFonts w:hint="default"/>
          <w:bCs/>
          <w:sz w:val="24"/>
          <w:szCs w:val="24"/>
        </w:rPr>
      </w:pPr>
      <w:r w:rsidRPr="00647629">
        <w:rPr>
          <w:rFonts w:hint="default"/>
          <w:bCs/>
          <w:sz w:val="24"/>
          <w:szCs w:val="24"/>
        </w:rPr>
        <w:t xml:space="preserve">[21] </w:t>
      </w:r>
      <w:r>
        <w:rPr>
          <w:rFonts w:hint="default"/>
          <w:bCs/>
          <w:sz w:val="24"/>
          <w:szCs w:val="24"/>
        </w:rPr>
        <w:tab/>
      </w:r>
      <w:proofErr w:type="spellStart"/>
      <w:r w:rsidRPr="00647629">
        <w:rPr>
          <w:rFonts w:hint="default"/>
          <w:bCs/>
          <w:sz w:val="24"/>
          <w:szCs w:val="24"/>
        </w:rPr>
        <w:t>Abraityte</w:t>
      </w:r>
      <w:proofErr w:type="spellEnd"/>
      <w:r w:rsidRPr="00647629">
        <w:rPr>
          <w:rFonts w:hint="default"/>
          <w:bCs/>
          <w:sz w:val="24"/>
          <w:szCs w:val="24"/>
        </w:rPr>
        <w:t xml:space="preserve"> A, </w:t>
      </w:r>
      <w:proofErr w:type="spellStart"/>
      <w:r w:rsidRPr="00647629">
        <w:rPr>
          <w:rFonts w:hint="default"/>
          <w:bCs/>
          <w:sz w:val="24"/>
          <w:szCs w:val="24"/>
        </w:rPr>
        <w:t>Aukrust</w:t>
      </w:r>
      <w:proofErr w:type="spellEnd"/>
      <w:r w:rsidRPr="00647629">
        <w:rPr>
          <w:rFonts w:hint="default"/>
          <w:bCs/>
          <w:sz w:val="24"/>
          <w:szCs w:val="24"/>
        </w:rPr>
        <w:t xml:space="preserve"> P, Kou I, et al., 2019, T Cell and Monocyte/Macrophage Activation Markers Associate </w:t>
      </w:r>
      <w:r>
        <w:rPr>
          <w:rFonts w:hint="default"/>
          <w:bCs/>
          <w:sz w:val="24"/>
          <w:szCs w:val="24"/>
        </w:rPr>
        <w:t>w</w:t>
      </w:r>
      <w:r w:rsidRPr="00647629">
        <w:rPr>
          <w:rFonts w:hint="default"/>
          <w:bCs/>
          <w:sz w:val="24"/>
          <w:szCs w:val="24"/>
        </w:rPr>
        <w:t xml:space="preserve">ith Adverse Outcome, but Give Limited Prognostic Value in </w:t>
      </w:r>
      <w:proofErr w:type="spellStart"/>
      <w:r w:rsidRPr="00647629">
        <w:rPr>
          <w:rFonts w:hint="default"/>
          <w:bCs/>
          <w:sz w:val="24"/>
          <w:szCs w:val="24"/>
        </w:rPr>
        <w:t>Anemic</w:t>
      </w:r>
      <w:proofErr w:type="spellEnd"/>
      <w:r w:rsidRPr="00647629">
        <w:rPr>
          <w:rFonts w:hint="default"/>
          <w:bCs/>
          <w:sz w:val="24"/>
          <w:szCs w:val="24"/>
        </w:rPr>
        <w:t xml:space="preserve"> Patients </w:t>
      </w:r>
      <w:r>
        <w:rPr>
          <w:rFonts w:hint="default"/>
          <w:bCs/>
          <w:sz w:val="24"/>
          <w:szCs w:val="24"/>
        </w:rPr>
        <w:t>w</w:t>
      </w:r>
      <w:r w:rsidRPr="00647629">
        <w:rPr>
          <w:rFonts w:hint="default"/>
          <w:bCs/>
          <w:sz w:val="24"/>
          <w:szCs w:val="24"/>
        </w:rPr>
        <w:t>ith Heart Failure: Results From RED-HF. Clinical Research in Cardiology, 108(2): 133–141.</w:t>
      </w:r>
    </w:p>
    <w:p w14:paraId="6C1E428C" w14:textId="77777777" w:rsidR="0007775F" w:rsidRDefault="0007775F" w:rsidP="0007775F">
      <w:pPr>
        <w:pStyle w:val="a"/>
        <w:snapToGrid w:val="0"/>
        <w:spacing w:line="240" w:lineRule="auto"/>
        <w:ind w:left="709" w:firstLineChars="0" w:hanging="709"/>
        <w:rPr>
          <w:rFonts w:hint="default"/>
          <w:bCs/>
          <w:sz w:val="24"/>
          <w:szCs w:val="24"/>
        </w:rPr>
      </w:pPr>
      <w:r w:rsidRPr="00647629">
        <w:rPr>
          <w:rFonts w:hint="default"/>
          <w:bCs/>
          <w:sz w:val="24"/>
          <w:szCs w:val="24"/>
        </w:rPr>
        <w:t xml:space="preserve">[22] </w:t>
      </w:r>
      <w:r>
        <w:rPr>
          <w:rFonts w:hint="default"/>
          <w:bCs/>
          <w:sz w:val="24"/>
          <w:szCs w:val="24"/>
        </w:rPr>
        <w:tab/>
      </w:r>
      <w:r w:rsidRPr="00647629">
        <w:rPr>
          <w:rFonts w:hint="default"/>
          <w:bCs/>
          <w:sz w:val="24"/>
          <w:szCs w:val="24"/>
        </w:rPr>
        <w:t>Shi S, et al., 2020, Advances in the Study of Pyroptotic Apoptosis. Progress in Biochemistry and Biophysics, 47(7): 561–573.</w:t>
      </w:r>
    </w:p>
    <w:p w14:paraId="3E8D7854" w14:textId="77777777" w:rsidR="0007775F" w:rsidRDefault="0007775F" w:rsidP="0007775F">
      <w:pPr>
        <w:pStyle w:val="a"/>
        <w:snapToGrid w:val="0"/>
        <w:spacing w:line="240" w:lineRule="auto"/>
        <w:ind w:left="709" w:firstLineChars="0" w:hanging="709"/>
        <w:rPr>
          <w:rFonts w:hint="default"/>
          <w:bCs/>
          <w:sz w:val="24"/>
          <w:szCs w:val="24"/>
        </w:rPr>
      </w:pPr>
      <w:r w:rsidRPr="00647629">
        <w:rPr>
          <w:rFonts w:hint="default"/>
          <w:bCs/>
          <w:sz w:val="24"/>
          <w:szCs w:val="24"/>
        </w:rPr>
        <w:t xml:space="preserve">[23] </w:t>
      </w:r>
      <w:r>
        <w:rPr>
          <w:rFonts w:hint="default"/>
          <w:bCs/>
          <w:sz w:val="24"/>
          <w:szCs w:val="24"/>
        </w:rPr>
        <w:tab/>
      </w:r>
      <w:r w:rsidRPr="00647629">
        <w:rPr>
          <w:rFonts w:hint="default"/>
          <w:bCs/>
          <w:sz w:val="24"/>
          <w:szCs w:val="24"/>
        </w:rPr>
        <w:t>Dasgupta S, O'Malley B, 2014, Transcriptional Coregulators: Emerging Roles of SRC Family of Coactivators in Disease Pathology. Journal of Molecular Endocrinology, 53: R47–R59.</w:t>
      </w:r>
    </w:p>
    <w:p w14:paraId="6DED14A1" w14:textId="77777777" w:rsidR="0007775F" w:rsidRDefault="0007775F" w:rsidP="0007775F">
      <w:pPr>
        <w:pStyle w:val="a"/>
        <w:snapToGrid w:val="0"/>
        <w:spacing w:line="240" w:lineRule="auto"/>
        <w:ind w:left="709" w:firstLineChars="0" w:hanging="709"/>
        <w:rPr>
          <w:rFonts w:hint="default"/>
          <w:bCs/>
          <w:sz w:val="24"/>
          <w:szCs w:val="24"/>
        </w:rPr>
      </w:pPr>
      <w:r w:rsidRPr="00647629">
        <w:rPr>
          <w:rFonts w:hint="default"/>
          <w:bCs/>
          <w:sz w:val="24"/>
          <w:szCs w:val="24"/>
        </w:rPr>
        <w:t xml:space="preserve">[24] </w:t>
      </w:r>
      <w:r>
        <w:rPr>
          <w:rFonts w:hint="default"/>
          <w:bCs/>
          <w:sz w:val="24"/>
          <w:szCs w:val="24"/>
        </w:rPr>
        <w:tab/>
      </w:r>
      <w:r w:rsidRPr="00647629">
        <w:rPr>
          <w:rFonts w:hint="default"/>
          <w:bCs/>
          <w:sz w:val="24"/>
          <w:szCs w:val="24"/>
        </w:rPr>
        <w:t>Hu F, Chen Y, Hu J, et al., 2019, Research on Core Traditional Chinese Medicines and Their Combinations in the Syndrome Differentiation and Treatment of Obesity Based on the Fast Newman Algorithm. China Journal of Basic Medicine Sciences of Traditional Chinese Medicine, 25(8): 1082–1085.</w:t>
      </w:r>
    </w:p>
    <w:p w14:paraId="3AF86606" w14:textId="77777777" w:rsidR="0007775F" w:rsidRDefault="0007775F" w:rsidP="0007775F">
      <w:pPr>
        <w:pStyle w:val="a"/>
        <w:snapToGrid w:val="0"/>
        <w:spacing w:line="240" w:lineRule="auto"/>
        <w:ind w:left="709" w:firstLineChars="0" w:hanging="709"/>
        <w:rPr>
          <w:rFonts w:hint="default"/>
          <w:bCs/>
          <w:sz w:val="24"/>
          <w:szCs w:val="24"/>
        </w:rPr>
      </w:pPr>
      <w:r w:rsidRPr="00647629">
        <w:rPr>
          <w:rFonts w:hint="default"/>
          <w:bCs/>
          <w:sz w:val="24"/>
          <w:szCs w:val="24"/>
        </w:rPr>
        <w:t xml:space="preserve">[25] </w:t>
      </w:r>
      <w:r>
        <w:rPr>
          <w:rFonts w:hint="default"/>
          <w:bCs/>
          <w:sz w:val="24"/>
          <w:szCs w:val="24"/>
        </w:rPr>
        <w:tab/>
      </w:r>
      <w:r w:rsidRPr="00647629">
        <w:rPr>
          <w:rFonts w:hint="default"/>
          <w:bCs/>
          <w:sz w:val="24"/>
          <w:szCs w:val="24"/>
        </w:rPr>
        <w:t xml:space="preserve">Yang X, Li Y, Yuan L, et al., 2021, Exploring the Molecular Mechanisms of </w:t>
      </w:r>
      <w:proofErr w:type="spellStart"/>
      <w:r w:rsidRPr="00647629">
        <w:rPr>
          <w:rFonts w:hint="default"/>
          <w:bCs/>
          <w:sz w:val="24"/>
          <w:szCs w:val="24"/>
        </w:rPr>
        <w:t>Atractylodes</w:t>
      </w:r>
      <w:proofErr w:type="spellEnd"/>
      <w:r w:rsidRPr="00647629">
        <w:rPr>
          <w:rFonts w:hint="default"/>
          <w:bCs/>
          <w:sz w:val="24"/>
          <w:szCs w:val="24"/>
        </w:rPr>
        <w:t xml:space="preserve"> </w:t>
      </w:r>
      <w:proofErr w:type="spellStart"/>
      <w:r w:rsidRPr="00647629">
        <w:rPr>
          <w:rFonts w:hint="default"/>
          <w:bCs/>
          <w:sz w:val="24"/>
          <w:szCs w:val="24"/>
        </w:rPr>
        <w:t>macrocephala</w:t>
      </w:r>
      <w:proofErr w:type="spellEnd"/>
      <w:r w:rsidRPr="00647629">
        <w:rPr>
          <w:rFonts w:hint="default"/>
          <w:bCs/>
          <w:sz w:val="24"/>
          <w:szCs w:val="24"/>
        </w:rPr>
        <w:t xml:space="preserve"> in Treating Type 2 Diabetes Based on Network Pharmacology and the GEO Dataset. Journal of Shenyang Pharmaceutical University, 38(12): 1309–1318.</w:t>
      </w:r>
    </w:p>
    <w:p w14:paraId="28B50CA9" w14:textId="77777777" w:rsidR="0007775F" w:rsidRDefault="0007775F" w:rsidP="0007775F">
      <w:pPr>
        <w:pStyle w:val="a"/>
        <w:snapToGrid w:val="0"/>
        <w:spacing w:line="240" w:lineRule="auto"/>
        <w:ind w:left="709" w:firstLineChars="0" w:hanging="709"/>
        <w:rPr>
          <w:rFonts w:hint="default"/>
          <w:bCs/>
          <w:sz w:val="24"/>
          <w:szCs w:val="24"/>
        </w:rPr>
      </w:pPr>
      <w:r w:rsidRPr="00647629">
        <w:rPr>
          <w:rFonts w:hint="default"/>
          <w:bCs/>
          <w:sz w:val="24"/>
          <w:szCs w:val="24"/>
        </w:rPr>
        <w:t xml:space="preserve">[26] </w:t>
      </w:r>
      <w:r>
        <w:rPr>
          <w:rFonts w:hint="default"/>
          <w:bCs/>
          <w:sz w:val="24"/>
          <w:szCs w:val="24"/>
        </w:rPr>
        <w:tab/>
      </w:r>
      <w:r w:rsidRPr="00647629">
        <w:rPr>
          <w:rFonts w:hint="default"/>
          <w:bCs/>
          <w:sz w:val="24"/>
          <w:szCs w:val="24"/>
        </w:rPr>
        <w:t>Wei W, Xuan Y, Huang X, 2023, The Lipid-Lowering and Gut Microbiota-Regulating Effects of Poria Polysaccharide on Nutritionally Obese Young Mice. Modern Food Science and Technology, 39(10): 35–43.</w:t>
      </w:r>
    </w:p>
    <w:p w14:paraId="48E4E16B" w14:textId="517A2F58" w:rsidR="0007775F" w:rsidRPr="00647629" w:rsidRDefault="0007775F" w:rsidP="00647629">
      <w:pPr>
        <w:pStyle w:val="a"/>
        <w:snapToGrid w:val="0"/>
        <w:spacing w:line="240" w:lineRule="auto"/>
        <w:ind w:left="709" w:firstLineChars="0" w:hanging="709"/>
        <w:rPr>
          <w:rFonts w:hint="default"/>
          <w:bCs/>
          <w:sz w:val="24"/>
          <w:szCs w:val="24"/>
        </w:rPr>
      </w:pPr>
      <w:r w:rsidRPr="00647629">
        <w:rPr>
          <w:rFonts w:hint="default"/>
          <w:bCs/>
          <w:sz w:val="24"/>
          <w:szCs w:val="24"/>
        </w:rPr>
        <w:t xml:space="preserve">[27] </w:t>
      </w:r>
      <w:r>
        <w:rPr>
          <w:rFonts w:hint="default"/>
          <w:bCs/>
          <w:sz w:val="24"/>
          <w:szCs w:val="24"/>
        </w:rPr>
        <w:tab/>
      </w:r>
      <w:r w:rsidRPr="00647629">
        <w:rPr>
          <w:rFonts w:hint="default"/>
          <w:bCs/>
          <w:sz w:val="24"/>
          <w:szCs w:val="24"/>
        </w:rPr>
        <w:t xml:space="preserve">Gao Z, Yang X, Xu Q, et al., 2023, The Improvement Effect and Mechanism of Ginsenoside </w:t>
      </w:r>
      <w:proofErr w:type="spellStart"/>
      <w:r w:rsidRPr="00647629">
        <w:rPr>
          <w:rFonts w:hint="default"/>
          <w:bCs/>
          <w:sz w:val="24"/>
          <w:szCs w:val="24"/>
        </w:rPr>
        <w:t>Rc</w:t>
      </w:r>
      <w:proofErr w:type="spellEnd"/>
      <w:r w:rsidRPr="00647629">
        <w:rPr>
          <w:rFonts w:hint="default"/>
          <w:bCs/>
          <w:sz w:val="24"/>
          <w:szCs w:val="24"/>
        </w:rPr>
        <w:t xml:space="preserve"> Binding Enhancement via the SIRT6/AMPK Pathway on Lipid Metabolism Disorders Induced by High-Fat Diet in Mice. China Journal of Sports Medicine, 42(5): 377–388.</w:t>
      </w:r>
    </w:p>
    <w:p w14:paraId="49468539" w14:textId="77777777" w:rsidR="0007775F" w:rsidRPr="0007775F" w:rsidRDefault="0007775F" w:rsidP="0007775F">
      <w:pPr>
        <w:pStyle w:val="a"/>
        <w:snapToGrid w:val="0"/>
        <w:spacing w:line="240" w:lineRule="auto"/>
        <w:ind w:firstLineChars="0" w:firstLine="0"/>
        <w:rPr>
          <w:rFonts w:hint="default"/>
          <w:b/>
          <w:bCs/>
          <w:sz w:val="24"/>
          <w:szCs w:val="24"/>
          <w:lang w:val="en-US"/>
        </w:rPr>
      </w:pPr>
    </w:p>
    <w:p w14:paraId="47B7FAF2" w14:textId="77ACA323" w:rsidR="0007775F" w:rsidRPr="00647629" w:rsidRDefault="0007775F" w:rsidP="00647629">
      <w:pPr>
        <w:pStyle w:val="a"/>
        <w:snapToGrid w:val="0"/>
        <w:spacing w:line="240" w:lineRule="auto"/>
        <w:ind w:firstLineChars="0" w:firstLine="0"/>
        <w:rPr>
          <w:b/>
          <w:bCs/>
          <w:sz w:val="20"/>
        </w:rPr>
      </w:pPr>
      <w:r w:rsidRPr="00647629">
        <w:rPr>
          <w:b/>
          <w:bCs/>
          <w:sz w:val="20"/>
        </w:rPr>
        <w:t>Publisher</w:t>
      </w:r>
      <w:r>
        <w:rPr>
          <w:rFonts w:hint="default"/>
          <w:b/>
          <w:bCs/>
          <w:sz w:val="20"/>
          <w:lang w:val="en-US"/>
        </w:rPr>
        <w:t>’</w:t>
      </w:r>
      <w:r w:rsidRPr="00647629">
        <w:rPr>
          <w:b/>
          <w:bCs/>
          <w:sz w:val="20"/>
        </w:rPr>
        <w:t>s note</w:t>
      </w:r>
    </w:p>
    <w:p w14:paraId="7822F3DF" w14:textId="77777777" w:rsidR="0007775F" w:rsidRPr="00647629" w:rsidRDefault="0007775F" w:rsidP="00647629">
      <w:pPr>
        <w:pStyle w:val="a"/>
        <w:snapToGrid w:val="0"/>
        <w:spacing w:line="240" w:lineRule="auto"/>
        <w:ind w:firstLineChars="0" w:firstLine="0"/>
        <w:rPr>
          <w:sz w:val="20"/>
        </w:rPr>
      </w:pPr>
      <w:r w:rsidRPr="00647629">
        <w:rPr>
          <w:sz w:val="20"/>
        </w:rPr>
        <w:t xml:space="preserve">Bio-Byword Scientific Publishing remains neutral with regard to jurisdictional claims in published maps and institutional affiliations. </w:t>
      </w:r>
    </w:p>
    <w:p w14:paraId="339C2A97" w14:textId="77777777" w:rsidR="0007775F" w:rsidRPr="00647629" w:rsidRDefault="0007775F" w:rsidP="00647629">
      <w:pPr>
        <w:pStyle w:val="a"/>
        <w:snapToGrid w:val="0"/>
        <w:spacing w:line="240" w:lineRule="auto"/>
        <w:ind w:firstLineChars="0" w:firstLine="0"/>
        <w:rPr>
          <w:rFonts w:hint="default"/>
          <w:b/>
          <w:bCs/>
          <w:sz w:val="24"/>
          <w:szCs w:val="24"/>
        </w:rPr>
      </w:pPr>
    </w:p>
    <w:p w14:paraId="373A5FCB" w14:textId="77777777" w:rsidR="00667E00" w:rsidRDefault="00667E00" w:rsidP="00647629">
      <w:pPr>
        <w:pStyle w:val="a0"/>
        <w:snapToGrid w:val="0"/>
        <w:spacing w:before="0" w:after="0" w:line="240" w:lineRule="auto"/>
        <w:rPr>
          <w:rFonts w:hint="default"/>
          <w:b w:val="0"/>
          <w:bCs/>
          <w:sz w:val="24"/>
          <w:szCs w:val="24"/>
          <w:lang w:val="en-US"/>
        </w:rPr>
      </w:pPr>
    </w:p>
    <w:p w14:paraId="373A5FCC" w14:textId="77777777" w:rsidR="00667E00" w:rsidRDefault="00667E00" w:rsidP="00647629">
      <w:pPr>
        <w:pStyle w:val="a0"/>
        <w:snapToGrid w:val="0"/>
        <w:spacing w:before="0" w:after="0" w:line="240" w:lineRule="auto"/>
        <w:rPr>
          <w:rFonts w:hint="default"/>
          <w:sz w:val="24"/>
          <w:szCs w:val="24"/>
          <w:lang w:val="en-US"/>
        </w:rPr>
      </w:pPr>
    </w:p>
    <w:sectPr w:rsidR="00667E00" w:rsidSect="00647629">
      <w:endnotePr>
        <w:numFmt w:val="decimal"/>
      </w:endnotePr>
      <w:pgSz w:w="11906" w:h="16838"/>
      <w:pgMar w:top="1134" w:right="1134" w:bottom="1134" w:left="1134"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A4299" w14:textId="77777777" w:rsidR="001317D9" w:rsidRDefault="001317D9">
      <w:pPr>
        <w:spacing w:line="240" w:lineRule="auto"/>
        <w:ind w:firstLine="640"/>
      </w:pPr>
      <w:r>
        <w:separator/>
      </w:r>
    </w:p>
  </w:endnote>
  <w:endnote w:type="continuationSeparator" w:id="0">
    <w:p w14:paraId="1C9A34BA" w14:textId="77777777" w:rsidR="001317D9" w:rsidRDefault="001317D9">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方正仿宋_GB2312">
    <w:altName w:val="FangSong"/>
    <w:charset w:val="00"/>
    <w:family w:val="auto"/>
    <w:pitch w:val="default"/>
    <w:sig w:usb0="00000000" w:usb1="00000000" w:usb2="00000012" w:usb3="00000000" w:csb0="00040001" w:csb1="00000000"/>
  </w:font>
  <w:font w:name="SimHei">
    <w:panose1 w:val="02010600030101010101"/>
    <w:charset w:val="86"/>
    <w:family w:val="modern"/>
    <w:pitch w:val="fixed"/>
    <w:sig w:usb0="800002BF" w:usb1="38CF7CFA" w:usb2="00000016" w:usb3="00000000" w:csb0="00040001" w:csb1="00000000"/>
  </w:font>
  <w:font w:name="方正楷体_GB2312">
    <w:altName w:val="Microsoft YaHei"/>
    <w:charset w:val="86"/>
    <w:family w:val="auto"/>
    <w:pitch w:val="default"/>
    <w:sig w:usb0="A00002BF" w:usb1="184F6CFA" w:usb2="00000012" w:usb3="00000000" w:csb0="00040001" w:csb1="00000000"/>
  </w:font>
  <w:font w:name="Arial">
    <w:panose1 w:val="020B0604020202020204"/>
    <w:charset w:val="00"/>
    <w:family w:val="swiss"/>
    <w:pitch w:val="variable"/>
    <w:sig w:usb0="E0002EFF" w:usb1="C000785B" w:usb2="00000009" w:usb3="00000000" w:csb0="000001FF" w:csb1="00000000"/>
  </w:font>
  <w:font w:name="方正小标宋简体">
    <w:charset w:val="86"/>
    <w:family w:val="auto"/>
    <w:pitch w:val="default"/>
    <w:sig w:usb0="00000001" w:usb1="08000000" w:usb2="00000000" w:usb3="00000000" w:csb0="00040000" w:csb1="00000000"/>
  </w:font>
  <w:font w:name="KaiTi">
    <w:charset w:val="86"/>
    <w:family w:val="modern"/>
    <w:pitch w:val="fixed"/>
    <w:sig w:usb0="800002BF" w:usb1="38CF7CFA" w:usb2="00000016" w:usb3="00000000" w:csb0="00040001" w:csb1="00000000"/>
  </w:font>
  <w:font w:name="FangSong">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embedRegular r:id="rId1" w:fontKey="{FE3EC485-ADC8-41BB-B4D3-5A276E5F5483}"/>
    <w:embedBold r:id="rId2" w:fontKey="{827D93AC-2E67-420D-B14B-D940362CF0F1}"/>
  </w:font>
  <w:font w:name="Cambria">
    <w:panose1 w:val="02040503050406030204"/>
    <w:charset w:val="00"/>
    <w:family w:val="roman"/>
    <w:pitch w:val="variable"/>
    <w:sig w:usb0="E00006FF" w:usb1="420024FF" w:usb2="02000000" w:usb3="00000000" w:csb0="0000019F" w:csb1="00000000"/>
    <w:embedRegular r:id="rId3" w:fontKey="{9E3652C7-BE4A-4CDE-A931-AC98ED771102}"/>
  </w:font>
  <w:font w:name="Calibri">
    <w:panose1 w:val="020F0502020204030204"/>
    <w:charset w:val="00"/>
    <w:family w:val="swiss"/>
    <w:pitch w:val="variable"/>
    <w:sig w:usb0="E4002EFF" w:usb1="C200247B" w:usb2="00000009" w:usb3="00000000" w:csb0="000001FF" w:csb1="00000000"/>
    <w:embedRegular r:id="rId4" w:fontKey="{0EC181CC-CCB4-46C1-BBB7-48D005EBFC8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31D9F" w14:textId="77777777" w:rsidR="001317D9" w:rsidRDefault="001317D9">
      <w:pPr>
        <w:spacing w:line="240" w:lineRule="auto"/>
        <w:ind w:firstLine="640"/>
      </w:pPr>
      <w:r>
        <w:separator/>
      </w:r>
    </w:p>
  </w:footnote>
  <w:footnote w:type="continuationSeparator" w:id="0">
    <w:p w14:paraId="70F652D2" w14:textId="77777777" w:rsidR="001317D9" w:rsidRDefault="001317D9">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420"/>
  <w:drawingGridVerticalSpacing w:val="156"/>
  <w:doNotShadeFormData/>
  <w:noPunctuationKerning/>
  <w:characterSpacingControl w:val="compressPunctuation"/>
  <w:doNotValidateAgainstSchema/>
  <w:doNotDemarcateInvalidXml/>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72343"/>
    <w:rsid w:val="0007775F"/>
    <w:rsid w:val="000E4DA4"/>
    <w:rsid w:val="001317D9"/>
    <w:rsid w:val="00172A27"/>
    <w:rsid w:val="00282F9E"/>
    <w:rsid w:val="0051504C"/>
    <w:rsid w:val="00634E46"/>
    <w:rsid w:val="00647629"/>
    <w:rsid w:val="00667E00"/>
    <w:rsid w:val="00837309"/>
    <w:rsid w:val="009C50D9"/>
    <w:rsid w:val="00A27A28"/>
    <w:rsid w:val="00C07B2C"/>
    <w:rsid w:val="00C50775"/>
    <w:rsid w:val="00E45CD8"/>
    <w:rsid w:val="00F86697"/>
    <w:rsid w:val="00FC5520"/>
    <w:rsid w:val="040635DD"/>
    <w:rsid w:val="070C1FE4"/>
    <w:rsid w:val="0D7273CB"/>
    <w:rsid w:val="0DEB432D"/>
    <w:rsid w:val="0F71746D"/>
    <w:rsid w:val="117E1965"/>
    <w:rsid w:val="12C827BE"/>
    <w:rsid w:val="15897E81"/>
    <w:rsid w:val="196C2A2B"/>
    <w:rsid w:val="19C80188"/>
    <w:rsid w:val="1DEA69C4"/>
    <w:rsid w:val="21221867"/>
    <w:rsid w:val="21C54C07"/>
    <w:rsid w:val="25A65728"/>
    <w:rsid w:val="25DF193B"/>
    <w:rsid w:val="2BEF2623"/>
    <w:rsid w:val="2DBB1365"/>
    <w:rsid w:val="2E5721D1"/>
    <w:rsid w:val="318E0619"/>
    <w:rsid w:val="338F7C67"/>
    <w:rsid w:val="340E2F5F"/>
    <w:rsid w:val="362E057A"/>
    <w:rsid w:val="36A61558"/>
    <w:rsid w:val="37C973F5"/>
    <w:rsid w:val="3FCAD0D0"/>
    <w:rsid w:val="477C0288"/>
    <w:rsid w:val="55C66FA9"/>
    <w:rsid w:val="56EC3FE5"/>
    <w:rsid w:val="57E162DA"/>
    <w:rsid w:val="58A052B3"/>
    <w:rsid w:val="5A360BEB"/>
    <w:rsid w:val="5DAB3334"/>
    <w:rsid w:val="677E20BF"/>
    <w:rsid w:val="69FC04B8"/>
    <w:rsid w:val="6BEDD60A"/>
    <w:rsid w:val="6C7920B0"/>
    <w:rsid w:val="735D2025"/>
    <w:rsid w:val="78BA06ED"/>
    <w:rsid w:val="7952242D"/>
    <w:rsid w:val="7AA53533"/>
    <w:rsid w:val="7AB5167A"/>
    <w:rsid w:val="7B373286"/>
    <w:rsid w:val="7BB853DB"/>
    <w:rsid w:val="8F6B2920"/>
    <w:rsid w:val="AC2C3392"/>
    <w:rsid w:val="BFAA0304"/>
    <w:rsid w:val="EFAE3A6D"/>
    <w:rsid w:val="FEEB04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3A5F51"/>
  <w15:docId w15:val="{5CC874E7-8B81-49E0-B56E-7EB6F96CC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annotation text" w:qFormat="1"/>
    <w:lsdException w:name="caption" w:semiHidden="1" w:unhideWhenUsed="1" w:qFormat="1"/>
    <w:lsdException w:name="footnote reference" w:qFormat="1"/>
    <w:lsdException w:name="endnote reference" w:qFormat="1"/>
    <w:lsdException w:name="endnote text" w:qFormat="1"/>
    <w:lsdException w:name="Title" w:qFormat="1"/>
    <w:lsdException w:name="Default Paragraph Fon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pPr>
      <w:spacing w:line="560" w:lineRule="atLeast"/>
      <w:ind w:firstLineChars="200" w:firstLine="883"/>
    </w:pPr>
    <w:rPr>
      <w:rFonts w:eastAsia="方正仿宋_GB2312"/>
      <w:sz w:val="32"/>
      <w:szCs w:val="32"/>
      <w:lang w:val="en-US"/>
    </w:rPr>
  </w:style>
  <w:style w:type="paragraph" w:styleId="Heading1">
    <w:name w:val="heading 1"/>
    <w:next w:val="Heading2"/>
    <w:link w:val="Heading1Char"/>
    <w:qFormat/>
    <w:pPr>
      <w:keepNext/>
      <w:keepLines/>
      <w:spacing w:line="560" w:lineRule="exact"/>
      <w:ind w:firstLineChars="200" w:firstLine="640"/>
      <w:outlineLvl w:val="0"/>
    </w:pPr>
    <w:rPr>
      <w:rFonts w:eastAsia="SimHei"/>
      <w:kern w:val="44"/>
      <w:sz w:val="32"/>
    </w:rPr>
  </w:style>
  <w:style w:type="paragraph" w:styleId="Heading2">
    <w:name w:val="heading 2"/>
    <w:next w:val="Heading3"/>
    <w:qFormat/>
    <w:pPr>
      <w:keepNext/>
      <w:keepLines/>
      <w:spacing w:line="560" w:lineRule="exact"/>
      <w:ind w:firstLineChars="200" w:firstLine="883"/>
      <w:outlineLvl w:val="1"/>
    </w:pPr>
    <w:rPr>
      <w:rFonts w:eastAsia="方正楷体_GB2312"/>
      <w:sz w:val="32"/>
    </w:rPr>
  </w:style>
  <w:style w:type="paragraph" w:styleId="Heading3">
    <w:name w:val="heading 3"/>
    <w:next w:val="Heading4"/>
    <w:qFormat/>
    <w:pPr>
      <w:keepNext/>
      <w:keepLines/>
      <w:spacing w:line="560" w:lineRule="exact"/>
      <w:ind w:firstLineChars="200" w:firstLine="640"/>
      <w:outlineLvl w:val="2"/>
    </w:pPr>
    <w:rPr>
      <w:rFonts w:eastAsia="方正仿宋_GB2312"/>
      <w:sz w:val="32"/>
    </w:rPr>
  </w:style>
  <w:style w:type="paragraph" w:styleId="Heading4">
    <w:name w:val="heading 4"/>
    <w:next w:val="Heading5"/>
    <w:qFormat/>
    <w:pPr>
      <w:keepNext/>
      <w:keepLines/>
      <w:spacing w:line="560" w:lineRule="exact"/>
      <w:ind w:firstLineChars="200" w:firstLine="640"/>
      <w:outlineLvl w:val="3"/>
    </w:pPr>
    <w:rPr>
      <w:rFonts w:eastAsia="方正仿宋_GB2312"/>
      <w:sz w:val="32"/>
    </w:rPr>
  </w:style>
  <w:style w:type="paragraph" w:styleId="Heading5">
    <w:name w:val="heading 5"/>
    <w:basedOn w:val="Normal"/>
    <w:next w:val="Normal"/>
    <w:qFormat/>
    <w:pPr>
      <w:keepNext/>
      <w:keepLines/>
      <w:spacing w:before="280" w:after="290" w:line="372" w:lineRule="auto"/>
      <w:outlineLvl w:val="4"/>
    </w:pPr>
    <w:rPr>
      <w:rFonts w:eastAsia="SimSun"/>
      <w:b/>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qFormat/>
    <w:rPr>
      <w:rFonts w:eastAsia="SimSun"/>
    </w:rPr>
  </w:style>
  <w:style w:type="paragraph" w:styleId="EndnoteText">
    <w:name w:val="endnote text"/>
    <w:basedOn w:val="Normal"/>
    <w:qFormat/>
    <w:pPr>
      <w:snapToGrid w:val="0"/>
    </w:pPr>
    <w:rPr>
      <w:rFonts w:eastAsia="SimSun"/>
    </w:rPr>
  </w:style>
  <w:style w:type="paragraph" w:styleId="FootnoteText">
    <w:name w:val="footnote text"/>
    <w:basedOn w:val="Normal"/>
    <w:qFormat/>
    <w:pPr>
      <w:snapToGrid w:val="0"/>
    </w:pPr>
    <w:rPr>
      <w:rFonts w:eastAsia="SimSun"/>
      <w:sz w:val="18"/>
    </w:rPr>
  </w:style>
  <w:style w:type="paragraph" w:styleId="NormalWeb">
    <w:name w:val="Normal (Web)"/>
    <w:basedOn w:val="Normal"/>
    <w:rPr>
      <w:sz w:val="24"/>
    </w:rPr>
  </w:style>
  <w:style w:type="paragraph" w:styleId="Title">
    <w:name w:val="Title"/>
    <w:basedOn w:val="Normal"/>
    <w:qFormat/>
    <w:pPr>
      <w:spacing w:before="240" w:after="60"/>
      <w:jc w:val="center"/>
      <w:outlineLvl w:val="0"/>
    </w:pPr>
    <w:rPr>
      <w:rFonts w:ascii="Arial" w:eastAsia="SimSun" w:hAnsi="Arial"/>
      <w:sz w:val="44"/>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dnoteReference">
    <w:name w:val="endnote reference"/>
    <w:basedOn w:val="DefaultParagraphFont"/>
    <w:qFormat/>
    <w:rPr>
      <w:rFonts w:ascii="Times New Roman" w:eastAsia="SimSun" w:hAnsi="Times New Roman" w:cs="Times New Roman"/>
      <w:vertAlign w:val="superscript"/>
    </w:rPr>
  </w:style>
  <w:style w:type="character" w:styleId="Hyperlink">
    <w:name w:val="Hyperlink"/>
    <w:basedOn w:val="DefaultParagraphFont"/>
    <w:qFormat/>
    <w:rPr>
      <w:rFonts w:ascii="Times New Roman" w:eastAsia="SimSun" w:hAnsi="Times New Roman" w:cs="Times New Roman"/>
      <w:color w:val="0000FF"/>
      <w:u w:val="single"/>
    </w:rPr>
  </w:style>
  <w:style w:type="character" w:styleId="FootnoteReference">
    <w:name w:val="footnote reference"/>
    <w:basedOn w:val="DefaultParagraphFont"/>
    <w:qFormat/>
    <w:rPr>
      <w:rFonts w:ascii="Times New Roman" w:eastAsia="SimSun" w:hAnsi="Times New Roman" w:cs="Times New Roman"/>
      <w:vertAlign w:val="superscript"/>
    </w:rPr>
  </w:style>
  <w:style w:type="paragraph" w:customStyle="1" w:styleId="a">
    <w:name w:val="论文正文"/>
    <w:link w:val="Char"/>
    <w:qFormat/>
    <w:pPr>
      <w:spacing w:line="300" w:lineRule="exact"/>
      <w:ind w:firstLineChars="200" w:firstLine="883"/>
      <w:jc w:val="both"/>
    </w:pPr>
    <w:rPr>
      <w:rFonts w:hint="eastAsia"/>
      <w:sz w:val="28"/>
    </w:rPr>
  </w:style>
  <w:style w:type="paragraph" w:customStyle="1" w:styleId="a0">
    <w:name w:val="论文一级标题"/>
    <w:next w:val="Normal"/>
    <w:qFormat/>
    <w:pPr>
      <w:keepNext/>
      <w:keepLines/>
      <w:spacing w:before="480" w:after="360" w:line="400" w:lineRule="atLeast"/>
      <w:jc w:val="both"/>
      <w:outlineLvl w:val="0"/>
    </w:pPr>
    <w:rPr>
      <w:rFonts w:eastAsia="SimHei" w:hint="eastAsia"/>
      <w:b/>
      <w:kern w:val="44"/>
      <w:sz w:val="30"/>
    </w:rPr>
  </w:style>
  <w:style w:type="paragraph" w:customStyle="1" w:styleId="a1">
    <w:name w:val="论文二级标题"/>
    <w:link w:val="Char0"/>
    <w:qFormat/>
    <w:pPr>
      <w:keepNext/>
      <w:keepLines/>
      <w:spacing w:before="240" w:after="120" w:line="400" w:lineRule="atLeast"/>
      <w:outlineLvl w:val="1"/>
    </w:pPr>
    <w:rPr>
      <w:rFonts w:eastAsia="SimHei" w:hint="eastAsia"/>
      <w:b/>
      <w:sz w:val="24"/>
    </w:rPr>
  </w:style>
  <w:style w:type="paragraph" w:customStyle="1" w:styleId="a2">
    <w:name w:val="行政开头标题"/>
    <w:next w:val="Heading1"/>
    <w:qFormat/>
    <w:rPr>
      <w:rFonts w:eastAsia="方正小标宋简体" w:hint="eastAsia"/>
      <w:b/>
      <w:sz w:val="44"/>
    </w:rPr>
  </w:style>
  <w:style w:type="character" w:customStyle="1" w:styleId="Heading1Char">
    <w:name w:val="Heading 1 Char"/>
    <w:link w:val="Heading1"/>
    <w:qFormat/>
    <w:rPr>
      <w:rFonts w:ascii="Times New Roman" w:eastAsia="SimHei" w:hAnsi="Times New Roman" w:cs="Times New Roman"/>
      <w:kern w:val="44"/>
      <w:sz w:val="32"/>
    </w:rPr>
  </w:style>
  <w:style w:type="character" w:customStyle="1" w:styleId="Char">
    <w:name w:val="论文正文 Char"/>
    <w:link w:val="a"/>
    <w:qFormat/>
    <w:rPr>
      <w:rFonts w:ascii="Times New Roman" w:eastAsia="SimSun" w:hAnsi="Times New Roman" w:cs="Times New Roman" w:hint="eastAsia"/>
      <w:sz w:val="28"/>
    </w:rPr>
  </w:style>
  <w:style w:type="character" w:customStyle="1" w:styleId="Char0">
    <w:name w:val="论文二级标题 Char"/>
    <w:link w:val="a1"/>
    <w:qFormat/>
    <w:rPr>
      <w:rFonts w:ascii="Times New Roman" w:eastAsia="SimHei" w:hAnsi="Times New Roman" w:cs="Times New Roman" w:hint="eastAsia"/>
      <w:b/>
      <w:sz w:val="24"/>
    </w:rPr>
  </w:style>
  <w:style w:type="paragraph" w:styleId="Revision">
    <w:name w:val="Revision"/>
    <w:hidden/>
    <w:uiPriority w:val="99"/>
    <w:unhideWhenUsed/>
    <w:rsid w:val="00F86697"/>
    <w:rPr>
      <w:rFonts w:eastAsia="方正仿宋_GB2312"/>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jpe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3821</Words>
  <Characters>21781</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玉林</dc:creator>
  <cp:lastModifiedBy>Acer NB1</cp:lastModifiedBy>
  <cp:revision>2</cp:revision>
  <dcterms:created xsi:type="dcterms:W3CDTF">2026-09-29T03:44:00Z</dcterms:created>
  <dcterms:modified xsi:type="dcterms:W3CDTF">2026-09-29T03:44:00Z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eyJoZGlkIjoiZTBiYjBjMzJlZDA2ZWE2YWNmMzQyN2E2MGVlZTcxZjkiLCJ1c2VySWQiOiI2MTA5NTIyOTYifQ==</vt:lpwstr>
  </property>
  <property fmtid="{D5CDD505-2E9C-101B-9397-08002B2CF9AE}" pid="4" name="ICV">
    <vt:lpwstr>6CC6F0BA32CC401E864DB84CBF5F60FD_13</vt:lpwstr>
  </property>
</Properties>
</file>