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44468" w14:textId="7854F29A" w:rsidR="003046C5" w:rsidRDefault="00BA54B3" w:rsidP="00094DD9">
      <w:pPr>
        <w:widowControl/>
        <w:snapToGrid w:val="0"/>
        <w:jc w:val="left"/>
        <w:rPr>
          <w:b/>
          <w:sz w:val="44"/>
          <w:szCs w:val="44"/>
        </w:rPr>
      </w:pPr>
      <w:r>
        <w:rPr>
          <w:rFonts w:eastAsia="Helvetica Neue"/>
          <w:b/>
          <w:sz w:val="44"/>
          <w:szCs w:val="44"/>
          <w:shd w:val="clear" w:color="auto" w:fill="FFFFFF"/>
          <w:lang w:val="en-US" w:bidi="ar"/>
        </w:rPr>
        <w:t>Application Effect of Comprehensive Pelvic Floor Rehabilitation</w:t>
      </w:r>
      <w:r>
        <w:rPr>
          <w:rFonts w:eastAsia="Helvetica Neue"/>
          <w:b/>
          <w:sz w:val="44"/>
          <w:szCs w:val="44"/>
          <w:shd w:val="clear" w:color="auto" w:fill="FFFFFF"/>
          <w:lang w:val="en-US" w:bidi="ar"/>
        </w:rPr>
        <w:t xml:space="preserve"> Therapy in Patients with Myofascial Pelvic Pain Syndrome</w:t>
      </w:r>
    </w:p>
    <w:p w14:paraId="2E344469" w14:textId="77777777" w:rsidR="003046C5" w:rsidRDefault="00BA54B3" w:rsidP="00094DD9">
      <w:pPr>
        <w:snapToGrid w:val="0"/>
        <w:rPr>
          <w:b/>
          <w:bCs/>
          <w:sz w:val="24"/>
          <w:szCs w:val="24"/>
        </w:rPr>
      </w:pPr>
      <w:r>
        <w:rPr>
          <w:b/>
          <w:bCs/>
          <w:sz w:val="24"/>
          <w:szCs w:val="24"/>
        </w:rPr>
        <w:t>Chang</w:t>
      </w:r>
      <w:r>
        <w:rPr>
          <w:b/>
          <w:bCs/>
          <w:sz w:val="24"/>
          <w:szCs w:val="24"/>
          <w:lang w:val="en-US"/>
        </w:rPr>
        <w:t xml:space="preserve"> </w:t>
      </w:r>
      <w:r>
        <w:rPr>
          <w:b/>
          <w:bCs/>
          <w:sz w:val="24"/>
          <w:szCs w:val="24"/>
        </w:rPr>
        <w:t>Ju</w:t>
      </w:r>
    </w:p>
    <w:p w14:paraId="2E34446A" w14:textId="77777777" w:rsidR="003046C5" w:rsidRDefault="00BA54B3" w:rsidP="00094DD9">
      <w:pPr>
        <w:snapToGrid w:val="0"/>
        <w:rPr>
          <w:sz w:val="24"/>
          <w:szCs w:val="24"/>
          <w:lang w:val="en-US"/>
        </w:rPr>
      </w:pPr>
      <w:r>
        <w:rPr>
          <w:sz w:val="24"/>
          <w:szCs w:val="24"/>
          <w:lang w:val="en-US"/>
        </w:rPr>
        <w:t>Department of Gynecology, Shaanxi Provincial People’s Hospital, Xi’an 710068, Shaanxi, China</w:t>
      </w:r>
    </w:p>
    <w:p w14:paraId="2E34446B" w14:textId="77777777" w:rsidR="003046C5" w:rsidRDefault="003046C5" w:rsidP="00E648BD">
      <w:pPr>
        <w:snapToGrid w:val="0"/>
        <w:rPr>
          <w:sz w:val="24"/>
          <w:szCs w:val="24"/>
          <w:lang w:val="en-US"/>
        </w:rPr>
      </w:pPr>
    </w:p>
    <w:p w14:paraId="01A68DB7" w14:textId="77777777" w:rsidR="004B73EF" w:rsidRPr="00094DD9" w:rsidRDefault="004B73EF" w:rsidP="004B73EF">
      <w:pPr>
        <w:snapToGrid w:val="0"/>
        <w:rPr>
          <w:sz w:val="20"/>
          <w:szCs w:val="20"/>
          <w:lang w:val="en-US"/>
        </w:rPr>
      </w:pPr>
      <w:r w:rsidRPr="00094DD9">
        <w:rPr>
          <w:b/>
          <w:bCs/>
          <w:sz w:val="20"/>
          <w:szCs w:val="20"/>
          <w:lang w:val="en-US"/>
        </w:rPr>
        <w:t>Copyright:</w:t>
      </w:r>
      <w:r w:rsidRPr="00094DD9">
        <w:rPr>
          <w:sz w:val="20"/>
          <w:szCs w:val="20"/>
          <w:lang w:val="en-US"/>
        </w:rPr>
        <w:t xml:space="preserve"> © 2026 Author(s). This is an open-access article distributed under the terms of the Creative Commons Attribution License (CC BY 4.0), permitting distribution and reproduction in any medium, provided the original work is cited.</w:t>
      </w:r>
    </w:p>
    <w:p w14:paraId="181EFBE6" w14:textId="77777777" w:rsidR="00E648BD" w:rsidRPr="00094DD9" w:rsidRDefault="00E648BD" w:rsidP="00094DD9">
      <w:pPr>
        <w:snapToGrid w:val="0"/>
        <w:rPr>
          <w:sz w:val="24"/>
          <w:szCs w:val="24"/>
          <w:lang w:val="en-US"/>
        </w:rPr>
      </w:pPr>
    </w:p>
    <w:p w14:paraId="2E34446C" w14:textId="748C8608" w:rsidR="003046C5" w:rsidRDefault="00BA54B3" w:rsidP="00094DD9">
      <w:pPr>
        <w:snapToGrid w:val="0"/>
        <w:rPr>
          <w:sz w:val="24"/>
          <w:szCs w:val="24"/>
        </w:rPr>
      </w:pPr>
      <w:r>
        <w:rPr>
          <w:b/>
          <w:bCs/>
          <w:sz w:val="24"/>
          <w:szCs w:val="24"/>
        </w:rPr>
        <w:t>A</w:t>
      </w:r>
      <w:r>
        <w:rPr>
          <w:b/>
          <w:bCs/>
          <w:sz w:val="24"/>
          <w:szCs w:val="24"/>
        </w:rPr>
        <w:t>bstract</w:t>
      </w:r>
      <w:r>
        <w:rPr>
          <w:b/>
          <w:bCs/>
          <w:sz w:val="24"/>
          <w:szCs w:val="24"/>
          <w:lang w:val="en-US"/>
        </w:rPr>
        <w:t>:</w:t>
      </w:r>
      <w:r>
        <w:rPr>
          <w:rFonts w:hint="eastAsia"/>
          <w:b/>
          <w:bCs/>
          <w:sz w:val="24"/>
          <w:szCs w:val="24"/>
          <w:lang w:val="en-US"/>
        </w:rPr>
        <w:t xml:space="preserve"> </w:t>
      </w:r>
      <w:r>
        <w:rPr>
          <w:i/>
          <w:iCs/>
          <w:sz w:val="24"/>
          <w:szCs w:val="24"/>
        </w:rPr>
        <w:t>Objective</w:t>
      </w:r>
      <w:r>
        <w:rPr>
          <w:rFonts w:hint="eastAsia"/>
          <w:sz w:val="24"/>
          <w:szCs w:val="24"/>
          <w:lang w:val="en-US"/>
        </w:rPr>
        <w:t>:</w:t>
      </w:r>
      <w:r>
        <w:rPr>
          <w:sz w:val="24"/>
          <w:szCs w:val="24"/>
        </w:rPr>
        <w:t xml:space="preserve"> To explore the application effect of comprehensive pelvic floor rehabilitation therapy in patients with myofascial pelvic pain syndrome (MPPS). </w:t>
      </w:r>
      <w:r>
        <w:rPr>
          <w:i/>
          <w:iCs/>
          <w:sz w:val="24"/>
          <w:szCs w:val="24"/>
        </w:rPr>
        <w:t>Methods</w:t>
      </w:r>
      <w:r>
        <w:rPr>
          <w:rFonts w:hint="eastAsia"/>
          <w:sz w:val="24"/>
          <w:szCs w:val="24"/>
          <w:lang w:val="en-US"/>
        </w:rPr>
        <w:t>:</w:t>
      </w:r>
      <w:r>
        <w:rPr>
          <w:sz w:val="24"/>
          <w:szCs w:val="24"/>
        </w:rPr>
        <w:t xml:space="preserve"> A total of 84 MPPS patients admitted to the pelvic floor rehabilitation clinic of Shaanxi Provincial People’s Hospital from December 2023 to June 2025 were divided into an observation group and a control group, with 42 cases in each group. The control group received pelvic floor electrical stimulation, while the observation group received a 5-week, 15-session comprehensive pelvic floor rehabilitation program including myofascial manual release, diaphragmatic breathing training, electrical stimulation, biof</w:t>
      </w:r>
      <w:r>
        <w:rPr>
          <w:sz w:val="24"/>
          <w:szCs w:val="24"/>
        </w:rPr>
        <w:t xml:space="preserve">eedback, magnetic stimulation and home Kegel training. The numerical rating scale (NAS) of pelvic floor pain, Glazer surface electromyography (sEMG) parameters, Nottingham Health Profile (NHP) scores and dyspareunia scores were compared before treatment, at the end of treatment and one month after treatment; clinical efficacy was also evaluated. </w:t>
      </w:r>
      <w:r>
        <w:rPr>
          <w:i/>
          <w:iCs/>
          <w:sz w:val="24"/>
          <w:szCs w:val="24"/>
        </w:rPr>
        <w:t>Results</w:t>
      </w:r>
      <w:r>
        <w:rPr>
          <w:rFonts w:hint="eastAsia"/>
          <w:sz w:val="24"/>
          <w:szCs w:val="24"/>
          <w:lang w:val="en-US"/>
        </w:rPr>
        <w:t>:</w:t>
      </w:r>
      <w:r>
        <w:rPr>
          <w:sz w:val="24"/>
          <w:szCs w:val="24"/>
        </w:rPr>
        <w:t xml:space="preserve"> At the end of treatment and at the one-month follow-up, the observation group showed significantly lower NAS scores, pre-/post-resting potentials and the coefficient of variation of pre-resting potential, and higher amplitudes of rapid, sustained and endurance contractions, together with lower NHP scores and dyspareunia scores, than the control group (all </w:t>
      </w:r>
      <w:r w:rsidR="004B73EF">
        <w:rPr>
          <w:i/>
          <w:iCs/>
          <w:sz w:val="24"/>
          <w:szCs w:val="24"/>
        </w:rPr>
        <w:t>p</w:t>
      </w:r>
      <w:r w:rsidR="004B73EF">
        <w:rPr>
          <w:rFonts w:hint="eastAsia"/>
          <w:i/>
          <w:iCs/>
          <w:sz w:val="24"/>
          <w:szCs w:val="24"/>
          <w:lang w:val="en-US"/>
        </w:rPr>
        <w:t xml:space="preserve"> </w:t>
      </w:r>
      <w:r>
        <w:rPr>
          <w:sz w:val="24"/>
          <w:szCs w:val="24"/>
        </w:rPr>
        <w:t>&lt;</w:t>
      </w:r>
      <w:r>
        <w:rPr>
          <w:rFonts w:hint="eastAsia"/>
          <w:sz w:val="24"/>
          <w:szCs w:val="24"/>
          <w:lang w:val="en-US"/>
        </w:rPr>
        <w:t xml:space="preserve"> </w:t>
      </w:r>
      <w:r>
        <w:rPr>
          <w:sz w:val="24"/>
          <w:szCs w:val="24"/>
        </w:rPr>
        <w:t>0.05); the total effective rate was 92.3% in the observation group versus 73.7% in the control group (</w:t>
      </w:r>
      <w:r w:rsidR="004B73EF">
        <w:rPr>
          <w:i/>
          <w:iCs/>
          <w:sz w:val="24"/>
          <w:szCs w:val="24"/>
        </w:rPr>
        <w:t>p</w:t>
      </w:r>
      <w:r w:rsidR="004B73EF">
        <w:rPr>
          <w:rFonts w:hint="eastAsia"/>
          <w:i/>
          <w:iCs/>
          <w:sz w:val="24"/>
          <w:szCs w:val="24"/>
          <w:lang w:val="en-US"/>
        </w:rPr>
        <w:t xml:space="preserve"> </w:t>
      </w:r>
      <w:r>
        <w:rPr>
          <w:sz w:val="24"/>
          <w:szCs w:val="24"/>
        </w:rPr>
        <w:t>&lt;</w:t>
      </w:r>
      <w:r>
        <w:rPr>
          <w:rFonts w:hint="eastAsia"/>
          <w:sz w:val="24"/>
          <w:szCs w:val="24"/>
          <w:lang w:val="en-US"/>
        </w:rPr>
        <w:t xml:space="preserve"> </w:t>
      </w:r>
      <w:r>
        <w:rPr>
          <w:sz w:val="24"/>
          <w:szCs w:val="24"/>
        </w:rPr>
        <w:t xml:space="preserve">0.05). </w:t>
      </w:r>
      <w:r>
        <w:rPr>
          <w:i/>
          <w:iCs/>
          <w:sz w:val="24"/>
          <w:szCs w:val="24"/>
        </w:rPr>
        <w:t>Conclusion</w:t>
      </w:r>
      <w:r>
        <w:rPr>
          <w:rFonts w:hint="eastAsia"/>
          <w:sz w:val="24"/>
          <w:szCs w:val="24"/>
          <w:lang w:val="en-US"/>
        </w:rPr>
        <w:t>:</w:t>
      </w:r>
      <w:r>
        <w:rPr>
          <w:sz w:val="24"/>
          <w:szCs w:val="24"/>
        </w:rPr>
        <w:t xml:space="preserve"> Comprehensive pelvic floor rehabilitation therapy can effectively relieve pelvic floor pain, reduce pelvic floor muscle hypertonicity and improve pelvic floor electrophysiological function and quality of life in MPPS patients, and is superior to electrical stimulation alone.</w:t>
      </w:r>
    </w:p>
    <w:p w14:paraId="2E34446D" w14:textId="4DFEE8FA" w:rsidR="003046C5" w:rsidRDefault="00BA54B3" w:rsidP="00094DD9">
      <w:pPr>
        <w:snapToGrid w:val="0"/>
        <w:rPr>
          <w:sz w:val="24"/>
          <w:szCs w:val="24"/>
        </w:rPr>
      </w:pPr>
      <w:r>
        <w:rPr>
          <w:b/>
          <w:bCs/>
          <w:sz w:val="24"/>
          <w:szCs w:val="24"/>
        </w:rPr>
        <w:t>Key</w:t>
      </w:r>
      <w:r>
        <w:rPr>
          <w:b/>
          <w:bCs/>
          <w:sz w:val="24"/>
          <w:szCs w:val="24"/>
        </w:rPr>
        <w:t>words</w:t>
      </w:r>
      <w:r>
        <w:rPr>
          <w:b/>
          <w:bCs/>
          <w:sz w:val="24"/>
          <w:szCs w:val="24"/>
          <w:lang w:val="en-US"/>
        </w:rPr>
        <w:t xml:space="preserve">: </w:t>
      </w:r>
      <w:r>
        <w:rPr>
          <w:sz w:val="24"/>
          <w:szCs w:val="24"/>
          <w:lang w:val="en-US"/>
        </w:rPr>
        <w:t>M</w:t>
      </w:r>
      <w:r>
        <w:rPr>
          <w:sz w:val="24"/>
          <w:szCs w:val="24"/>
        </w:rPr>
        <w:t xml:space="preserve">yofascial pelvic pain syndrome; </w:t>
      </w:r>
      <w:r>
        <w:rPr>
          <w:rFonts w:hint="eastAsia"/>
          <w:sz w:val="24"/>
          <w:szCs w:val="24"/>
          <w:lang w:val="en-US"/>
        </w:rPr>
        <w:t>C</w:t>
      </w:r>
      <w:r>
        <w:rPr>
          <w:sz w:val="24"/>
          <w:szCs w:val="24"/>
        </w:rPr>
        <w:t xml:space="preserve">omprehensive rehabilitation; </w:t>
      </w:r>
      <w:r>
        <w:rPr>
          <w:rFonts w:hint="eastAsia"/>
          <w:sz w:val="24"/>
          <w:szCs w:val="24"/>
          <w:lang w:val="en-US"/>
        </w:rPr>
        <w:t>P</w:t>
      </w:r>
      <w:r>
        <w:rPr>
          <w:sz w:val="24"/>
          <w:szCs w:val="24"/>
        </w:rPr>
        <w:t xml:space="preserve">hysical therapy; </w:t>
      </w:r>
      <w:r>
        <w:rPr>
          <w:rFonts w:hint="eastAsia"/>
          <w:sz w:val="24"/>
          <w:szCs w:val="24"/>
          <w:lang w:val="en-US"/>
        </w:rPr>
        <w:t>P</w:t>
      </w:r>
      <w:r>
        <w:rPr>
          <w:sz w:val="24"/>
          <w:szCs w:val="24"/>
        </w:rPr>
        <w:t xml:space="preserve">elvic floor dysfunction; </w:t>
      </w:r>
      <w:r>
        <w:rPr>
          <w:rFonts w:hint="eastAsia"/>
          <w:sz w:val="24"/>
          <w:szCs w:val="24"/>
          <w:lang w:val="en-US"/>
        </w:rPr>
        <w:t>N</w:t>
      </w:r>
      <w:r>
        <w:rPr>
          <w:sz w:val="24"/>
          <w:szCs w:val="24"/>
        </w:rPr>
        <w:t>ursing</w:t>
      </w:r>
    </w:p>
    <w:p w14:paraId="2E34446E" w14:textId="77777777" w:rsidR="003046C5" w:rsidRDefault="003046C5" w:rsidP="00E648BD">
      <w:pPr>
        <w:pStyle w:val="Heading1"/>
        <w:keepNext/>
        <w:snapToGrid w:val="0"/>
        <w:spacing w:before="0" w:after="0"/>
        <w:jc w:val="both"/>
        <w:rPr>
          <w:b w:val="0"/>
          <w:bCs w:val="0"/>
          <w:sz w:val="24"/>
          <w:szCs w:val="24"/>
        </w:rPr>
      </w:pPr>
    </w:p>
    <w:p w14:paraId="3E3309FE" w14:textId="28543477" w:rsidR="004B73EF" w:rsidRPr="00094DD9" w:rsidRDefault="004B73EF" w:rsidP="00E648BD">
      <w:pPr>
        <w:pStyle w:val="Heading1"/>
        <w:keepNext/>
        <w:snapToGrid w:val="0"/>
        <w:spacing w:before="0" w:after="0"/>
        <w:jc w:val="both"/>
        <w:rPr>
          <w:sz w:val="24"/>
          <w:szCs w:val="24"/>
        </w:rPr>
      </w:pPr>
      <w:r w:rsidRPr="00094DD9">
        <w:rPr>
          <w:sz w:val="24"/>
          <w:szCs w:val="24"/>
        </w:rPr>
        <w:t>Online publication:</w:t>
      </w:r>
    </w:p>
    <w:p w14:paraId="131D130E" w14:textId="77777777" w:rsidR="004B73EF" w:rsidRDefault="004B73EF" w:rsidP="00094DD9">
      <w:pPr>
        <w:pStyle w:val="Heading1"/>
        <w:keepNext/>
        <w:snapToGrid w:val="0"/>
        <w:spacing w:before="0" w:after="0"/>
        <w:jc w:val="both"/>
        <w:rPr>
          <w:b w:val="0"/>
          <w:bCs w:val="0"/>
          <w:sz w:val="24"/>
          <w:szCs w:val="24"/>
        </w:rPr>
      </w:pPr>
    </w:p>
    <w:p w14:paraId="2E34446F" w14:textId="77777777" w:rsidR="003046C5" w:rsidRDefault="00BA54B3" w:rsidP="00094DD9">
      <w:pPr>
        <w:pStyle w:val="Heading1"/>
        <w:keepNext/>
        <w:snapToGrid w:val="0"/>
        <w:spacing w:before="0" w:after="0"/>
        <w:jc w:val="both"/>
        <w:rPr>
          <w:sz w:val="24"/>
          <w:szCs w:val="24"/>
          <w:lang w:val="en-US"/>
        </w:rPr>
      </w:pPr>
      <w:r>
        <w:rPr>
          <w:rFonts w:hint="eastAsia"/>
          <w:sz w:val="24"/>
          <w:szCs w:val="24"/>
          <w:lang w:val="en-US"/>
        </w:rPr>
        <w:t>1. Introduction</w:t>
      </w:r>
    </w:p>
    <w:p w14:paraId="2E344470" w14:textId="473C9344" w:rsidR="003046C5" w:rsidRDefault="00BA54B3" w:rsidP="00094DD9">
      <w:pPr>
        <w:pStyle w:val="Heading1"/>
        <w:keepNext/>
        <w:snapToGrid w:val="0"/>
        <w:spacing w:before="0" w:after="0"/>
        <w:jc w:val="both"/>
        <w:rPr>
          <w:b w:val="0"/>
          <w:bCs w:val="0"/>
          <w:sz w:val="24"/>
          <w:szCs w:val="24"/>
        </w:rPr>
      </w:pPr>
      <w:r>
        <w:rPr>
          <w:b w:val="0"/>
          <w:bCs w:val="0"/>
          <w:sz w:val="24"/>
          <w:szCs w:val="24"/>
        </w:rPr>
        <w:t xml:space="preserve">Myofascial pelvic pain syndrome (MPPS) is a chronic pelvic pain caused by involuntary spasms, tension bands, and myofascial trigger points (MTrPs) of the pelvic floor muscles, including the piriformis, levator ani, iliopsoas, and obturator internus muscles. It manifests as pelvic floor muscle hypertension, myalgia, overexertion, and fatigue, which worsens with prolonged sitting and may be accompanied by dyspareunia, urinary and defecation abnormalities </w:t>
      </w:r>
      <w:r>
        <w:rPr>
          <w:b w:val="0"/>
          <w:bCs w:val="0"/>
          <w:sz w:val="24"/>
          <w:szCs w:val="24"/>
          <w:vertAlign w:val="superscript"/>
        </w:rPr>
        <w:t>[1</w:t>
      </w:r>
      <w:r w:rsidR="004B73EF">
        <w:rPr>
          <w:b w:val="0"/>
          <w:bCs w:val="0"/>
          <w:sz w:val="24"/>
          <w:szCs w:val="24"/>
          <w:vertAlign w:val="superscript"/>
        </w:rPr>
        <w:t>,</w:t>
      </w:r>
      <w:r>
        <w:rPr>
          <w:b w:val="0"/>
          <w:bCs w:val="0"/>
          <w:sz w:val="24"/>
          <w:szCs w:val="24"/>
          <w:vertAlign w:val="superscript"/>
        </w:rPr>
        <w:t>2]</w:t>
      </w:r>
      <w:r>
        <w:rPr>
          <w:b w:val="0"/>
          <w:bCs w:val="0"/>
          <w:sz w:val="24"/>
          <w:szCs w:val="24"/>
        </w:rPr>
        <w:t xml:space="preserve">. Epidemiological data from abroad show that the prevalence of chronic pelvic pain in women is 5.7% to 26.6%, of which about 15% are related to myofascial pain </w:t>
      </w:r>
      <w:r>
        <w:rPr>
          <w:b w:val="0"/>
          <w:bCs w:val="0"/>
          <w:sz w:val="24"/>
          <w:szCs w:val="24"/>
          <w:vertAlign w:val="superscript"/>
        </w:rPr>
        <w:t>[3]</w:t>
      </w:r>
      <w:r>
        <w:rPr>
          <w:b w:val="0"/>
          <w:bCs w:val="0"/>
          <w:sz w:val="24"/>
          <w:szCs w:val="24"/>
        </w:rPr>
        <w:t xml:space="preserve">; the reported incidence of MPPS in postpartum and reproductive-age women in my country is 14% to 23% </w:t>
      </w:r>
      <w:r>
        <w:rPr>
          <w:b w:val="0"/>
          <w:bCs w:val="0"/>
          <w:sz w:val="24"/>
          <w:szCs w:val="24"/>
          <w:vertAlign w:val="superscript"/>
        </w:rPr>
        <w:t>[4]</w:t>
      </w:r>
      <w:r>
        <w:rPr>
          <w:b w:val="0"/>
          <w:bCs w:val="0"/>
          <w:sz w:val="24"/>
          <w:szCs w:val="24"/>
        </w:rPr>
        <w:t xml:space="preserve">. The etiology of this disease is complex, the clinical manifestations lack specificity, and the diagnosis and treatment involve multiple disciplines such as gynecology, urology, and rehabilitation. The disease awareness rate is low, and it is easy to misdiagnose or miss the diagnosis. It has become a common disease that endangers women's physical and mental health and quality of life </w:t>
      </w:r>
      <w:r>
        <w:rPr>
          <w:b w:val="0"/>
          <w:bCs w:val="0"/>
          <w:sz w:val="24"/>
          <w:szCs w:val="24"/>
          <w:vertAlign w:val="superscript"/>
        </w:rPr>
        <w:t>[1,5]</w:t>
      </w:r>
      <w:r>
        <w:rPr>
          <w:b w:val="0"/>
          <w:bCs w:val="0"/>
          <w:sz w:val="24"/>
          <w:szCs w:val="24"/>
        </w:rPr>
        <w:t>.</w:t>
      </w:r>
    </w:p>
    <w:p w14:paraId="2E344471" w14:textId="79EA6660" w:rsidR="003046C5" w:rsidRDefault="00BA54B3" w:rsidP="00094DD9">
      <w:pPr>
        <w:snapToGrid w:val="0"/>
        <w:ind w:firstLine="420"/>
        <w:rPr>
          <w:sz w:val="24"/>
          <w:szCs w:val="24"/>
        </w:rPr>
      </w:pPr>
      <w:r>
        <w:rPr>
          <w:sz w:val="24"/>
          <w:szCs w:val="24"/>
        </w:rPr>
        <w:t xml:space="preserve">Currently, the treatment of MPPS mainly includes medication, psychological intervention, physical therapy, and acupuncture. Among them, physical therapy is the most widely used due to its simple operation, non-invasiveness, and safety </w:t>
      </w:r>
      <w:r>
        <w:rPr>
          <w:sz w:val="24"/>
          <w:szCs w:val="24"/>
          <w:vertAlign w:val="superscript"/>
        </w:rPr>
        <w:t>[6]</w:t>
      </w:r>
      <w:r>
        <w:rPr>
          <w:sz w:val="24"/>
          <w:szCs w:val="24"/>
        </w:rPr>
        <w:t xml:space="preserve">. Commonly used physical therapy methods include </w:t>
      </w:r>
      <w:r>
        <w:rPr>
          <w:sz w:val="24"/>
          <w:szCs w:val="24"/>
        </w:rPr>
        <w:lastRenderedPageBreak/>
        <w:t xml:space="preserve">myofascial manipulation, transcutaneous electrical nerve stimulation, pelvic floor muscle training, biofeedback, radiofrequency and magnetic stimulation, etc., but the effect of a single treatment method is limited </w:t>
      </w:r>
      <w:r>
        <w:rPr>
          <w:sz w:val="24"/>
          <w:szCs w:val="24"/>
          <w:vertAlign w:val="superscript"/>
        </w:rPr>
        <w:t>[6</w:t>
      </w:r>
      <w:r w:rsidR="004B73EF">
        <w:rPr>
          <w:sz w:val="24"/>
          <w:szCs w:val="24"/>
          <w:vertAlign w:val="superscript"/>
        </w:rPr>
        <w:t>–</w:t>
      </w:r>
      <w:r>
        <w:rPr>
          <w:sz w:val="24"/>
          <w:szCs w:val="24"/>
          <w:vertAlign w:val="superscript"/>
        </w:rPr>
        <w:t>8]</w:t>
      </w:r>
      <w:r>
        <w:rPr>
          <w:sz w:val="24"/>
          <w:szCs w:val="24"/>
        </w:rPr>
        <w:t xml:space="preserve">. The European Association of Urology (EAU) guidelines for chronic pelvic pain and related expert consensus recommend that myofascial pelvic pain should be treated with an individualized comprehensive plan that combines multiple methods with pelvic floor physical therapy as the core </w:t>
      </w:r>
      <w:r>
        <w:rPr>
          <w:sz w:val="24"/>
          <w:szCs w:val="24"/>
          <w:vertAlign w:val="superscript"/>
        </w:rPr>
        <w:t>[3,9]</w:t>
      </w:r>
      <w:r>
        <w:rPr>
          <w:sz w:val="24"/>
          <w:szCs w:val="24"/>
        </w:rPr>
        <w:t>. Based on clinical needs, the pelvic floor rehabilitation clinic of our hospital has integrated myofascial release, abdominal breathing training, electrical stimulation, biofeedback, magnetic stimulation, and home training to construct a set of comprehensive pelvic floor rehabilitation techniques. This study uses a randomized controlled trial design to evaluate the application effect of this comprehensive plan in MPPS patients, aiming to provide a basis for standardized nursing intervention for MPPS. The r</w:t>
      </w:r>
      <w:r>
        <w:rPr>
          <w:sz w:val="24"/>
          <w:szCs w:val="24"/>
        </w:rPr>
        <w:t>esults are reported below.</w:t>
      </w:r>
    </w:p>
    <w:p w14:paraId="2E344472" w14:textId="77777777" w:rsidR="003046C5" w:rsidRDefault="003046C5" w:rsidP="00094DD9">
      <w:pPr>
        <w:snapToGrid w:val="0"/>
        <w:ind w:firstLine="420"/>
        <w:rPr>
          <w:sz w:val="24"/>
          <w:szCs w:val="24"/>
        </w:rPr>
      </w:pPr>
    </w:p>
    <w:p w14:paraId="2E344473" w14:textId="77777777" w:rsidR="003046C5" w:rsidRDefault="00BA54B3" w:rsidP="00094DD9">
      <w:pPr>
        <w:pStyle w:val="Heading1"/>
        <w:keepNext/>
        <w:snapToGrid w:val="0"/>
        <w:spacing w:before="0" w:after="0"/>
        <w:jc w:val="both"/>
        <w:rPr>
          <w:sz w:val="24"/>
          <w:szCs w:val="24"/>
        </w:rPr>
      </w:pPr>
      <w:r>
        <w:rPr>
          <w:rFonts w:hint="eastAsia"/>
          <w:sz w:val="24"/>
          <w:szCs w:val="24"/>
          <w:lang w:val="en-US"/>
        </w:rPr>
        <w:t>2</w:t>
      </w:r>
      <w:r>
        <w:rPr>
          <w:sz w:val="24"/>
          <w:szCs w:val="24"/>
        </w:rPr>
        <w:t>.</w:t>
      </w:r>
      <w:r>
        <w:rPr>
          <w:rFonts w:hint="eastAsia"/>
          <w:sz w:val="24"/>
          <w:szCs w:val="24"/>
          <w:lang w:val="en-US"/>
        </w:rPr>
        <w:t xml:space="preserve"> </w:t>
      </w:r>
      <w:r>
        <w:rPr>
          <w:sz w:val="24"/>
          <w:szCs w:val="24"/>
        </w:rPr>
        <w:t xml:space="preserve">Materials and </w:t>
      </w:r>
      <w:r>
        <w:rPr>
          <w:rFonts w:hint="eastAsia"/>
          <w:sz w:val="24"/>
          <w:szCs w:val="24"/>
          <w:lang w:val="en-US"/>
        </w:rPr>
        <w:t>m</w:t>
      </w:r>
      <w:r>
        <w:rPr>
          <w:sz w:val="24"/>
          <w:szCs w:val="24"/>
        </w:rPr>
        <w:t>ethods</w:t>
      </w:r>
    </w:p>
    <w:p w14:paraId="2E344474" w14:textId="77777777" w:rsidR="003046C5" w:rsidRDefault="00BA54B3" w:rsidP="00094DD9">
      <w:pPr>
        <w:pStyle w:val="Heading2"/>
        <w:keepNext/>
        <w:snapToGrid w:val="0"/>
        <w:spacing w:before="0" w:after="0"/>
        <w:jc w:val="both"/>
        <w:rPr>
          <w:sz w:val="24"/>
          <w:szCs w:val="24"/>
        </w:rPr>
      </w:pPr>
      <w:r>
        <w:rPr>
          <w:rFonts w:hint="eastAsia"/>
          <w:sz w:val="24"/>
          <w:szCs w:val="24"/>
          <w:lang w:val="en-US"/>
        </w:rPr>
        <w:t>2</w:t>
      </w:r>
      <w:r>
        <w:rPr>
          <w:sz w:val="24"/>
          <w:szCs w:val="24"/>
        </w:rPr>
        <w:t>.1</w:t>
      </w:r>
      <w:r>
        <w:rPr>
          <w:rFonts w:hint="eastAsia"/>
          <w:sz w:val="24"/>
          <w:szCs w:val="24"/>
          <w:lang w:val="en-US"/>
        </w:rPr>
        <w:t>.</w:t>
      </w:r>
      <w:r>
        <w:rPr>
          <w:sz w:val="24"/>
          <w:szCs w:val="24"/>
        </w:rPr>
        <w:t xml:space="preserve"> General </w:t>
      </w:r>
      <w:r>
        <w:rPr>
          <w:rFonts w:hint="eastAsia"/>
          <w:sz w:val="24"/>
          <w:szCs w:val="24"/>
          <w:lang w:val="en-US"/>
        </w:rPr>
        <w:t>i</w:t>
      </w:r>
      <w:r>
        <w:rPr>
          <w:sz w:val="24"/>
          <w:szCs w:val="24"/>
        </w:rPr>
        <w:t>nformation</w:t>
      </w:r>
    </w:p>
    <w:p w14:paraId="2E344475" w14:textId="30666670" w:rsidR="003046C5" w:rsidRDefault="00BA54B3" w:rsidP="00094DD9">
      <w:pPr>
        <w:snapToGrid w:val="0"/>
        <w:rPr>
          <w:sz w:val="24"/>
          <w:szCs w:val="24"/>
        </w:rPr>
      </w:pPr>
      <w:r>
        <w:rPr>
          <w:sz w:val="24"/>
          <w:szCs w:val="24"/>
        </w:rPr>
        <w:t>The convenience sampling method was used to select MPPS patients who visited the pelvic floor rehabilitation clinic of the Department of Gynecology of Shaanxi Provincial People</w:t>
      </w:r>
      <w:r>
        <w:rPr>
          <w:sz w:val="24"/>
          <w:szCs w:val="24"/>
          <w:lang w:val="en-US"/>
        </w:rPr>
        <w:t>’</w:t>
      </w:r>
      <w:r>
        <w:rPr>
          <w:sz w:val="24"/>
          <w:szCs w:val="24"/>
        </w:rPr>
        <w:t xml:space="preserve">s Hospital from December 2023 to June 2025 as the research subjects. The diagnostic criteria were formulated with reference to </w:t>
      </w:r>
      <w:r>
        <w:rPr>
          <w:sz w:val="24"/>
          <w:szCs w:val="24"/>
          <w:lang w:val="en-US"/>
        </w:rPr>
        <w:t>“</w:t>
      </w:r>
      <w:r>
        <w:rPr>
          <w:sz w:val="24"/>
          <w:szCs w:val="24"/>
        </w:rPr>
        <w:t>Myofascial Manipulation for Musculoskeletal Pain</w:t>
      </w:r>
      <w:r>
        <w:rPr>
          <w:sz w:val="24"/>
          <w:szCs w:val="24"/>
          <w:lang w:val="en-US"/>
        </w:rPr>
        <w:t>”</w:t>
      </w:r>
      <w:r>
        <w:rPr>
          <w:sz w:val="24"/>
          <w:szCs w:val="24"/>
        </w:rPr>
        <w:t>, and the main criteria were: regional pain; abnormal sensation in the expected distribution area of trigger point referred pain; palpable tension bands in the affected myofascia; severe punctate tenderness at a certain point of the tension band; and a certain degree of motor limitation</w:t>
      </w:r>
      <w:r w:rsidR="004B73EF">
        <w:rPr>
          <w:sz w:val="24"/>
          <w:szCs w:val="24"/>
        </w:rPr>
        <w:t xml:space="preserve"> </w:t>
      </w:r>
      <w:r w:rsidR="004B73EF">
        <w:rPr>
          <w:sz w:val="24"/>
          <w:szCs w:val="24"/>
          <w:vertAlign w:val="superscript"/>
        </w:rPr>
        <w:t>[10]</w:t>
      </w:r>
      <w:r>
        <w:rPr>
          <w:sz w:val="24"/>
          <w:szCs w:val="24"/>
        </w:rPr>
        <w:t xml:space="preserve">. </w:t>
      </w:r>
    </w:p>
    <w:p w14:paraId="2E344476" w14:textId="77777777" w:rsidR="003046C5" w:rsidRDefault="003046C5" w:rsidP="00094DD9">
      <w:pPr>
        <w:snapToGrid w:val="0"/>
        <w:rPr>
          <w:sz w:val="24"/>
          <w:szCs w:val="24"/>
        </w:rPr>
      </w:pPr>
    </w:p>
    <w:p w14:paraId="2E344477" w14:textId="77777777" w:rsidR="003046C5" w:rsidRDefault="00BA54B3" w:rsidP="00094DD9">
      <w:pPr>
        <w:snapToGrid w:val="0"/>
        <w:rPr>
          <w:b/>
          <w:bCs/>
          <w:sz w:val="24"/>
          <w:szCs w:val="24"/>
        </w:rPr>
      </w:pPr>
      <w:r>
        <w:rPr>
          <w:rFonts w:hint="eastAsia"/>
          <w:b/>
          <w:bCs/>
          <w:sz w:val="24"/>
          <w:szCs w:val="24"/>
          <w:lang w:val="en-US"/>
        </w:rPr>
        <w:t xml:space="preserve">2.1.1. </w:t>
      </w:r>
      <w:r>
        <w:rPr>
          <w:b/>
          <w:bCs/>
          <w:sz w:val="24"/>
          <w:szCs w:val="24"/>
        </w:rPr>
        <w:t xml:space="preserve">Inclusion criteria </w:t>
      </w:r>
    </w:p>
    <w:p w14:paraId="335F768A" w14:textId="3E0A85D5" w:rsidR="004B73EF" w:rsidRDefault="00BA54B3" w:rsidP="00094DD9">
      <w:pPr>
        <w:snapToGrid w:val="0"/>
        <w:ind w:left="709" w:hanging="709"/>
        <w:rPr>
          <w:sz w:val="24"/>
          <w:szCs w:val="24"/>
        </w:rPr>
      </w:pPr>
      <w:r>
        <w:rPr>
          <w:rFonts w:hint="eastAsia"/>
          <w:sz w:val="24"/>
          <w:szCs w:val="24"/>
          <w:lang w:val="en-US"/>
        </w:rPr>
        <w:t>(1)</w:t>
      </w:r>
      <w:r>
        <w:rPr>
          <w:sz w:val="24"/>
          <w:szCs w:val="24"/>
        </w:rPr>
        <w:t xml:space="preserve"> </w:t>
      </w:r>
      <w:r w:rsidR="004B73EF">
        <w:rPr>
          <w:sz w:val="24"/>
          <w:szCs w:val="24"/>
        </w:rPr>
        <w:tab/>
        <w:t>M</w:t>
      </w:r>
      <w:r>
        <w:rPr>
          <w:sz w:val="24"/>
          <w:szCs w:val="24"/>
        </w:rPr>
        <w:t xml:space="preserve">eeting the above diagnostic criteria; </w:t>
      </w:r>
    </w:p>
    <w:p w14:paraId="25DCFAA1" w14:textId="515CF7A2" w:rsidR="004B73EF" w:rsidRDefault="00BA54B3" w:rsidP="00094DD9">
      <w:pPr>
        <w:snapToGrid w:val="0"/>
        <w:ind w:left="709" w:hanging="709"/>
        <w:rPr>
          <w:sz w:val="24"/>
          <w:szCs w:val="24"/>
        </w:rPr>
      </w:pPr>
      <w:r>
        <w:rPr>
          <w:rFonts w:hint="eastAsia"/>
          <w:sz w:val="24"/>
          <w:szCs w:val="24"/>
          <w:lang w:val="en-US"/>
        </w:rPr>
        <w:t>(2)</w:t>
      </w:r>
      <w:r>
        <w:rPr>
          <w:sz w:val="24"/>
          <w:szCs w:val="24"/>
        </w:rPr>
        <w:t xml:space="preserve"> </w:t>
      </w:r>
      <w:r w:rsidR="004B73EF">
        <w:rPr>
          <w:sz w:val="24"/>
          <w:szCs w:val="24"/>
        </w:rPr>
        <w:tab/>
        <w:t>C</w:t>
      </w:r>
      <w:r>
        <w:rPr>
          <w:sz w:val="24"/>
          <w:szCs w:val="24"/>
        </w:rPr>
        <w:t xml:space="preserve">hronic pelvic pain ≥ 6 months; </w:t>
      </w:r>
    </w:p>
    <w:p w14:paraId="4471313D" w14:textId="0B8CC93B" w:rsidR="004B73EF" w:rsidRDefault="00BA54B3" w:rsidP="00094DD9">
      <w:pPr>
        <w:snapToGrid w:val="0"/>
        <w:ind w:left="709" w:hanging="709"/>
        <w:rPr>
          <w:sz w:val="24"/>
          <w:szCs w:val="24"/>
        </w:rPr>
      </w:pPr>
      <w:r>
        <w:rPr>
          <w:rFonts w:hint="eastAsia"/>
          <w:sz w:val="24"/>
          <w:szCs w:val="24"/>
          <w:lang w:val="en-US"/>
        </w:rPr>
        <w:t>(3)</w:t>
      </w:r>
      <w:r>
        <w:rPr>
          <w:sz w:val="24"/>
          <w:szCs w:val="24"/>
        </w:rPr>
        <w:t xml:space="preserve"> </w:t>
      </w:r>
      <w:r w:rsidR="004B73EF">
        <w:rPr>
          <w:sz w:val="24"/>
          <w:szCs w:val="24"/>
        </w:rPr>
        <w:tab/>
        <w:t>H</w:t>
      </w:r>
      <w:r>
        <w:rPr>
          <w:sz w:val="24"/>
          <w:szCs w:val="24"/>
        </w:rPr>
        <w:t xml:space="preserve">aving a history of sexual activity and not receiving related treatment within 1 month before enrollment; </w:t>
      </w:r>
    </w:p>
    <w:p w14:paraId="38B20BFF" w14:textId="33109CCC" w:rsidR="004B73EF" w:rsidRDefault="00BA54B3" w:rsidP="004B73EF">
      <w:pPr>
        <w:snapToGrid w:val="0"/>
        <w:ind w:left="709" w:hanging="709"/>
        <w:rPr>
          <w:sz w:val="24"/>
          <w:szCs w:val="24"/>
        </w:rPr>
      </w:pPr>
      <w:r>
        <w:rPr>
          <w:rFonts w:hint="eastAsia"/>
          <w:sz w:val="24"/>
          <w:szCs w:val="24"/>
          <w:lang w:val="en-US"/>
        </w:rPr>
        <w:t>(4)</w:t>
      </w:r>
      <w:r>
        <w:rPr>
          <w:sz w:val="24"/>
          <w:szCs w:val="24"/>
        </w:rPr>
        <w:t xml:space="preserve"> </w:t>
      </w:r>
      <w:r w:rsidR="004B73EF">
        <w:rPr>
          <w:sz w:val="24"/>
          <w:szCs w:val="24"/>
        </w:rPr>
        <w:tab/>
        <w:t>N</w:t>
      </w:r>
      <w:r>
        <w:rPr>
          <w:sz w:val="24"/>
          <w:szCs w:val="24"/>
        </w:rPr>
        <w:t>ot participating in other clinical trials and being able to adhere to treatment and follow-up;</w:t>
      </w:r>
    </w:p>
    <w:p w14:paraId="2E34447B" w14:textId="2B3AB503" w:rsidR="003046C5" w:rsidRDefault="00BA54B3" w:rsidP="00094DD9">
      <w:pPr>
        <w:snapToGrid w:val="0"/>
        <w:ind w:left="709" w:hanging="709"/>
        <w:rPr>
          <w:sz w:val="24"/>
          <w:szCs w:val="24"/>
        </w:rPr>
      </w:pPr>
      <w:r>
        <w:rPr>
          <w:rFonts w:hint="eastAsia"/>
          <w:sz w:val="24"/>
          <w:szCs w:val="24"/>
          <w:lang w:val="en-US"/>
        </w:rPr>
        <w:t>(5)</w:t>
      </w:r>
      <w:r>
        <w:rPr>
          <w:sz w:val="24"/>
          <w:szCs w:val="24"/>
        </w:rPr>
        <w:t xml:space="preserve"> </w:t>
      </w:r>
      <w:r w:rsidR="004B73EF">
        <w:rPr>
          <w:sz w:val="24"/>
          <w:szCs w:val="24"/>
        </w:rPr>
        <w:tab/>
        <w:t>I</w:t>
      </w:r>
      <w:r>
        <w:rPr>
          <w:sz w:val="24"/>
          <w:szCs w:val="24"/>
        </w:rPr>
        <w:t xml:space="preserve">nformed consent and signing of informed consent form. </w:t>
      </w:r>
    </w:p>
    <w:p w14:paraId="2E34447C" w14:textId="77777777" w:rsidR="003046C5" w:rsidRDefault="003046C5" w:rsidP="00094DD9">
      <w:pPr>
        <w:snapToGrid w:val="0"/>
        <w:rPr>
          <w:sz w:val="24"/>
          <w:szCs w:val="24"/>
        </w:rPr>
      </w:pPr>
    </w:p>
    <w:p w14:paraId="2E34447D" w14:textId="77777777" w:rsidR="003046C5" w:rsidRDefault="00BA54B3" w:rsidP="00094DD9">
      <w:pPr>
        <w:snapToGrid w:val="0"/>
        <w:rPr>
          <w:b/>
          <w:bCs/>
          <w:sz w:val="24"/>
          <w:szCs w:val="24"/>
        </w:rPr>
      </w:pPr>
      <w:r>
        <w:rPr>
          <w:rFonts w:hint="eastAsia"/>
          <w:b/>
          <w:bCs/>
          <w:sz w:val="24"/>
          <w:szCs w:val="24"/>
          <w:lang w:val="en-US"/>
        </w:rPr>
        <w:t xml:space="preserve">2.1.2. </w:t>
      </w:r>
      <w:r>
        <w:rPr>
          <w:b/>
          <w:bCs/>
          <w:sz w:val="24"/>
          <w:szCs w:val="24"/>
        </w:rPr>
        <w:t>Exclusion criteria</w:t>
      </w:r>
    </w:p>
    <w:p w14:paraId="378E16C1" w14:textId="6B733F9E" w:rsidR="004B73EF" w:rsidRDefault="00BA54B3" w:rsidP="00094DD9">
      <w:pPr>
        <w:snapToGrid w:val="0"/>
        <w:ind w:left="709" w:hanging="709"/>
        <w:rPr>
          <w:sz w:val="24"/>
          <w:szCs w:val="24"/>
        </w:rPr>
      </w:pPr>
      <w:r>
        <w:rPr>
          <w:rFonts w:hint="eastAsia"/>
          <w:sz w:val="24"/>
          <w:szCs w:val="24"/>
          <w:lang w:val="en-US"/>
        </w:rPr>
        <w:t>(1)</w:t>
      </w:r>
      <w:r>
        <w:rPr>
          <w:sz w:val="24"/>
          <w:szCs w:val="24"/>
        </w:rPr>
        <w:t xml:space="preserve"> </w:t>
      </w:r>
      <w:r w:rsidR="004B73EF">
        <w:rPr>
          <w:sz w:val="24"/>
          <w:szCs w:val="24"/>
        </w:rPr>
        <w:tab/>
      </w:r>
      <w:r>
        <w:rPr>
          <w:sz w:val="24"/>
          <w:szCs w:val="24"/>
        </w:rPr>
        <w:t>Contraindications to electro- or magnetic stimulation therapy (epilepsy, pacemaker implantation, malignant tumors, treatment of local metal implantation, etc.);</w:t>
      </w:r>
    </w:p>
    <w:p w14:paraId="28C71005" w14:textId="2250230F" w:rsidR="004B73EF" w:rsidRDefault="00BA54B3" w:rsidP="00094DD9">
      <w:pPr>
        <w:snapToGrid w:val="0"/>
        <w:ind w:left="709" w:hanging="709"/>
        <w:rPr>
          <w:sz w:val="24"/>
          <w:szCs w:val="24"/>
        </w:rPr>
      </w:pPr>
      <w:r>
        <w:rPr>
          <w:rFonts w:hint="eastAsia"/>
          <w:sz w:val="24"/>
          <w:szCs w:val="24"/>
          <w:lang w:val="en-US"/>
        </w:rPr>
        <w:t>(2)</w:t>
      </w:r>
      <w:r>
        <w:rPr>
          <w:sz w:val="24"/>
          <w:szCs w:val="24"/>
        </w:rPr>
        <w:t xml:space="preserve"> </w:t>
      </w:r>
      <w:r w:rsidR="004B73EF">
        <w:rPr>
          <w:sz w:val="24"/>
          <w:szCs w:val="24"/>
        </w:rPr>
        <w:tab/>
      </w:r>
      <w:r>
        <w:rPr>
          <w:sz w:val="24"/>
          <w:szCs w:val="24"/>
        </w:rPr>
        <w:t xml:space="preserve">Pain caused by acute inflammation or tumors of the urinary, reproductive, or digestive systems; </w:t>
      </w:r>
    </w:p>
    <w:p w14:paraId="5B539294" w14:textId="640FD51D" w:rsidR="004B73EF" w:rsidRDefault="00BA54B3" w:rsidP="00094DD9">
      <w:pPr>
        <w:snapToGrid w:val="0"/>
        <w:ind w:left="709" w:hanging="709"/>
        <w:rPr>
          <w:sz w:val="24"/>
          <w:szCs w:val="24"/>
        </w:rPr>
      </w:pPr>
      <w:r>
        <w:rPr>
          <w:rFonts w:hint="eastAsia"/>
          <w:sz w:val="24"/>
          <w:szCs w:val="24"/>
          <w:lang w:val="en-US"/>
        </w:rPr>
        <w:t>(3)</w:t>
      </w:r>
      <w:r>
        <w:rPr>
          <w:sz w:val="24"/>
          <w:szCs w:val="24"/>
        </w:rPr>
        <w:t xml:space="preserve"> </w:t>
      </w:r>
      <w:r w:rsidR="004B73EF">
        <w:rPr>
          <w:sz w:val="24"/>
          <w:szCs w:val="24"/>
        </w:rPr>
        <w:tab/>
      </w:r>
      <w:r>
        <w:rPr>
          <w:sz w:val="24"/>
          <w:szCs w:val="24"/>
        </w:rPr>
        <w:t xml:space="preserve">Mental illness or cognitive impairment; </w:t>
      </w:r>
    </w:p>
    <w:p w14:paraId="2E344481" w14:textId="36B00F55" w:rsidR="003046C5" w:rsidRDefault="00BA54B3" w:rsidP="00094DD9">
      <w:pPr>
        <w:snapToGrid w:val="0"/>
        <w:ind w:left="709" w:hanging="709"/>
        <w:rPr>
          <w:sz w:val="24"/>
          <w:szCs w:val="24"/>
        </w:rPr>
      </w:pPr>
      <w:r>
        <w:rPr>
          <w:rFonts w:hint="eastAsia"/>
          <w:sz w:val="24"/>
          <w:szCs w:val="24"/>
          <w:lang w:val="en-US"/>
        </w:rPr>
        <w:t>(4)</w:t>
      </w:r>
      <w:r>
        <w:rPr>
          <w:sz w:val="24"/>
          <w:szCs w:val="24"/>
        </w:rPr>
        <w:t xml:space="preserve"> </w:t>
      </w:r>
      <w:r w:rsidR="004B73EF">
        <w:rPr>
          <w:sz w:val="24"/>
          <w:szCs w:val="24"/>
        </w:rPr>
        <w:tab/>
      </w:r>
      <w:r>
        <w:rPr>
          <w:sz w:val="24"/>
          <w:szCs w:val="24"/>
        </w:rPr>
        <w:t>Comorbid severe heart, brain, liver, kidney, or vascular diseases.</w:t>
      </w:r>
    </w:p>
    <w:p w14:paraId="2E344482" w14:textId="2CAE966F" w:rsidR="003046C5" w:rsidRDefault="00BA54B3" w:rsidP="00094DD9">
      <w:pPr>
        <w:snapToGrid w:val="0"/>
        <w:ind w:firstLine="420"/>
        <w:rPr>
          <w:sz w:val="24"/>
          <w:szCs w:val="24"/>
        </w:rPr>
      </w:pPr>
      <w:r>
        <w:rPr>
          <w:sz w:val="24"/>
          <w:szCs w:val="24"/>
        </w:rPr>
        <w:t xml:space="preserve">This study was approved by the Ethics Committee of our hospital. Patients meeting the criteria were randomly assigned to an observation group and a control group using a random number table, with 42 patients in each group. During the study, 3 patients dropped out of the observation group (2 due to job transfer, 1 due to menstrual interruption) and 4 patients dropped out of the control group (2 due to travel difficulties, 2 lost to follow-up). Ultimately, 39 patients in the observation group and 38 patients </w:t>
      </w:r>
      <w:r>
        <w:rPr>
          <w:sz w:val="24"/>
          <w:szCs w:val="24"/>
        </w:rPr>
        <w:t>in the control group completed the study. There were no statistically significant differences in age, disease duration, body mass index (BMI), education level, and type of medical insurance between the two groups (</w:t>
      </w:r>
      <w:r w:rsidR="004B73EF">
        <w:rPr>
          <w:i/>
          <w:iCs/>
          <w:sz w:val="24"/>
          <w:szCs w:val="24"/>
        </w:rPr>
        <w:t>p</w:t>
      </w:r>
      <w:r w:rsidR="004B73EF">
        <w:rPr>
          <w:rFonts w:hint="eastAsia"/>
          <w:i/>
          <w:iCs/>
          <w:sz w:val="24"/>
          <w:szCs w:val="24"/>
          <w:lang w:val="en-US"/>
        </w:rPr>
        <w:t xml:space="preserve"> </w:t>
      </w:r>
      <w:r>
        <w:rPr>
          <w:sz w:val="24"/>
          <w:szCs w:val="24"/>
        </w:rPr>
        <w:t>&gt;</w:t>
      </w:r>
      <w:r>
        <w:rPr>
          <w:rFonts w:hint="eastAsia"/>
          <w:sz w:val="24"/>
          <w:szCs w:val="24"/>
          <w:lang w:val="en-US"/>
        </w:rPr>
        <w:t xml:space="preserve"> </w:t>
      </w:r>
      <w:r>
        <w:rPr>
          <w:sz w:val="24"/>
          <w:szCs w:val="24"/>
        </w:rPr>
        <w:t xml:space="preserve">0.05), indicating comparability (see </w:t>
      </w:r>
      <w:r>
        <w:rPr>
          <w:b/>
          <w:bCs/>
          <w:sz w:val="24"/>
          <w:szCs w:val="24"/>
        </w:rPr>
        <w:t>Table 1</w:t>
      </w:r>
      <w:r>
        <w:rPr>
          <w:sz w:val="24"/>
          <w:szCs w:val="24"/>
        </w:rPr>
        <w:t>).</w:t>
      </w:r>
    </w:p>
    <w:p w14:paraId="2E344483" w14:textId="77777777" w:rsidR="003046C5" w:rsidRDefault="003046C5" w:rsidP="00094DD9">
      <w:pPr>
        <w:snapToGrid w:val="0"/>
        <w:ind w:firstLine="420"/>
        <w:rPr>
          <w:sz w:val="24"/>
          <w:szCs w:val="24"/>
        </w:rPr>
      </w:pPr>
    </w:p>
    <w:p w14:paraId="2E344484" w14:textId="77777777" w:rsidR="003046C5" w:rsidRDefault="00BA54B3" w:rsidP="00094DD9">
      <w:pPr>
        <w:keepNext/>
        <w:keepLines/>
        <w:snapToGrid w:val="0"/>
        <w:rPr>
          <w:sz w:val="24"/>
          <w:szCs w:val="24"/>
        </w:rPr>
      </w:pPr>
      <w:r>
        <w:rPr>
          <w:b/>
          <w:bCs/>
          <w:sz w:val="24"/>
          <w:szCs w:val="24"/>
        </w:rPr>
        <w:lastRenderedPageBreak/>
        <w:t xml:space="preserve">Table </w:t>
      </w:r>
      <w:r>
        <w:rPr>
          <w:b/>
          <w:bCs/>
          <w:sz w:val="24"/>
          <w:szCs w:val="24"/>
          <w:lang w:val="en-US"/>
        </w:rPr>
        <w:t>1</w:t>
      </w:r>
      <w:r w:rsidRPr="00094DD9">
        <w:rPr>
          <w:rFonts w:hint="eastAsia"/>
          <w:b/>
          <w:bCs/>
          <w:sz w:val="24"/>
          <w:szCs w:val="24"/>
          <w:lang w:val="en-US"/>
        </w:rPr>
        <w:t>.</w:t>
      </w:r>
      <w:r>
        <w:rPr>
          <w:sz w:val="24"/>
          <w:szCs w:val="24"/>
        </w:rPr>
        <w:t xml:space="preserve"> Comparison of general information between the two groups of patients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1701"/>
        <w:gridCol w:w="1701"/>
        <w:gridCol w:w="1276"/>
        <w:gridCol w:w="986"/>
      </w:tblGrid>
      <w:tr w:rsidR="004B73EF" w14:paraId="02F1C942" w14:textId="77777777" w:rsidTr="00094DD9">
        <w:tc>
          <w:tcPr>
            <w:tcW w:w="3964" w:type="dxa"/>
            <w:tcBorders>
              <w:top w:val="single" w:sz="4" w:space="0" w:color="auto"/>
              <w:bottom w:val="single" w:sz="4" w:space="0" w:color="auto"/>
            </w:tcBorders>
            <w:vAlign w:val="center"/>
          </w:tcPr>
          <w:p w14:paraId="2A260EAE" w14:textId="48F05101" w:rsidR="004B73EF" w:rsidRDefault="004B73EF" w:rsidP="00094DD9">
            <w:pPr>
              <w:keepNext/>
              <w:keepLines/>
              <w:snapToGrid w:val="0"/>
              <w:jc w:val="left"/>
              <w:rPr>
                <w:sz w:val="24"/>
                <w:szCs w:val="24"/>
              </w:rPr>
            </w:pPr>
            <w:r>
              <w:rPr>
                <w:b/>
                <w:bCs/>
                <w:sz w:val="24"/>
                <w:szCs w:val="24"/>
              </w:rPr>
              <w:t>Project</w:t>
            </w:r>
          </w:p>
        </w:tc>
        <w:tc>
          <w:tcPr>
            <w:tcW w:w="1701" w:type="dxa"/>
            <w:tcBorders>
              <w:top w:val="single" w:sz="4" w:space="0" w:color="auto"/>
              <w:bottom w:val="single" w:sz="4" w:space="0" w:color="auto"/>
            </w:tcBorders>
            <w:vAlign w:val="center"/>
          </w:tcPr>
          <w:p w14:paraId="110DEDEC" w14:textId="0006B3E2" w:rsidR="004B73EF" w:rsidRDefault="004B73EF" w:rsidP="00094DD9">
            <w:pPr>
              <w:keepNext/>
              <w:keepLines/>
              <w:snapToGrid w:val="0"/>
              <w:jc w:val="center"/>
              <w:rPr>
                <w:sz w:val="24"/>
                <w:szCs w:val="24"/>
              </w:rPr>
            </w:pPr>
            <w:r>
              <w:rPr>
                <w:b/>
                <w:bCs/>
                <w:sz w:val="24"/>
                <w:szCs w:val="24"/>
              </w:rPr>
              <w:t>Observation group (n</w:t>
            </w:r>
            <w:r w:rsidR="00EC2277">
              <w:rPr>
                <w:b/>
                <w:bCs/>
                <w:sz w:val="24"/>
                <w:szCs w:val="24"/>
              </w:rPr>
              <w:t xml:space="preserve"> </w:t>
            </w:r>
            <w:r>
              <w:rPr>
                <w:b/>
                <w:bCs/>
                <w:sz w:val="24"/>
                <w:szCs w:val="24"/>
              </w:rPr>
              <w:t>=</w:t>
            </w:r>
            <w:r w:rsidR="00EC2277">
              <w:rPr>
                <w:b/>
                <w:bCs/>
                <w:sz w:val="24"/>
                <w:szCs w:val="24"/>
              </w:rPr>
              <w:t xml:space="preserve"> </w:t>
            </w:r>
            <w:r>
              <w:rPr>
                <w:b/>
                <w:bCs/>
                <w:sz w:val="24"/>
                <w:szCs w:val="24"/>
              </w:rPr>
              <w:t>39)</w:t>
            </w:r>
          </w:p>
        </w:tc>
        <w:tc>
          <w:tcPr>
            <w:tcW w:w="1701" w:type="dxa"/>
            <w:tcBorders>
              <w:top w:val="single" w:sz="4" w:space="0" w:color="auto"/>
              <w:bottom w:val="single" w:sz="4" w:space="0" w:color="auto"/>
            </w:tcBorders>
            <w:vAlign w:val="center"/>
          </w:tcPr>
          <w:p w14:paraId="5E6D3FDD" w14:textId="6ABDD901" w:rsidR="004B73EF" w:rsidRDefault="004B73EF" w:rsidP="00094DD9">
            <w:pPr>
              <w:keepNext/>
              <w:keepLines/>
              <w:snapToGrid w:val="0"/>
              <w:jc w:val="center"/>
              <w:rPr>
                <w:sz w:val="24"/>
                <w:szCs w:val="24"/>
              </w:rPr>
            </w:pPr>
            <w:r>
              <w:rPr>
                <w:b/>
                <w:bCs/>
                <w:sz w:val="24"/>
                <w:szCs w:val="24"/>
              </w:rPr>
              <w:t>Control group (n</w:t>
            </w:r>
            <w:r w:rsidR="00EC2277">
              <w:rPr>
                <w:b/>
                <w:bCs/>
                <w:sz w:val="24"/>
                <w:szCs w:val="24"/>
              </w:rPr>
              <w:t xml:space="preserve"> </w:t>
            </w:r>
            <w:r>
              <w:rPr>
                <w:b/>
                <w:bCs/>
                <w:sz w:val="24"/>
                <w:szCs w:val="24"/>
              </w:rPr>
              <w:t>=</w:t>
            </w:r>
            <w:r w:rsidR="00EC2277">
              <w:rPr>
                <w:b/>
                <w:bCs/>
                <w:sz w:val="24"/>
                <w:szCs w:val="24"/>
              </w:rPr>
              <w:t xml:space="preserve"> </w:t>
            </w:r>
            <w:r>
              <w:rPr>
                <w:b/>
                <w:bCs/>
                <w:sz w:val="24"/>
                <w:szCs w:val="24"/>
              </w:rPr>
              <w:t>38)</w:t>
            </w:r>
          </w:p>
        </w:tc>
        <w:tc>
          <w:tcPr>
            <w:tcW w:w="1276" w:type="dxa"/>
            <w:tcBorders>
              <w:top w:val="single" w:sz="4" w:space="0" w:color="auto"/>
              <w:bottom w:val="single" w:sz="4" w:space="0" w:color="auto"/>
            </w:tcBorders>
            <w:vAlign w:val="center"/>
          </w:tcPr>
          <w:p w14:paraId="2037E5EB" w14:textId="341CFB7D" w:rsidR="004B73EF" w:rsidRDefault="004B73EF" w:rsidP="00094DD9">
            <w:pPr>
              <w:keepNext/>
              <w:keepLines/>
              <w:snapToGrid w:val="0"/>
              <w:jc w:val="center"/>
              <w:rPr>
                <w:sz w:val="24"/>
                <w:szCs w:val="24"/>
              </w:rPr>
            </w:pPr>
            <w:r>
              <w:rPr>
                <w:b/>
                <w:bCs/>
                <w:sz w:val="24"/>
                <w:szCs w:val="24"/>
              </w:rPr>
              <w:t>Statistic</w:t>
            </w:r>
          </w:p>
        </w:tc>
        <w:tc>
          <w:tcPr>
            <w:tcW w:w="986" w:type="dxa"/>
            <w:tcBorders>
              <w:top w:val="single" w:sz="4" w:space="0" w:color="auto"/>
              <w:bottom w:val="single" w:sz="4" w:space="0" w:color="auto"/>
            </w:tcBorders>
            <w:vAlign w:val="center"/>
          </w:tcPr>
          <w:p w14:paraId="1B7C19AD" w14:textId="12FF0253" w:rsidR="004B73EF" w:rsidRDefault="004B73EF" w:rsidP="00094DD9">
            <w:pPr>
              <w:keepNext/>
              <w:keepLines/>
              <w:snapToGrid w:val="0"/>
              <w:jc w:val="center"/>
              <w:rPr>
                <w:sz w:val="24"/>
                <w:szCs w:val="24"/>
              </w:rPr>
            </w:pPr>
            <w:r>
              <w:rPr>
                <w:b/>
                <w:bCs/>
                <w:i/>
                <w:iCs/>
                <w:sz w:val="24"/>
                <w:szCs w:val="24"/>
              </w:rPr>
              <w:t>p</w:t>
            </w:r>
            <w:r>
              <w:rPr>
                <w:b/>
                <w:bCs/>
                <w:sz w:val="24"/>
                <w:szCs w:val="24"/>
              </w:rPr>
              <w:t>-value</w:t>
            </w:r>
          </w:p>
        </w:tc>
      </w:tr>
      <w:tr w:rsidR="004B73EF" w14:paraId="08F404B1" w14:textId="77777777" w:rsidTr="00094DD9">
        <w:tc>
          <w:tcPr>
            <w:tcW w:w="3964" w:type="dxa"/>
            <w:tcBorders>
              <w:top w:val="single" w:sz="4" w:space="0" w:color="auto"/>
            </w:tcBorders>
            <w:vAlign w:val="center"/>
          </w:tcPr>
          <w:p w14:paraId="10C2A06D" w14:textId="5ACEE7DC" w:rsidR="004B73EF" w:rsidRDefault="004B73EF" w:rsidP="00094DD9">
            <w:pPr>
              <w:keepNext/>
              <w:keepLines/>
              <w:snapToGrid w:val="0"/>
              <w:jc w:val="left"/>
              <w:rPr>
                <w:sz w:val="24"/>
                <w:szCs w:val="24"/>
              </w:rPr>
            </w:pPr>
            <w:r>
              <w:rPr>
                <w:sz w:val="24"/>
                <w:szCs w:val="24"/>
              </w:rPr>
              <w:t xml:space="preserve">Age (years, </w:t>
            </w:r>
            <w:r>
              <w:rPr>
                <w:color w:val="0000FF"/>
                <w:position w:val="-6"/>
                <w:sz w:val="24"/>
                <w:szCs w:val="24"/>
              </w:rPr>
              <w:object w:dxaOrig="220" w:dyaOrig="270" w14:anchorId="36F7C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79" type="#_x0000_t75" style="width:10.8pt;height:13.8pt" o:ole="">
                  <v:imagedata r:id="rId4" o:title=""/>
                </v:shape>
                <o:OLEObject Type="Embed" ProgID="Equation.DSMT4" ShapeID="_x0000_i1379" DrawAspect="Content" ObjectID="_1852189403" r:id="rId5"/>
              </w:object>
            </w:r>
            <w:r>
              <w:rPr>
                <w:sz w:val="24"/>
                <w:szCs w:val="24"/>
              </w:rPr>
              <w:t>± s)</w:t>
            </w:r>
          </w:p>
        </w:tc>
        <w:tc>
          <w:tcPr>
            <w:tcW w:w="1701" w:type="dxa"/>
            <w:tcBorders>
              <w:top w:val="single" w:sz="4" w:space="0" w:color="auto"/>
            </w:tcBorders>
            <w:vAlign w:val="center"/>
          </w:tcPr>
          <w:p w14:paraId="159138F7" w14:textId="01D94AEB" w:rsidR="004B73EF" w:rsidRDefault="004B73EF" w:rsidP="00094DD9">
            <w:pPr>
              <w:keepNext/>
              <w:keepLines/>
              <w:snapToGrid w:val="0"/>
              <w:jc w:val="center"/>
              <w:rPr>
                <w:sz w:val="24"/>
                <w:szCs w:val="24"/>
              </w:rPr>
            </w:pPr>
            <w:r>
              <w:rPr>
                <w:sz w:val="24"/>
                <w:szCs w:val="24"/>
              </w:rPr>
              <w:t>38.6</w:t>
            </w:r>
            <w:r w:rsidR="00EC2277">
              <w:rPr>
                <w:sz w:val="24"/>
                <w:szCs w:val="24"/>
              </w:rPr>
              <w:t xml:space="preserve"> </w:t>
            </w:r>
            <w:r>
              <w:rPr>
                <w:sz w:val="24"/>
                <w:szCs w:val="24"/>
              </w:rPr>
              <w:t>±</w:t>
            </w:r>
            <w:r w:rsidR="00EC2277">
              <w:rPr>
                <w:sz w:val="24"/>
                <w:szCs w:val="24"/>
              </w:rPr>
              <w:t xml:space="preserve"> </w:t>
            </w:r>
            <w:r>
              <w:rPr>
                <w:sz w:val="24"/>
                <w:szCs w:val="24"/>
              </w:rPr>
              <w:t>7.2</w:t>
            </w:r>
          </w:p>
        </w:tc>
        <w:tc>
          <w:tcPr>
            <w:tcW w:w="1701" w:type="dxa"/>
            <w:tcBorders>
              <w:top w:val="single" w:sz="4" w:space="0" w:color="auto"/>
            </w:tcBorders>
            <w:vAlign w:val="center"/>
          </w:tcPr>
          <w:p w14:paraId="7F430B28" w14:textId="5A9810B9" w:rsidR="004B73EF" w:rsidRDefault="004B73EF" w:rsidP="00094DD9">
            <w:pPr>
              <w:keepNext/>
              <w:keepLines/>
              <w:snapToGrid w:val="0"/>
              <w:jc w:val="center"/>
              <w:rPr>
                <w:sz w:val="24"/>
                <w:szCs w:val="24"/>
              </w:rPr>
            </w:pPr>
            <w:r>
              <w:rPr>
                <w:sz w:val="24"/>
                <w:szCs w:val="24"/>
              </w:rPr>
              <w:t>39.1</w:t>
            </w:r>
            <w:r w:rsidR="00EC2277">
              <w:rPr>
                <w:sz w:val="24"/>
                <w:szCs w:val="24"/>
              </w:rPr>
              <w:t xml:space="preserve"> </w:t>
            </w:r>
            <w:r>
              <w:rPr>
                <w:sz w:val="24"/>
                <w:szCs w:val="24"/>
              </w:rPr>
              <w:t>±</w:t>
            </w:r>
            <w:r w:rsidR="00EC2277">
              <w:rPr>
                <w:sz w:val="24"/>
                <w:szCs w:val="24"/>
              </w:rPr>
              <w:t xml:space="preserve"> </w:t>
            </w:r>
            <w:r>
              <w:rPr>
                <w:sz w:val="24"/>
                <w:szCs w:val="24"/>
              </w:rPr>
              <w:t>7.5</w:t>
            </w:r>
          </w:p>
        </w:tc>
        <w:tc>
          <w:tcPr>
            <w:tcW w:w="1276" w:type="dxa"/>
            <w:tcBorders>
              <w:top w:val="single" w:sz="4" w:space="0" w:color="auto"/>
            </w:tcBorders>
            <w:vAlign w:val="center"/>
          </w:tcPr>
          <w:p w14:paraId="4A0FFCE9" w14:textId="5FF535EB" w:rsidR="004B73EF" w:rsidRDefault="004B73EF" w:rsidP="00094DD9">
            <w:pPr>
              <w:keepNext/>
              <w:keepLines/>
              <w:snapToGrid w:val="0"/>
              <w:jc w:val="center"/>
              <w:rPr>
                <w:sz w:val="24"/>
                <w:szCs w:val="24"/>
              </w:rPr>
            </w:pPr>
            <w:r>
              <w:rPr>
                <w:i/>
                <w:iCs/>
                <w:sz w:val="24"/>
                <w:szCs w:val="24"/>
              </w:rPr>
              <w:t>t</w:t>
            </w:r>
            <w:r>
              <w:rPr>
                <w:i/>
                <w:iCs/>
                <w:sz w:val="24"/>
                <w:szCs w:val="24"/>
              </w:rPr>
              <w:t xml:space="preserve"> </w:t>
            </w:r>
            <w:r>
              <w:rPr>
                <w:sz w:val="24"/>
                <w:szCs w:val="24"/>
              </w:rPr>
              <w:t>=</w:t>
            </w:r>
            <w:r>
              <w:rPr>
                <w:sz w:val="24"/>
                <w:szCs w:val="24"/>
              </w:rPr>
              <w:t xml:space="preserve"> </w:t>
            </w:r>
            <w:r>
              <w:rPr>
                <w:sz w:val="24"/>
                <w:szCs w:val="24"/>
              </w:rPr>
              <w:t>0.297</w:t>
            </w:r>
          </w:p>
        </w:tc>
        <w:tc>
          <w:tcPr>
            <w:tcW w:w="986" w:type="dxa"/>
            <w:tcBorders>
              <w:top w:val="single" w:sz="4" w:space="0" w:color="auto"/>
            </w:tcBorders>
            <w:vAlign w:val="center"/>
          </w:tcPr>
          <w:p w14:paraId="62664864" w14:textId="3205FE99" w:rsidR="004B73EF" w:rsidRDefault="004B73EF" w:rsidP="00094DD9">
            <w:pPr>
              <w:keepNext/>
              <w:keepLines/>
              <w:snapToGrid w:val="0"/>
              <w:jc w:val="center"/>
              <w:rPr>
                <w:sz w:val="24"/>
                <w:szCs w:val="24"/>
              </w:rPr>
            </w:pPr>
            <w:r>
              <w:rPr>
                <w:sz w:val="24"/>
                <w:szCs w:val="24"/>
              </w:rPr>
              <w:t>0.767</w:t>
            </w:r>
          </w:p>
        </w:tc>
      </w:tr>
      <w:tr w:rsidR="004B73EF" w14:paraId="5CD481C6" w14:textId="77777777" w:rsidTr="00094DD9">
        <w:tc>
          <w:tcPr>
            <w:tcW w:w="3964" w:type="dxa"/>
            <w:vAlign w:val="center"/>
          </w:tcPr>
          <w:p w14:paraId="14649E0B" w14:textId="7C56949A" w:rsidR="004B73EF" w:rsidRDefault="004B73EF" w:rsidP="00094DD9">
            <w:pPr>
              <w:keepNext/>
              <w:keepLines/>
              <w:snapToGrid w:val="0"/>
              <w:jc w:val="left"/>
              <w:rPr>
                <w:sz w:val="24"/>
                <w:szCs w:val="24"/>
              </w:rPr>
            </w:pPr>
            <w:r>
              <w:rPr>
                <w:sz w:val="24"/>
                <w:szCs w:val="24"/>
              </w:rPr>
              <w:t>Disease course (months,</w:t>
            </w:r>
            <w:r>
              <w:rPr>
                <w:color w:val="0000FF"/>
                <w:position w:val="-6"/>
                <w:sz w:val="24"/>
                <w:szCs w:val="24"/>
              </w:rPr>
              <w:object w:dxaOrig="220" w:dyaOrig="270" w14:anchorId="2B05107F">
                <v:shape id="_x0000_i1380" type="#_x0000_t75" style="width:10.8pt;height:13.8pt" o:ole="">
                  <v:imagedata r:id="rId4" o:title=""/>
                </v:shape>
                <o:OLEObject Type="Embed" ProgID="Equation.DSMT4" ShapeID="_x0000_i1380" DrawAspect="Content" ObjectID="_1852189404" r:id="rId6"/>
              </w:object>
            </w:r>
            <w:r>
              <w:rPr>
                <w:sz w:val="24"/>
                <w:szCs w:val="24"/>
              </w:rPr>
              <w:t>± s)</w:t>
            </w:r>
          </w:p>
        </w:tc>
        <w:tc>
          <w:tcPr>
            <w:tcW w:w="1701" w:type="dxa"/>
            <w:vAlign w:val="center"/>
          </w:tcPr>
          <w:p w14:paraId="730FD81F" w14:textId="75282B7E" w:rsidR="004B73EF" w:rsidRDefault="004B73EF" w:rsidP="00094DD9">
            <w:pPr>
              <w:keepNext/>
              <w:keepLines/>
              <w:snapToGrid w:val="0"/>
              <w:jc w:val="center"/>
              <w:rPr>
                <w:sz w:val="24"/>
                <w:szCs w:val="24"/>
              </w:rPr>
            </w:pPr>
            <w:r>
              <w:rPr>
                <w:sz w:val="24"/>
                <w:szCs w:val="24"/>
              </w:rPr>
              <w:t>14.8</w:t>
            </w:r>
            <w:r w:rsidR="00EC2277">
              <w:rPr>
                <w:sz w:val="24"/>
                <w:szCs w:val="24"/>
              </w:rPr>
              <w:t xml:space="preserve"> </w:t>
            </w:r>
            <w:r>
              <w:rPr>
                <w:sz w:val="24"/>
                <w:szCs w:val="24"/>
              </w:rPr>
              <w:t>±</w:t>
            </w:r>
            <w:r w:rsidR="00EC2277">
              <w:rPr>
                <w:sz w:val="24"/>
                <w:szCs w:val="24"/>
              </w:rPr>
              <w:t xml:space="preserve"> </w:t>
            </w:r>
            <w:r>
              <w:rPr>
                <w:sz w:val="24"/>
                <w:szCs w:val="24"/>
              </w:rPr>
              <w:t>6.3</w:t>
            </w:r>
          </w:p>
        </w:tc>
        <w:tc>
          <w:tcPr>
            <w:tcW w:w="1701" w:type="dxa"/>
            <w:vAlign w:val="center"/>
          </w:tcPr>
          <w:p w14:paraId="41E30C15" w14:textId="4C944D2B" w:rsidR="004B73EF" w:rsidRDefault="004B73EF" w:rsidP="00094DD9">
            <w:pPr>
              <w:keepNext/>
              <w:keepLines/>
              <w:snapToGrid w:val="0"/>
              <w:jc w:val="center"/>
              <w:rPr>
                <w:sz w:val="24"/>
                <w:szCs w:val="24"/>
              </w:rPr>
            </w:pPr>
            <w:r>
              <w:rPr>
                <w:sz w:val="24"/>
                <w:szCs w:val="24"/>
              </w:rPr>
              <w:t>15.2</w:t>
            </w:r>
            <w:r w:rsidR="00EC2277">
              <w:rPr>
                <w:sz w:val="24"/>
                <w:szCs w:val="24"/>
              </w:rPr>
              <w:t xml:space="preserve"> </w:t>
            </w:r>
            <w:r>
              <w:rPr>
                <w:sz w:val="24"/>
                <w:szCs w:val="24"/>
              </w:rPr>
              <w:t>±</w:t>
            </w:r>
            <w:r w:rsidR="00EC2277">
              <w:rPr>
                <w:sz w:val="24"/>
                <w:szCs w:val="24"/>
              </w:rPr>
              <w:t xml:space="preserve"> </w:t>
            </w:r>
            <w:r>
              <w:rPr>
                <w:sz w:val="24"/>
                <w:szCs w:val="24"/>
              </w:rPr>
              <w:t>6.7</w:t>
            </w:r>
          </w:p>
        </w:tc>
        <w:tc>
          <w:tcPr>
            <w:tcW w:w="1276" w:type="dxa"/>
            <w:vAlign w:val="center"/>
          </w:tcPr>
          <w:p w14:paraId="3E534DFB" w14:textId="0D3579F3" w:rsidR="004B73EF" w:rsidRDefault="004B73EF" w:rsidP="00094DD9">
            <w:pPr>
              <w:keepNext/>
              <w:keepLines/>
              <w:snapToGrid w:val="0"/>
              <w:jc w:val="center"/>
              <w:rPr>
                <w:sz w:val="24"/>
                <w:szCs w:val="24"/>
              </w:rPr>
            </w:pPr>
            <w:r>
              <w:rPr>
                <w:i/>
                <w:iCs/>
                <w:sz w:val="24"/>
                <w:szCs w:val="24"/>
              </w:rPr>
              <w:t xml:space="preserve">t </w:t>
            </w:r>
            <w:r>
              <w:rPr>
                <w:sz w:val="24"/>
                <w:szCs w:val="24"/>
              </w:rPr>
              <w:t>=</w:t>
            </w:r>
            <w:r>
              <w:rPr>
                <w:sz w:val="24"/>
                <w:szCs w:val="24"/>
              </w:rPr>
              <w:t xml:space="preserve"> </w:t>
            </w:r>
            <w:r>
              <w:rPr>
                <w:sz w:val="24"/>
                <w:szCs w:val="24"/>
              </w:rPr>
              <w:t>0.268</w:t>
            </w:r>
          </w:p>
        </w:tc>
        <w:tc>
          <w:tcPr>
            <w:tcW w:w="986" w:type="dxa"/>
            <w:vAlign w:val="center"/>
          </w:tcPr>
          <w:p w14:paraId="1CE3738C" w14:textId="673A3CEF" w:rsidR="004B73EF" w:rsidRDefault="004B73EF" w:rsidP="00094DD9">
            <w:pPr>
              <w:keepNext/>
              <w:keepLines/>
              <w:snapToGrid w:val="0"/>
              <w:jc w:val="center"/>
              <w:rPr>
                <w:sz w:val="24"/>
                <w:szCs w:val="24"/>
              </w:rPr>
            </w:pPr>
            <w:r>
              <w:rPr>
                <w:sz w:val="24"/>
                <w:szCs w:val="24"/>
              </w:rPr>
              <w:t>0.789</w:t>
            </w:r>
          </w:p>
        </w:tc>
      </w:tr>
      <w:tr w:rsidR="004B73EF" w14:paraId="290AF749" w14:textId="77777777" w:rsidTr="00094DD9">
        <w:tc>
          <w:tcPr>
            <w:tcW w:w="3964" w:type="dxa"/>
            <w:vAlign w:val="center"/>
          </w:tcPr>
          <w:p w14:paraId="5F836072" w14:textId="0542FBDB" w:rsidR="004B73EF" w:rsidRDefault="004B73EF" w:rsidP="00094DD9">
            <w:pPr>
              <w:keepNext/>
              <w:keepLines/>
              <w:snapToGrid w:val="0"/>
              <w:jc w:val="left"/>
              <w:rPr>
                <w:sz w:val="24"/>
                <w:szCs w:val="24"/>
              </w:rPr>
            </w:pPr>
            <w:r>
              <w:rPr>
                <w:sz w:val="24"/>
                <w:szCs w:val="24"/>
              </w:rPr>
              <w:t xml:space="preserve">BMI (kg/m², </w:t>
            </w:r>
            <w:r>
              <w:rPr>
                <w:color w:val="0000FF"/>
                <w:position w:val="-6"/>
                <w:sz w:val="24"/>
                <w:szCs w:val="24"/>
              </w:rPr>
              <w:object w:dxaOrig="220" w:dyaOrig="270" w14:anchorId="40407E88">
                <v:shape id="_x0000_i1381" type="#_x0000_t75" style="width:10.8pt;height:13.8pt" o:ole="">
                  <v:imagedata r:id="rId4" o:title=""/>
                </v:shape>
                <o:OLEObject Type="Embed" ProgID="Equation.DSMT4" ShapeID="_x0000_i1381" DrawAspect="Content" ObjectID="_1852189405" r:id="rId7"/>
              </w:object>
            </w:r>
            <w:r>
              <w:rPr>
                <w:sz w:val="24"/>
                <w:szCs w:val="24"/>
              </w:rPr>
              <w:t>± s)</w:t>
            </w:r>
          </w:p>
        </w:tc>
        <w:tc>
          <w:tcPr>
            <w:tcW w:w="1701" w:type="dxa"/>
            <w:vAlign w:val="center"/>
          </w:tcPr>
          <w:p w14:paraId="4E17D53F" w14:textId="259DF070" w:rsidR="004B73EF" w:rsidRDefault="004B73EF" w:rsidP="00094DD9">
            <w:pPr>
              <w:keepNext/>
              <w:keepLines/>
              <w:snapToGrid w:val="0"/>
              <w:jc w:val="center"/>
              <w:rPr>
                <w:sz w:val="24"/>
                <w:szCs w:val="24"/>
              </w:rPr>
            </w:pPr>
            <w:r>
              <w:rPr>
                <w:sz w:val="24"/>
                <w:szCs w:val="24"/>
              </w:rPr>
              <w:t>22.9</w:t>
            </w:r>
            <w:r w:rsidR="00EC2277">
              <w:rPr>
                <w:sz w:val="24"/>
                <w:szCs w:val="24"/>
              </w:rPr>
              <w:t xml:space="preserve"> </w:t>
            </w:r>
            <w:r>
              <w:rPr>
                <w:sz w:val="24"/>
                <w:szCs w:val="24"/>
              </w:rPr>
              <w:t>±</w:t>
            </w:r>
            <w:r w:rsidR="00EC2277">
              <w:rPr>
                <w:sz w:val="24"/>
                <w:szCs w:val="24"/>
              </w:rPr>
              <w:t xml:space="preserve"> </w:t>
            </w:r>
            <w:r>
              <w:rPr>
                <w:sz w:val="24"/>
                <w:szCs w:val="24"/>
              </w:rPr>
              <w:t>2.8</w:t>
            </w:r>
          </w:p>
        </w:tc>
        <w:tc>
          <w:tcPr>
            <w:tcW w:w="1701" w:type="dxa"/>
            <w:vAlign w:val="center"/>
          </w:tcPr>
          <w:p w14:paraId="035CB7F1" w14:textId="475F047B" w:rsidR="004B73EF" w:rsidRDefault="004B73EF" w:rsidP="00094DD9">
            <w:pPr>
              <w:keepNext/>
              <w:keepLines/>
              <w:snapToGrid w:val="0"/>
              <w:jc w:val="center"/>
              <w:rPr>
                <w:sz w:val="24"/>
                <w:szCs w:val="24"/>
              </w:rPr>
            </w:pPr>
            <w:r>
              <w:rPr>
                <w:sz w:val="24"/>
                <w:szCs w:val="24"/>
              </w:rPr>
              <w:t>23.1</w:t>
            </w:r>
            <w:r w:rsidR="00EC2277">
              <w:rPr>
                <w:sz w:val="24"/>
                <w:szCs w:val="24"/>
              </w:rPr>
              <w:t xml:space="preserve"> </w:t>
            </w:r>
            <w:r>
              <w:rPr>
                <w:sz w:val="24"/>
                <w:szCs w:val="24"/>
              </w:rPr>
              <w:t>±</w:t>
            </w:r>
            <w:r w:rsidR="00EC2277">
              <w:rPr>
                <w:sz w:val="24"/>
                <w:szCs w:val="24"/>
              </w:rPr>
              <w:t xml:space="preserve"> </w:t>
            </w:r>
            <w:r>
              <w:rPr>
                <w:sz w:val="24"/>
                <w:szCs w:val="24"/>
              </w:rPr>
              <w:t>2.6</w:t>
            </w:r>
          </w:p>
        </w:tc>
        <w:tc>
          <w:tcPr>
            <w:tcW w:w="1276" w:type="dxa"/>
            <w:vAlign w:val="center"/>
          </w:tcPr>
          <w:p w14:paraId="17095B2A" w14:textId="05F2B87F" w:rsidR="004B73EF" w:rsidRDefault="00EC2277" w:rsidP="00094DD9">
            <w:pPr>
              <w:keepNext/>
              <w:keepLines/>
              <w:snapToGrid w:val="0"/>
              <w:jc w:val="center"/>
              <w:rPr>
                <w:sz w:val="24"/>
                <w:szCs w:val="24"/>
              </w:rPr>
            </w:pPr>
            <w:r>
              <w:rPr>
                <w:i/>
                <w:iCs/>
                <w:sz w:val="24"/>
                <w:szCs w:val="24"/>
              </w:rPr>
              <w:t xml:space="preserve">t </w:t>
            </w:r>
            <w:r w:rsidR="004B73EF">
              <w:rPr>
                <w:sz w:val="24"/>
                <w:szCs w:val="24"/>
              </w:rPr>
              <w:t>=</w:t>
            </w:r>
            <w:r>
              <w:rPr>
                <w:sz w:val="24"/>
                <w:szCs w:val="24"/>
              </w:rPr>
              <w:t xml:space="preserve"> </w:t>
            </w:r>
            <w:r w:rsidR="004B73EF">
              <w:rPr>
                <w:sz w:val="24"/>
                <w:szCs w:val="24"/>
              </w:rPr>
              <w:t>0.322</w:t>
            </w:r>
          </w:p>
        </w:tc>
        <w:tc>
          <w:tcPr>
            <w:tcW w:w="986" w:type="dxa"/>
            <w:vAlign w:val="center"/>
          </w:tcPr>
          <w:p w14:paraId="5CFB2017" w14:textId="33AEF96F" w:rsidR="004B73EF" w:rsidRDefault="004B73EF" w:rsidP="00094DD9">
            <w:pPr>
              <w:keepNext/>
              <w:keepLines/>
              <w:snapToGrid w:val="0"/>
              <w:jc w:val="center"/>
              <w:rPr>
                <w:sz w:val="24"/>
                <w:szCs w:val="24"/>
              </w:rPr>
            </w:pPr>
            <w:r>
              <w:rPr>
                <w:sz w:val="24"/>
                <w:szCs w:val="24"/>
              </w:rPr>
              <w:t>0.748</w:t>
            </w:r>
          </w:p>
        </w:tc>
      </w:tr>
      <w:tr w:rsidR="004B73EF" w14:paraId="43C5CFFD" w14:textId="77777777" w:rsidTr="00094DD9">
        <w:tc>
          <w:tcPr>
            <w:tcW w:w="3964" w:type="dxa"/>
            <w:vAlign w:val="center"/>
          </w:tcPr>
          <w:p w14:paraId="24BD78B3" w14:textId="5AA3F8F4" w:rsidR="004B73EF" w:rsidRDefault="004B73EF" w:rsidP="00094DD9">
            <w:pPr>
              <w:keepNext/>
              <w:keepLines/>
              <w:snapToGrid w:val="0"/>
              <w:jc w:val="left"/>
              <w:rPr>
                <w:sz w:val="24"/>
                <w:szCs w:val="24"/>
              </w:rPr>
            </w:pPr>
            <w:r>
              <w:rPr>
                <w:sz w:val="24"/>
                <w:szCs w:val="24"/>
              </w:rPr>
              <w:t>Educational level (e.g., college degree or above / high school or below)</w:t>
            </w:r>
          </w:p>
        </w:tc>
        <w:tc>
          <w:tcPr>
            <w:tcW w:w="1701" w:type="dxa"/>
            <w:vAlign w:val="center"/>
          </w:tcPr>
          <w:p w14:paraId="13CC21F4" w14:textId="5F929C7A" w:rsidR="004B73EF" w:rsidRDefault="004B73EF" w:rsidP="00094DD9">
            <w:pPr>
              <w:keepNext/>
              <w:keepLines/>
              <w:snapToGrid w:val="0"/>
              <w:jc w:val="center"/>
              <w:rPr>
                <w:sz w:val="24"/>
                <w:szCs w:val="24"/>
              </w:rPr>
            </w:pPr>
            <w:r>
              <w:rPr>
                <w:sz w:val="24"/>
                <w:szCs w:val="24"/>
              </w:rPr>
              <w:t>26/13</w:t>
            </w:r>
          </w:p>
        </w:tc>
        <w:tc>
          <w:tcPr>
            <w:tcW w:w="1701" w:type="dxa"/>
            <w:vAlign w:val="center"/>
          </w:tcPr>
          <w:p w14:paraId="193F4697" w14:textId="1689ED7B" w:rsidR="004B73EF" w:rsidRDefault="004B73EF" w:rsidP="00094DD9">
            <w:pPr>
              <w:keepNext/>
              <w:keepLines/>
              <w:snapToGrid w:val="0"/>
              <w:jc w:val="center"/>
              <w:rPr>
                <w:sz w:val="24"/>
                <w:szCs w:val="24"/>
              </w:rPr>
            </w:pPr>
            <w:r>
              <w:rPr>
                <w:sz w:val="24"/>
                <w:szCs w:val="24"/>
              </w:rPr>
              <w:t>24/14</w:t>
            </w:r>
          </w:p>
        </w:tc>
        <w:tc>
          <w:tcPr>
            <w:tcW w:w="1276" w:type="dxa"/>
            <w:vAlign w:val="center"/>
          </w:tcPr>
          <w:p w14:paraId="2B83C422" w14:textId="0DBE726B" w:rsidR="004B73EF" w:rsidRDefault="004B73EF" w:rsidP="00094DD9">
            <w:pPr>
              <w:keepNext/>
              <w:keepLines/>
              <w:snapToGrid w:val="0"/>
              <w:jc w:val="center"/>
              <w:rPr>
                <w:sz w:val="24"/>
                <w:szCs w:val="24"/>
              </w:rPr>
            </w:pPr>
            <w:r>
              <w:rPr>
                <w:sz w:val="24"/>
                <w:szCs w:val="24"/>
              </w:rPr>
              <w:t>χ²</w:t>
            </w:r>
            <w:r w:rsidR="00EC2277">
              <w:rPr>
                <w:sz w:val="24"/>
                <w:szCs w:val="24"/>
              </w:rPr>
              <w:t xml:space="preserve"> </w:t>
            </w:r>
            <w:r>
              <w:rPr>
                <w:sz w:val="24"/>
                <w:szCs w:val="24"/>
              </w:rPr>
              <w:t>=</w:t>
            </w:r>
            <w:r w:rsidR="00EC2277">
              <w:rPr>
                <w:sz w:val="24"/>
                <w:szCs w:val="24"/>
              </w:rPr>
              <w:t xml:space="preserve"> </w:t>
            </w:r>
            <w:r>
              <w:rPr>
                <w:sz w:val="24"/>
                <w:szCs w:val="24"/>
              </w:rPr>
              <w:t>0.116</w:t>
            </w:r>
          </w:p>
        </w:tc>
        <w:tc>
          <w:tcPr>
            <w:tcW w:w="986" w:type="dxa"/>
            <w:vAlign w:val="center"/>
          </w:tcPr>
          <w:p w14:paraId="79080572" w14:textId="71CB965C" w:rsidR="004B73EF" w:rsidRDefault="004B73EF" w:rsidP="00094DD9">
            <w:pPr>
              <w:keepNext/>
              <w:keepLines/>
              <w:snapToGrid w:val="0"/>
              <w:jc w:val="center"/>
              <w:rPr>
                <w:sz w:val="24"/>
                <w:szCs w:val="24"/>
              </w:rPr>
            </w:pPr>
            <w:r>
              <w:rPr>
                <w:sz w:val="24"/>
                <w:szCs w:val="24"/>
              </w:rPr>
              <w:t>0.733</w:t>
            </w:r>
          </w:p>
        </w:tc>
      </w:tr>
      <w:tr w:rsidR="004B73EF" w14:paraId="638881EF" w14:textId="77777777" w:rsidTr="00094DD9">
        <w:tc>
          <w:tcPr>
            <w:tcW w:w="3964" w:type="dxa"/>
            <w:tcBorders>
              <w:bottom w:val="single" w:sz="4" w:space="0" w:color="auto"/>
            </w:tcBorders>
            <w:vAlign w:val="center"/>
          </w:tcPr>
          <w:p w14:paraId="16C8F434" w14:textId="2A543F29" w:rsidR="004B73EF" w:rsidRDefault="004B73EF" w:rsidP="00094DD9">
            <w:pPr>
              <w:keepNext/>
              <w:keepLines/>
              <w:snapToGrid w:val="0"/>
              <w:jc w:val="left"/>
              <w:rPr>
                <w:sz w:val="24"/>
                <w:szCs w:val="24"/>
              </w:rPr>
            </w:pPr>
            <w:r>
              <w:rPr>
                <w:sz w:val="24"/>
                <w:szCs w:val="24"/>
              </w:rPr>
              <w:t>Medical insurance type (e.g.) Employees/Residents and others</w:t>
            </w:r>
          </w:p>
        </w:tc>
        <w:tc>
          <w:tcPr>
            <w:tcW w:w="1701" w:type="dxa"/>
            <w:tcBorders>
              <w:bottom w:val="single" w:sz="4" w:space="0" w:color="auto"/>
            </w:tcBorders>
            <w:vAlign w:val="center"/>
          </w:tcPr>
          <w:p w14:paraId="364D39D2" w14:textId="7D07C58F" w:rsidR="004B73EF" w:rsidRDefault="004B73EF" w:rsidP="00094DD9">
            <w:pPr>
              <w:keepNext/>
              <w:keepLines/>
              <w:snapToGrid w:val="0"/>
              <w:jc w:val="center"/>
              <w:rPr>
                <w:sz w:val="24"/>
                <w:szCs w:val="24"/>
              </w:rPr>
            </w:pPr>
            <w:r>
              <w:rPr>
                <w:sz w:val="24"/>
                <w:szCs w:val="24"/>
              </w:rPr>
              <w:t>28/11</w:t>
            </w:r>
          </w:p>
        </w:tc>
        <w:tc>
          <w:tcPr>
            <w:tcW w:w="1701" w:type="dxa"/>
            <w:tcBorders>
              <w:bottom w:val="single" w:sz="4" w:space="0" w:color="auto"/>
            </w:tcBorders>
            <w:vAlign w:val="center"/>
          </w:tcPr>
          <w:p w14:paraId="4BAFF957" w14:textId="2E32EB99" w:rsidR="004B73EF" w:rsidRDefault="004B73EF" w:rsidP="00094DD9">
            <w:pPr>
              <w:keepNext/>
              <w:keepLines/>
              <w:snapToGrid w:val="0"/>
              <w:jc w:val="center"/>
              <w:rPr>
                <w:sz w:val="24"/>
                <w:szCs w:val="24"/>
              </w:rPr>
            </w:pPr>
            <w:r>
              <w:rPr>
                <w:sz w:val="24"/>
                <w:szCs w:val="24"/>
              </w:rPr>
              <w:t>25/13</w:t>
            </w:r>
          </w:p>
        </w:tc>
        <w:tc>
          <w:tcPr>
            <w:tcW w:w="1276" w:type="dxa"/>
            <w:tcBorders>
              <w:bottom w:val="single" w:sz="4" w:space="0" w:color="auto"/>
            </w:tcBorders>
            <w:vAlign w:val="center"/>
          </w:tcPr>
          <w:p w14:paraId="38FD6675" w14:textId="5BEBBD37" w:rsidR="004B73EF" w:rsidRDefault="004B73EF" w:rsidP="00094DD9">
            <w:pPr>
              <w:keepNext/>
              <w:keepLines/>
              <w:snapToGrid w:val="0"/>
              <w:jc w:val="center"/>
              <w:rPr>
                <w:sz w:val="24"/>
                <w:szCs w:val="24"/>
              </w:rPr>
            </w:pPr>
            <w:r>
              <w:rPr>
                <w:sz w:val="24"/>
                <w:szCs w:val="24"/>
              </w:rPr>
              <w:t>χ²</w:t>
            </w:r>
            <w:r w:rsidR="00EC2277">
              <w:rPr>
                <w:sz w:val="24"/>
                <w:szCs w:val="24"/>
              </w:rPr>
              <w:t xml:space="preserve"> </w:t>
            </w:r>
            <w:r>
              <w:rPr>
                <w:sz w:val="24"/>
                <w:szCs w:val="24"/>
              </w:rPr>
              <w:t>=</w:t>
            </w:r>
            <w:r w:rsidR="00EC2277">
              <w:rPr>
                <w:sz w:val="24"/>
                <w:szCs w:val="24"/>
              </w:rPr>
              <w:t xml:space="preserve"> </w:t>
            </w:r>
            <w:r>
              <w:rPr>
                <w:sz w:val="24"/>
                <w:szCs w:val="24"/>
              </w:rPr>
              <w:t>0.302</w:t>
            </w:r>
          </w:p>
        </w:tc>
        <w:tc>
          <w:tcPr>
            <w:tcW w:w="986" w:type="dxa"/>
            <w:tcBorders>
              <w:bottom w:val="single" w:sz="4" w:space="0" w:color="auto"/>
            </w:tcBorders>
            <w:vAlign w:val="center"/>
          </w:tcPr>
          <w:p w14:paraId="6C5066E6" w14:textId="759377C5" w:rsidR="004B73EF" w:rsidRDefault="004B73EF" w:rsidP="00094DD9">
            <w:pPr>
              <w:keepNext/>
              <w:keepLines/>
              <w:snapToGrid w:val="0"/>
              <w:jc w:val="center"/>
              <w:rPr>
                <w:sz w:val="24"/>
                <w:szCs w:val="24"/>
              </w:rPr>
            </w:pPr>
            <w:r>
              <w:rPr>
                <w:sz w:val="24"/>
                <w:szCs w:val="24"/>
              </w:rPr>
              <w:t>0.583</w:t>
            </w:r>
          </w:p>
        </w:tc>
      </w:tr>
    </w:tbl>
    <w:p w14:paraId="2E3444AA" w14:textId="77777777" w:rsidR="003046C5" w:rsidRDefault="003046C5" w:rsidP="00094DD9">
      <w:pPr>
        <w:pStyle w:val="Heading2"/>
        <w:keepNext/>
        <w:snapToGrid w:val="0"/>
        <w:spacing w:before="0" w:after="0"/>
        <w:jc w:val="both"/>
        <w:rPr>
          <w:i/>
          <w:iCs/>
          <w:sz w:val="24"/>
          <w:szCs w:val="24"/>
        </w:rPr>
      </w:pPr>
    </w:p>
    <w:p w14:paraId="2E3444AB" w14:textId="77777777" w:rsidR="003046C5" w:rsidRDefault="00BA54B3" w:rsidP="00094DD9">
      <w:pPr>
        <w:pStyle w:val="Heading2"/>
        <w:keepNext/>
        <w:snapToGrid w:val="0"/>
        <w:spacing w:before="0" w:after="0"/>
        <w:jc w:val="both"/>
        <w:rPr>
          <w:sz w:val="24"/>
          <w:szCs w:val="24"/>
        </w:rPr>
      </w:pPr>
      <w:r>
        <w:rPr>
          <w:rFonts w:hint="eastAsia"/>
          <w:sz w:val="24"/>
          <w:szCs w:val="24"/>
          <w:lang w:val="en-US"/>
        </w:rPr>
        <w:t>2</w:t>
      </w:r>
      <w:r>
        <w:rPr>
          <w:sz w:val="24"/>
          <w:szCs w:val="24"/>
        </w:rPr>
        <w:t>.2</w:t>
      </w:r>
      <w:r>
        <w:rPr>
          <w:rFonts w:hint="eastAsia"/>
          <w:sz w:val="24"/>
          <w:szCs w:val="24"/>
          <w:lang w:val="en-US"/>
        </w:rPr>
        <w:t>.</w:t>
      </w:r>
      <w:r>
        <w:rPr>
          <w:sz w:val="24"/>
          <w:szCs w:val="24"/>
        </w:rPr>
        <w:t xml:space="preserve"> Methods</w:t>
      </w:r>
    </w:p>
    <w:p w14:paraId="2E3444AC" w14:textId="77777777" w:rsidR="003046C5" w:rsidRDefault="00BA54B3" w:rsidP="00094DD9">
      <w:pPr>
        <w:snapToGrid w:val="0"/>
        <w:rPr>
          <w:b/>
          <w:bCs/>
          <w:sz w:val="24"/>
          <w:szCs w:val="24"/>
        </w:rPr>
      </w:pPr>
      <w:r>
        <w:rPr>
          <w:rFonts w:hint="eastAsia"/>
          <w:b/>
          <w:bCs/>
          <w:sz w:val="24"/>
          <w:szCs w:val="24"/>
          <w:lang w:val="en-US"/>
        </w:rPr>
        <w:t>2</w:t>
      </w:r>
      <w:r>
        <w:rPr>
          <w:b/>
          <w:bCs/>
          <w:sz w:val="24"/>
          <w:szCs w:val="24"/>
        </w:rPr>
        <w:t>.2.1</w:t>
      </w:r>
      <w:r>
        <w:rPr>
          <w:rFonts w:hint="eastAsia"/>
          <w:b/>
          <w:bCs/>
          <w:sz w:val="24"/>
          <w:szCs w:val="24"/>
          <w:lang w:val="en-US"/>
        </w:rPr>
        <w:t>.</w:t>
      </w:r>
      <w:r>
        <w:rPr>
          <w:b/>
          <w:bCs/>
          <w:sz w:val="24"/>
          <w:szCs w:val="24"/>
          <w:lang w:val="en-US"/>
        </w:rPr>
        <w:t xml:space="preserve"> </w:t>
      </w:r>
      <w:r>
        <w:rPr>
          <w:b/>
          <w:bCs/>
          <w:sz w:val="24"/>
          <w:szCs w:val="24"/>
        </w:rPr>
        <w:t>Control group</w:t>
      </w:r>
    </w:p>
    <w:p w14:paraId="2E3444AD" w14:textId="77777777" w:rsidR="003046C5" w:rsidRDefault="00BA54B3" w:rsidP="00094DD9">
      <w:pPr>
        <w:snapToGrid w:val="0"/>
        <w:rPr>
          <w:sz w:val="24"/>
          <w:szCs w:val="24"/>
        </w:rPr>
      </w:pPr>
      <w:r>
        <w:rPr>
          <w:sz w:val="24"/>
          <w:szCs w:val="24"/>
        </w:rPr>
        <w:t>Pelvic floor electrical stimulation therapy was administered. The patient emptied her bladder and assumed a supine position with the upper body elevated at approximately 120°; the legs were naturally extended with the feet externally rotated by about 30°, and the entire body was relaxed. A lubricated vaginal electrode was inserted into the vagina, ensuring the metal electrode plates were positioned against the lateral vaginal walls, and connected to a neuromuscular stimulation device (PHENIX USB 4, France).</w:t>
      </w:r>
      <w:r>
        <w:rPr>
          <w:sz w:val="24"/>
          <w:szCs w:val="24"/>
        </w:rPr>
        <w:t xml:space="preserve"> Electrical stimulation was delivered at a frequency of 5–20 Hz and a current intensity of 0–100 mA; the intensity was adjusted from low to high, reaching the maximum level the patient could tolerate without discomfort. Each session lasted 20 minutes, with treatments administered three times a week; a full course consisted of 15 sessions over five weeks, with treatment paused during menstruation.</w:t>
      </w:r>
    </w:p>
    <w:p w14:paraId="2E3444AE" w14:textId="77777777" w:rsidR="003046C5" w:rsidRDefault="003046C5" w:rsidP="00094DD9">
      <w:pPr>
        <w:snapToGrid w:val="0"/>
        <w:ind w:firstLine="420"/>
        <w:rPr>
          <w:sz w:val="24"/>
          <w:szCs w:val="24"/>
        </w:rPr>
      </w:pPr>
    </w:p>
    <w:p w14:paraId="2E3444AF" w14:textId="77777777" w:rsidR="003046C5" w:rsidRDefault="00BA54B3" w:rsidP="00094DD9">
      <w:pPr>
        <w:snapToGrid w:val="0"/>
        <w:rPr>
          <w:b/>
          <w:bCs/>
          <w:sz w:val="24"/>
          <w:szCs w:val="24"/>
        </w:rPr>
      </w:pPr>
      <w:r>
        <w:rPr>
          <w:rFonts w:hint="eastAsia"/>
          <w:b/>
          <w:bCs/>
          <w:sz w:val="24"/>
          <w:szCs w:val="24"/>
          <w:lang w:val="en-US"/>
        </w:rPr>
        <w:t>2</w:t>
      </w:r>
      <w:r>
        <w:rPr>
          <w:b/>
          <w:bCs/>
          <w:sz w:val="24"/>
          <w:szCs w:val="24"/>
        </w:rPr>
        <w:t>.2.2</w:t>
      </w:r>
      <w:r>
        <w:rPr>
          <w:rFonts w:hint="eastAsia"/>
          <w:b/>
          <w:bCs/>
          <w:sz w:val="24"/>
          <w:szCs w:val="24"/>
          <w:lang w:val="en-US"/>
        </w:rPr>
        <w:t>.</w:t>
      </w:r>
      <w:r>
        <w:rPr>
          <w:b/>
          <w:bCs/>
          <w:sz w:val="24"/>
          <w:szCs w:val="24"/>
          <w:lang w:val="en-US"/>
        </w:rPr>
        <w:t xml:space="preserve"> </w:t>
      </w:r>
      <w:r>
        <w:rPr>
          <w:b/>
          <w:bCs/>
          <w:sz w:val="24"/>
          <w:szCs w:val="24"/>
        </w:rPr>
        <w:t>Observation group</w:t>
      </w:r>
    </w:p>
    <w:p w14:paraId="2E3444B0" w14:textId="77777777" w:rsidR="003046C5" w:rsidRDefault="00BA54B3" w:rsidP="00094DD9">
      <w:pPr>
        <w:snapToGrid w:val="0"/>
        <w:rPr>
          <w:sz w:val="24"/>
          <w:szCs w:val="24"/>
        </w:rPr>
      </w:pPr>
      <w:r>
        <w:rPr>
          <w:sz w:val="24"/>
          <w:szCs w:val="24"/>
        </w:rPr>
        <w:t>Patients in the observation group received comprehensive pelvic floor rehabilitation therapy in addition to the control group</w:t>
      </w:r>
      <w:r>
        <w:rPr>
          <w:sz w:val="24"/>
          <w:szCs w:val="24"/>
          <w:lang w:val="en-US"/>
        </w:rPr>
        <w:t>’</w:t>
      </w:r>
      <w:r>
        <w:rPr>
          <w:sz w:val="24"/>
          <w:szCs w:val="24"/>
        </w:rPr>
        <w:t xml:space="preserve">s regimen. The treatment course spanned 5 weeks, comprising 15 sessions (3 sessions per week), with each session lasting approximately 40–50 minutes and conducted in specific stages: </w:t>
      </w:r>
    </w:p>
    <w:p w14:paraId="0D16DF98" w14:textId="77777777" w:rsidR="00EC2277" w:rsidRDefault="00BA54B3" w:rsidP="00EC2277">
      <w:pPr>
        <w:snapToGrid w:val="0"/>
        <w:ind w:left="709" w:hanging="709"/>
        <w:rPr>
          <w:sz w:val="24"/>
          <w:szCs w:val="24"/>
        </w:rPr>
      </w:pPr>
      <w:r>
        <w:rPr>
          <w:rFonts w:hint="eastAsia"/>
          <w:sz w:val="24"/>
          <w:szCs w:val="24"/>
          <w:lang w:val="en-US"/>
        </w:rPr>
        <w:t>(1)</w:t>
      </w:r>
      <w:r>
        <w:rPr>
          <w:sz w:val="24"/>
          <w:szCs w:val="24"/>
        </w:rPr>
        <w:t xml:space="preserve"> </w:t>
      </w:r>
      <w:r w:rsidR="00EC2277">
        <w:rPr>
          <w:sz w:val="24"/>
          <w:szCs w:val="24"/>
        </w:rPr>
        <w:tab/>
      </w:r>
      <w:r>
        <w:rPr>
          <w:sz w:val="24"/>
          <w:szCs w:val="24"/>
        </w:rPr>
        <w:t>Week 1 (Sessions 1–3)</w:t>
      </w:r>
    </w:p>
    <w:p w14:paraId="676F7063" w14:textId="1C07EABE" w:rsidR="00EC2277" w:rsidRDefault="00EC2277" w:rsidP="00094DD9">
      <w:pPr>
        <w:snapToGrid w:val="0"/>
        <w:ind w:left="709" w:hanging="709"/>
        <w:rPr>
          <w:sz w:val="24"/>
          <w:szCs w:val="24"/>
        </w:rPr>
      </w:pPr>
      <w:r>
        <w:rPr>
          <w:sz w:val="24"/>
          <w:szCs w:val="24"/>
        </w:rPr>
        <w:tab/>
      </w:r>
      <w:r w:rsidR="00BA54B3">
        <w:rPr>
          <w:sz w:val="24"/>
          <w:szCs w:val="24"/>
        </w:rPr>
        <w:t>5 minutes of abdominal breathing for relaxation, with guidance to ensure patient cooperation; 2–3 minutes of myofascial manual therapy (applying lubricant and performing ischemic compression on pelvic floor muscle trigger points via the vagina, moving from deep to superficial layers; each point was compressed for approximately 10 seconds with pressure adjusted to elicit slight pain); and magnetic stimulation therapy (sacral nerve S2–S4 modulation, with frequency increasing from 5 to 20 Hz based on patient t</w:t>
      </w:r>
      <w:r w:rsidR="00BA54B3">
        <w:rPr>
          <w:sz w:val="24"/>
          <w:szCs w:val="24"/>
        </w:rPr>
        <w:t xml:space="preserve">olerance). </w:t>
      </w:r>
    </w:p>
    <w:p w14:paraId="78BC4A6F" w14:textId="77777777" w:rsidR="00EC2277" w:rsidRDefault="00BA54B3" w:rsidP="00EC2277">
      <w:pPr>
        <w:snapToGrid w:val="0"/>
        <w:ind w:left="709" w:hanging="709"/>
        <w:rPr>
          <w:sz w:val="24"/>
          <w:szCs w:val="24"/>
        </w:rPr>
      </w:pPr>
      <w:r>
        <w:rPr>
          <w:rFonts w:hint="eastAsia"/>
          <w:sz w:val="24"/>
          <w:szCs w:val="24"/>
          <w:lang w:val="en-US"/>
        </w:rPr>
        <w:t>(2)</w:t>
      </w:r>
      <w:r>
        <w:rPr>
          <w:sz w:val="24"/>
          <w:szCs w:val="24"/>
        </w:rPr>
        <w:t xml:space="preserve"> </w:t>
      </w:r>
      <w:r w:rsidR="00EC2277">
        <w:rPr>
          <w:sz w:val="24"/>
          <w:szCs w:val="24"/>
        </w:rPr>
        <w:tab/>
      </w:r>
      <w:r>
        <w:rPr>
          <w:sz w:val="24"/>
          <w:szCs w:val="24"/>
        </w:rPr>
        <w:t>Week 2 (Sessions 4–6)</w:t>
      </w:r>
    </w:p>
    <w:p w14:paraId="05F5134D" w14:textId="22436577" w:rsidR="00EC2277" w:rsidRDefault="00EC2277" w:rsidP="00094DD9">
      <w:pPr>
        <w:snapToGrid w:val="0"/>
        <w:ind w:left="709" w:hanging="709"/>
        <w:rPr>
          <w:sz w:val="24"/>
          <w:szCs w:val="24"/>
        </w:rPr>
      </w:pPr>
      <w:r>
        <w:rPr>
          <w:sz w:val="24"/>
          <w:szCs w:val="24"/>
        </w:rPr>
        <w:tab/>
      </w:r>
      <w:r w:rsidR="00BA54B3">
        <w:rPr>
          <w:sz w:val="24"/>
          <w:szCs w:val="24"/>
        </w:rPr>
        <w:t xml:space="preserve">Pelvic floor electrical stimulation was added to the above regimen, using the same method as the control group. </w:t>
      </w:r>
    </w:p>
    <w:p w14:paraId="5557FB5F" w14:textId="77777777" w:rsidR="00EC2277" w:rsidRDefault="00BA54B3" w:rsidP="00EC2277">
      <w:pPr>
        <w:snapToGrid w:val="0"/>
        <w:ind w:left="709" w:hanging="709"/>
        <w:rPr>
          <w:sz w:val="24"/>
          <w:szCs w:val="24"/>
        </w:rPr>
      </w:pPr>
      <w:r>
        <w:rPr>
          <w:rFonts w:hint="eastAsia"/>
          <w:sz w:val="24"/>
          <w:szCs w:val="24"/>
          <w:lang w:val="en-US"/>
        </w:rPr>
        <w:t>(3)</w:t>
      </w:r>
      <w:r>
        <w:rPr>
          <w:sz w:val="24"/>
          <w:szCs w:val="24"/>
        </w:rPr>
        <w:t xml:space="preserve"> </w:t>
      </w:r>
      <w:r w:rsidR="00EC2277">
        <w:rPr>
          <w:sz w:val="24"/>
          <w:szCs w:val="24"/>
        </w:rPr>
        <w:tab/>
      </w:r>
      <w:r>
        <w:rPr>
          <w:sz w:val="24"/>
          <w:szCs w:val="24"/>
        </w:rPr>
        <w:t>Weeks 3–4 (Sessions 7–12)</w:t>
      </w:r>
    </w:p>
    <w:p w14:paraId="539238EA" w14:textId="1AC06B1B" w:rsidR="00EC2277" w:rsidRDefault="00EC2277" w:rsidP="00094DD9">
      <w:pPr>
        <w:snapToGrid w:val="0"/>
        <w:ind w:left="709" w:hanging="709"/>
        <w:rPr>
          <w:sz w:val="24"/>
          <w:szCs w:val="24"/>
        </w:rPr>
      </w:pPr>
      <w:r>
        <w:rPr>
          <w:sz w:val="24"/>
          <w:szCs w:val="24"/>
        </w:rPr>
        <w:tab/>
      </w:r>
      <w:r w:rsidR="00BA54B3">
        <w:rPr>
          <w:sz w:val="24"/>
          <w:szCs w:val="24"/>
        </w:rPr>
        <w:t xml:space="preserve">Biofeedback therapy was introduced, converting pelvic floor electromyographic signals into visual and auditory feedback; patients were guided in abdominal breathing, relaxation of the anal and perineal regions, and Kegel exercises using a template (20 minutes per session: 5 minutes of breathing relaxation followed by 15 minutes of template-guided training), alternating between 5–10 seconds of contraction and 10 seconds of relaxation in a progressive manner. </w:t>
      </w:r>
    </w:p>
    <w:p w14:paraId="0D7E58F6" w14:textId="77777777" w:rsidR="00EC2277" w:rsidRDefault="00BA54B3" w:rsidP="00EC2277">
      <w:pPr>
        <w:snapToGrid w:val="0"/>
        <w:ind w:left="709" w:hanging="709"/>
        <w:rPr>
          <w:sz w:val="24"/>
          <w:szCs w:val="24"/>
        </w:rPr>
      </w:pPr>
      <w:r>
        <w:rPr>
          <w:rFonts w:hint="eastAsia"/>
          <w:sz w:val="24"/>
          <w:szCs w:val="24"/>
          <w:lang w:val="en-US"/>
        </w:rPr>
        <w:t>(4)</w:t>
      </w:r>
      <w:r>
        <w:rPr>
          <w:sz w:val="24"/>
          <w:szCs w:val="24"/>
        </w:rPr>
        <w:t xml:space="preserve"> </w:t>
      </w:r>
      <w:r w:rsidR="00EC2277">
        <w:rPr>
          <w:sz w:val="24"/>
          <w:szCs w:val="24"/>
        </w:rPr>
        <w:tab/>
      </w:r>
      <w:r>
        <w:rPr>
          <w:sz w:val="24"/>
          <w:szCs w:val="24"/>
        </w:rPr>
        <w:t>Week 5 (Sessions 13–15)</w:t>
      </w:r>
    </w:p>
    <w:p w14:paraId="2E3444B4" w14:textId="62D9B19D" w:rsidR="003046C5" w:rsidRDefault="00EC2277" w:rsidP="00094DD9">
      <w:pPr>
        <w:snapToGrid w:val="0"/>
        <w:ind w:left="709" w:hanging="709"/>
        <w:rPr>
          <w:sz w:val="24"/>
          <w:szCs w:val="24"/>
        </w:rPr>
      </w:pPr>
      <w:r>
        <w:rPr>
          <w:sz w:val="24"/>
          <w:szCs w:val="24"/>
        </w:rPr>
        <w:tab/>
      </w:r>
      <w:r w:rsidR="00BA54B3">
        <w:rPr>
          <w:sz w:val="24"/>
          <w:szCs w:val="24"/>
        </w:rPr>
        <w:t>Consolidation training and instruction on home-based Kegel exercises for post-discharge, requiring at least 120 repetitions daily, totaling over 30 minutes. The entire treatment process was administered by a single rehabilitation nurse who had undergone standardized training and certification, while a physician was responsible for medical management and clinical guidance.</w:t>
      </w:r>
    </w:p>
    <w:p w14:paraId="2E3444B5" w14:textId="77777777" w:rsidR="003046C5" w:rsidRDefault="003046C5" w:rsidP="00094DD9">
      <w:pPr>
        <w:pStyle w:val="Heading2"/>
        <w:keepNext/>
        <w:snapToGrid w:val="0"/>
        <w:spacing w:before="0" w:after="0"/>
        <w:jc w:val="both"/>
        <w:rPr>
          <w:i/>
          <w:iCs/>
          <w:sz w:val="24"/>
          <w:szCs w:val="24"/>
        </w:rPr>
      </w:pPr>
    </w:p>
    <w:p w14:paraId="2E3444B6" w14:textId="77777777" w:rsidR="003046C5" w:rsidRDefault="00BA54B3" w:rsidP="00094DD9">
      <w:pPr>
        <w:pStyle w:val="Heading2"/>
        <w:keepNext/>
        <w:snapToGrid w:val="0"/>
        <w:spacing w:before="0" w:after="0"/>
        <w:jc w:val="both"/>
        <w:rPr>
          <w:sz w:val="24"/>
          <w:szCs w:val="24"/>
        </w:rPr>
      </w:pPr>
      <w:r>
        <w:rPr>
          <w:rFonts w:hint="eastAsia"/>
          <w:sz w:val="24"/>
          <w:szCs w:val="24"/>
          <w:lang w:val="en-US"/>
        </w:rPr>
        <w:t>2</w:t>
      </w:r>
      <w:r>
        <w:rPr>
          <w:sz w:val="24"/>
          <w:szCs w:val="24"/>
        </w:rPr>
        <w:t>.3</w:t>
      </w:r>
      <w:r>
        <w:rPr>
          <w:rFonts w:hint="eastAsia"/>
          <w:sz w:val="24"/>
          <w:szCs w:val="24"/>
          <w:lang w:val="en-US"/>
        </w:rPr>
        <w:t>.</w:t>
      </w:r>
      <w:r>
        <w:rPr>
          <w:sz w:val="24"/>
          <w:szCs w:val="24"/>
        </w:rPr>
        <w:t xml:space="preserve"> Observation </w:t>
      </w:r>
      <w:r>
        <w:rPr>
          <w:rFonts w:hint="eastAsia"/>
          <w:sz w:val="24"/>
          <w:szCs w:val="24"/>
          <w:lang w:val="en-US"/>
        </w:rPr>
        <w:t>i</w:t>
      </w:r>
      <w:r>
        <w:rPr>
          <w:sz w:val="24"/>
          <w:szCs w:val="24"/>
        </w:rPr>
        <w:t xml:space="preserve">ndicators and </w:t>
      </w:r>
      <w:r>
        <w:rPr>
          <w:rFonts w:hint="eastAsia"/>
          <w:sz w:val="24"/>
          <w:szCs w:val="24"/>
          <w:lang w:val="en-US"/>
        </w:rPr>
        <w:t>e</w:t>
      </w:r>
      <w:r>
        <w:rPr>
          <w:sz w:val="24"/>
          <w:szCs w:val="24"/>
        </w:rPr>
        <w:t xml:space="preserve">valuation </w:t>
      </w:r>
      <w:r>
        <w:rPr>
          <w:rFonts w:hint="eastAsia"/>
          <w:sz w:val="24"/>
          <w:szCs w:val="24"/>
          <w:lang w:val="en-US"/>
        </w:rPr>
        <w:t>t</w:t>
      </w:r>
      <w:r>
        <w:rPr>
          <w:sz w:val="24"/>
          <w:szCs w:val="24"/>
        </w:rPr>
        <w:t>ools</w:t>
      </w:r>
    </w:p>
    <w:p w14:paraId="3158B0E4" w14:textId="77777777" w:rsidR="00EC2277" w:rsidRDefault="00BA54B3" w:rsidP="00EC2277">
      <w:pPr>
        <w:snapToGrid w:val="0"/>
        <w:ind w:left="709" w:hanging="709"/>
        <w:rPr>
          <w:sz w:val="24"/>
          <w:szCs w:val="24"/>
        </w:rPr>
      </w:pPr>
      <w:r>
        <w:rPr>
          <w:rFonts w:hint="eastAsia"/>
          <w:sz w:val="24"/>
          <w:szCs w:val="24"/>
          <w:lang w:val="en-US"/>
        </w:rPr>
        <w:t>(1)</w:t>
      </w:r>
      <w:r>
        <w:rPr>
          <w:sz w:val="24"/>
          <w:szCs w:val="24"/>
        </w:rPr>
        <w:t xml:space="preserve"> </w:t>
      </w:r>
      <w:r w:rsidR="00EC2277">
        <w:rPr>
          <w:sz w:val="24"/>
          <w:szCs w:val="24"/>
        </w:rPr>
        <w:tab/>
      </w:r>
      <w:r>
        <w:rPr>
          <w:sz w:val="24"/>
          <w:szCs w:val="24"/>
        </w:rPr>
        <w:t>Numerical rating scale (NAS) for pelvic floor muscle pain</w:t>
      </w:r>
    </w:p>
    <w:p w14:paraId="594369C0" w14:textId="07356073" w:rsidR="00EC2277" w:rsidRDefault="00EC2277" w:rsidP="00094DD9">
      <w:pPr>
        <w:snapToGrid w:val="0"/>
        <w:ind w:left="709" w:hanging="709"/>
        <w:rPr>
          <w:sz w:val="24"/>
          <w:szCs w:val="24"/>
        </w:rPr>
      </w:pPr>
      <w:r>
        <w:rPr>
          <w:sz w:val="24"/>
          <w:szCs w:val="24"/>
        </w:rPr>
        <w:tab/>
      </w:r>
      <w:r w:rsidR="00BA54B3">
        <w:rPr>
          <w:sz w:val="24"/>
          <w:szCs w:val="24"/>
        </w:rPr>
        <w:t>Pain intensity is assessed on a scale of 0 to 10, with 0 indicating no pain, 1</w:t>
      </w:r>
      <w:r>
        <w:rPr>
          <w:sz w:val="24"/>
          <w:szCs w:val="24"/>
        </w:rPr>
        <w:t>–</w:t>
      </w:r>
      <w:r w:rsidR="00BA54B3">
        <w:rPr>
          <w:sz w:val="24"/>
          <w:szCs w:val="24"/>
        </w:rPr>
        <w:t>3 indicating mild pain, 4</w:t>
      </w:r>
      <w:r>
        <w:rPr>
          <w:sz w:val="24"/>
          <w:szCs w:val="24"/>
        </w:rPr>
        <w:t>–</w:t>
      </w:r>
      <w:r w:rsidR="00BA54B3">
        <w:rPr>
          <w:sz w:val="24"/>
          <w:szCs w:val="24"/>
        </w:rPr>
        <w:t>6 indicating moderate pain, and 7</w:t>
      </w:r>
      <w:r>
        <w:rPr>
          <w:sz w:val="24"/>
          <w:szCs w:val="24"/>
        </w:rPr>
        <w:t>–</w:t>
      </w:r>
      <w:r w:rsidR="00BA54B3">
        <w:rPr>
          <w:sz w:val="24"/>
          <w:szCs w:val="24"/>
        </w:rPr>
        <w:t xml:space="preserve">10 indicating severe pain. The higher the score, the more severe the pain. The assessment is conducted by the same nurse before treatment, at the end of treatment, and one month after the end of treatment. </w:t>
      </w:r>
    </w:p>
    <w:p w14:paraId="37226627" w14:textId="77777777" w:rsidR="00EC2277" w:rsidRDefault="00BA54B3" w:rsidP="00EC2277">
      <w:pPr>
        <w:snapToGrid w:val="0"/>
        <w:ind w:left="709" w:hanging="709"/>
        <w:rPr>
          <w:sz w:val="24"/>
          <w:szCs w:val="24"/>
        </w:rPr>
      </w:pPr>
      <w:r>
        <w:rPr>
          <w:rFonts w:hint="eastAsia"/>
          <w:sz w:val="24"/>
          <w:szCs w:val="24"/>
          <w:lang w:val="en-US"/>
        </w:rPr>
        <w:t>(2)</w:t>
      </w:r>
      <w:r>
        <w:rPr>
          <w:sz w:val="24"/>
          <w:szCs w:val="24"/>
        </w:rPr>
        <w:t xml:space="preserve"> </w:t>
      </w:r>
      <w:r w:rsidR="00EC2277">
        <w:rPr>
          <w:sz w:val="24"/>
          <w:szCs w:val="24"/>
        </w:rPr>
        <w:tab/>
      </w:r>
      <w:r>
        <w:rPr>
          <w:sz w:val="24"/>
          <w:szCs w:val="24"/>
        </w:rPr>
        <w:t>Glazer surface electromyography (sEMG) assessment of pelvic floor muscle</w:t>
      </w:r>
    </w:p>
    <w:p w14:paraId="22EE9D62" w14:textId="0CECC2EA" w:rsidR="00EC2277" w:rsidRDefault="00EC2277" w:rsidP="00094DD9">
      <w:pPr>
        <w:snapToGrid w:val="0"/>
        <w:ind w:left="709" w:hanging="709"/>
        <w:rPr>
          <w:sz w:val="24"/>
          <w:szCs w:val="24"/>
        </w:rPr>
      </w:pPr>
      <w:r>
        <w:rPr>
          <w:sz w:val="24"/>
          <w:szCs w:val="24"/>
        </w:rPr>
        <w:tab/>
      </w:r>
      <w:r w:rsidR="00BA54B3">
        <w:rPr>
          <w:sz w:val="24"/>
          <w:szCs w:val="24"/>
        </w:rPr>
        <w:t xml:space="preserve">Detected using a biofeedback therapy device, the mean amplitude and coefficient of variation (CV) of the following measurements are recorded sequentially: 60 seconds before rest (relaxation function), 5 rapid contractions (fast-twitch muscle function), 5 consecutive 10-second sustained contractions (10 seconds of contraction followed by 10 seconds of relaxation) (slow-twitch muscle strength and coordination), 60-second endurance contraction (slow-twitch muscle endurance), and 60 seconds after rest (fatigue </w:t>
      </w:r>
      <w:r w:rsidR="00BA54B3">
        <w:rPr>
          <w:sz w:val="24"/>
          <w:szCs w:val="24"/>
        </w:rPr>
        <w:t xml:space="preserve">recovery ability). </w:t>
      </w:r>
    </w:p>
    <w:p w14:paraId="325B8D3D" w14:textId="77777777" w:rsidR="00EC2277" w:rsidRDefault="00BA54B3" w:rsidP="00EC2277">
      <w:pPr>
        <w:snapToGrid w:val="0"/>
        <w:ind w:left="709" w:hanging="709"/>
        <w:rPr>
          <w:sz w:val="24"/>
          <w:szCs w:val="24"/>
        </w:rPr>
      </w:pPr>
      <w:r>
        <w:rPr>
          <w:rFonts w:hint="eastAsia"/>
          <w:sz w:val="24"/>
          <w:szCs w:val="24"/>
          <w:lang w:val="en-US"/>
        </w:rPr>
        <w:t>(3)</w:t>
      </w:r>
      <w:r>
        <w:rPr>
          <w:sz w:val="24"/>
          <w:szCs w:val="24"/>
        </w:rPr>
        <w:t xml:space="preserve"> </w:t>
      </w:r>
      <w:r w:rsidR="00EC2277">
        <w:rPr>
          <w:sz w:val="24"/>
          <w:szCs w:val="24"/>
        </w:rPr>
        <w:tab/>
      </w:r>
      <w:r>
        <w:rPr>
          <w:sz w:val="24"/>
          <w:szCs w:val="24"/>
        </w:rPr>
        <w:t>Nottingham Health Profile (NHP)</w:t>
      </w:r>
    </w:p>
    <w:p w14:paraId="069032B7" w14:textId="34886E88" w:rsidR="00EC2277" w:rsidRDefault="00EC2277" w:rsidP="00094DD9">
      <w:pPr>
        <w:snapToGrid w:val="0"/>
        <w:ind w:left="709" w:hanging="709"/>
        <w:rPr>
          <w:sz w:val="24"/>
          <w:szCs w:val="24"/>
        </w:rPr>
      </w:pPr>
      <w:r>
        <w:rPr>
          <w:sz w:val="24"/>
          <w:szCs w:val="24"/>
        </w:rPr>
        <w:tab/>
      </w:r>
      <w:r w:rsidR="00BA54B3">
        <w:rPr>
          <w:sz w:val="24"/>
          <w:szCs w:val="24"/>
        </w:rPr>
        <w:t>Used to evaluate health-related quality of life. Part 1 contains 38 items in 6 dimensions: physical activity, energy, pain, sleep, social connection, and emotional response. Each dimension has a score of 0 to 100. The higher the score, the more severe the health impairment. The scale has a Cronbach</w:t>
      </w:r>
      <w:r w:rsidR="00BA54B3">
        <w:rPr>
          <w:sz w:val="24"/>
          <w:szCs w:val="24"/>
          <w:lang w:val="en-US"/>
        </w:rPr>
        <w:t>’</w:t>
      </w:r>
      <w:r w:rsidR="00BA54B3">
        <w:rPr>
          <w:sz w:val="24"/>
          <w:szCs w:val="24"/>
        </w:rPr>
        <w:t>s α coefficient of 0.89 and a content validity index of 0.88</w:t>
      </w:r>
      <w:r>
        <w:rPr>
          <w:sz w:val="24"/>
          <w:szCs w:val="24"/>
        </w:rPr>
        <w:t xml:space="preserve"> </w:t>
      </w:r>
      <w:r w:rsidR="00BA54B3">
        <w:rPr>
          <w:sz w:val="24"/>
          <w:szCs w:val="24"/>
          <w:vertAlign w:val="superscript"/>
        </w:rPr>
        <w:t>[11]</w:t>
      </w:r>
      <w:r w:rsidR="00BA54B3">
        <w:rPr>
          <w:sz w:val="24"/>
          <w:szCs w:val="24"/>
        </w:rPr>
        <w:t xml:space="preserve">. </w:t>
      </w:r>
    </w:p>
    <w:p w14:paraId="39DA3F46" w14:textId="77777777" w:rsidR="00EC2277" w:rsidRDefault="00BA54B3" w:rsidP="00EC2277">
      <w:pPr>
        <w:snapToGrid w:val="0"/>
        <w:ind w:left="709" w:hanging="709"/>
        <w:rPr>
          <w:sz w:val="24"/>
          <w:szCs w:val="24"/>
        </w:rPr>
      </w:pPr>
      <w:r>
        <w:rPr>
          <w:rFonts w:hint="eastAsia"/>
          <w:sz w:val="24"/>
          <w:szCs w:val="24"/>
          <w:lang w:val="en-US"/>
        </w:rPr>
        <w:t>(4)</w:t>
      </w:r>
      <w:r>
        <w:rPr>
          <w:sz w:val="24"/>
          <w:szCs w:val="24"/>
        </w:rPr>
        <w:t xml:space="preserve"> </w:t>
      </w:r>
      <w:r w:rsidR="00EC2277">
        <w:rPr>
          <w:sz w:val="24"/>
          <w:szCs w:val="24"/>
        </w:rPr>
        <w:tab/>
      </w:r>
      <w:r>
        <w:rPr>
          <w:sz w:val="24"/>
          <w:szCs w:val="24"/>
        </w:rPr>
        <w:t>Painful intercourse score</w:t>
      </w:r>
    </w:p>
    <w:p w14:paraId="2E8C6112" w14:textId="0E93A177" w:rsidR="00EC2277" w:rsidRDefault="00EC2277" w:rsidP="00094DD9">
      <w:pPr>
        <w:snapToGrid w:val="0"/>
        <w:ind w:left="709" w:hanging="709"/>
        <w:rPr>
          <w:sz w:val="24"/>
          <w:szCs w:val="24"/>
        </w:rPr>
      </w:pPr>
      <w:r>
        <w:rPr>
          <w:sz w:val="24"/>
          <w:szCs w:val="24"/>
        </w:rPr>
        <w:tab/>
      </w:r>
      <w:r w:rsidR="00BA54B3">
        <w:rPr>
          <w:sz w:val="24"/>
          <w:szCs w:val="24"/>
        </w:rPr>
        <w:t xml:space="preserve">The painful intercourse diagnostic scale included in the Behavioral Medicine Scale Handbook was used for evaluation. The higher the score, the more severe the painful intercourse. </w:t>
      </w:r>
    </w:p>
    <w:p w14:paraId="3059485E" w14:textId="77777777" w:rsidR="00EC2277" w:rsidRDefault="00BA54B3" w:rsidP="00EC2277">
      <w:pPr>
        <w:snapToGrid w:val="0"/>
        <w:ind w:left="709" w:hanging="709"/>
        <w:rPr>
          <w:sz w:val="24"/>
          <w:szCs w:val="24"/>
        </w:rPr>
      </w:pPr>
      <w:r>
        <w:rPr>
          <w:rFonts w:hint="eastAsia"/>
          <w:sz w:val="24"/>
          <w:szCs w:val="24"/>
          <w:lang w:val="en-US"/>
        </w:rPr>
        <w:t>(5)</w:t>
      </w:r>
      <w:r>
        <w:rPr>
          <w:sz w:val="24"/>
          <w:szCs w:val="24"/>
        </w:rPr>
        <w:t xml:space="preserve"> </w:t>
      </w:r>
      <w:r w:rsidR="00EC2277">
        <w:rPr>
          <w:sz w:val="24"/>
          <w:szCs w:val="24"/>
        </w:rPr>
        <w:tab/>
      </w:r>
      <w:r>
        <w:rPr>
          <w:sz w:val="24"/>
          <w:szCs w:val="24"/>
        </w:rPr>
        <w:t>C</w:t>
      </w:r>
      <w:r>
        <w:rPr>
          <w:sz w:val="24"/>
          <w:szCs w:val="24"/>
        </w:rPr>
        <w:t>linical efficacy</w:t>
      </w:r>
    </w:p>
    <w:p w14:paraId="2E3444BB" w14:textId="50A6106C" w:rsidR="003046C5" w:rsidRDefault="00EC2277" w:rsidP="00094DD9">
      <w:pPr>
        <w:snapToGrid w:val="0"/>
        <w:ind w:left="709" w:hanging="709"/>
        <w:rPr>
          <w:sz w:val="24"/>
          <w:szCs w:val="24"/>
        </w:rPr>
      </w:pPr>
      <w:r>
        <w:rPr>
          <w:sz w:val="24"/>
          <w:szCs w:val="24"/>
        </w:rPr>
        <w:tab/>
      </w:r>
      <w:r w:rsidR="00BA54B3">
        <w:rPr>
          <w:sz w:val="24"/>
          <w:szCs w:val="24"/>
        </w:rPr>
        <w:t>The NAS reduction rate was used for evaluation. The reduction rate = (pre-treatment score - post-treatment score) / pre-treatment score × 100%. A reduction rate of ≥</w:t>
      </w:r>
      <w:r>
        <w:rPr>
          <w:sz w:val="24"/>
          <w:szCs w:val="24"/>
        </w:rPr>
        <w:t xml:space="preserve"> </w:t>
      </w:r>
      <w:r w:rsidR="00BA54B3">
        <w:rPr>
          <w:sz w:val="24"/>
          <w:szCs w:val="24"/>
        </w:rPr>
        <w:t>75% is considered cured, 50% to &lt;</w:t>
      </w:r>
      <w:r>
        <w:rPr>
          <w:sz w:val="24"/>
          <w:szCs w:val="24"/>
        </w:rPr>
        <w:t xml:space="preserve"> </w:t>
      </w:r>
      <w:r w:rsidR="00BA54B3">
        <w:rPr>
          <w:sz w:val="24"/>
          <w:szCs w:val="24"/>
        </w:rPr>
        <w:t>75% is considered significantly effective, 25% to &lt;</w:t>
      </w:r>
      <w:r>
        <w:rPr>
          <w:sz w:val="24"/>
          <w:szCs w:val="24"/>
        </w:rPr>
        <w:t xml:space="preserve"> </w:t>
      </w:r>
      <w:r w:rsidR="00BA54B3">
        <w:rPr>
          <w:sz w:val="24"/>
          <w:szCs w:val="24"/>
        </w:rPr>
        <w:t>50% is considered effective, and &lt;</w:t>
      </w:r>
      <w:r>
        <w:rPr>
          <w:sz w:val="24"/>
          <w:szCs w:val="24"/>
        </w:rPr>
        <w:t xml:space="preserve"> </w:t>
      </w:r>
      <w:r w:rsidR="00BA54B3">
        <w:rPr>
          <w:sz w:val="24"/>
          <w:szCs w:val="24"/>
        </w:rPr>
        <w:t>25% is considered ineffective. The total effective rate = (number of cured + significantly effective + effective cases) / total number of cases × 100%.</w:t>
      </w:r>
    </w:p>
    <w:p w14:paraId="2E3444BC" w14:textId="77777777" w:rsidR="003046C5" w:rsidRDefault="003046C5" w:rsidP="00094DD9">
      <w:pPr>
        <w:pStyle w:val="Heading2"/>
        <w:keepNext/>
        <w:snapToGrid w:val="0"/>
        <w:spacing w:before="0" w:after="0"/>
        <w:jc w:val="both"/>
        <w:rPr>
          <w:i/>
          <w:iCs/>
          <w:sz w:val="24"/>
          <w:szCs w:val="24"/>
        </w:rPr>
      </w:pPr>
    </w:p>
    <w:p w14:paraId="2E3444BD" w14:textId="77777777" w:rsidR="003046C5" w:rsidRDefault="00BA54B3" w:rsidP="00094DD9">
      <w:pPr>
        <w:pStyle w:val="Heading2"/>
        <w:keepNext/>
        <w:snapToGrid w:val="0"/>
        <w:spacing w:before="0" w:after="0"/>
        <w:jc w:val="both"/>
        <w:rPr>
          <w:sz w:val="24"/>
          <w:szCs w:val="24"/>
        </w:rPr>
      </w:pPr>
      <w:r>
        <w:rPr>
          <w:rFonts w:hint="eastAsia"/>
          <w:sz w:val="24"/>
          <w:szCs w:val="24"/>
          <w:lang w:val="en-US"/>
        </w:rPr>
        <w:t>2</w:t>
      </w:r>
      <w:r>
        <w:rPr>
          <w:sz w:val="24"/>
          <w:szCs w:val="24"/>
        </w:rPr>
        <w:t>.4</w:t>
      </w:r>
      <w:r>
        <w:rPr>
          <w:rFonts w:hint="eastAsia"/>
          <w:sz w:val="24"/>
          <w:szCs w:val="24"/>
          <w:lang w:val="en-US"/>
        </w:rPr>
        <w:t>.</w:t>
      </w:r>
      <w:r>
        <w:rPr>
          <w:sz w:val="24"/>
          <w:szCs w:val="24"/>
        </w:rPr>
        <w:t xml:space="preserve"> Statistical </w:t>
      </w:r>
      <w:r>
        <w:rPr>
          <w:rFonts w:hint="eastAsia"/>
          <w:sz w:val="24"/>
          <w:szCs w:val="24"/>
          <w:lang w:val="en-US"/>
        </w:rPr>
        <w:t>m</w:t>
      </w:r>
      <w:r>
        <w:rPr>
          <w:sz w:val="24"/>
          <w:szCs w:val="24"/>
        </w:rPr>
        <w:t>ethods</w:t>
      </w:r>
    </w:p>
    <w:p w14:paraId="2E3444BE" w14:textId="77777777" w:rsidR="003046C5" w:rsidRDefault="00BA54B3" w:rsidP="00094DD9">
      <w:pPr>
        <w:snapToGrid w:val="0"/>
        <w:rPr>
          <w:sz w:val="24"/>
          <w:szCs w:val="24"/>
        </w:rPr>
      </w:pPr>
      <w:r>
        <w:rPr>
          <w:sz w:val="24"/>
          <w:szCs w:val="24"/>
        </w:rPr>
        <w:t>Data was entered using EpiData 3.4 with dual-user input and logical error checking. Statistical analysis was performed using SPSS 26.0 software. Normally distributed continuous data were expressed as mean ± standard deviation (</w:t>
      </w:r>
      <w:r>
        <w:rPr>
          <w:color w:val="0000FF"/>
          <w:position w:val="-6"/>
          <w:sz w:val="24"/>
          <w:szCs w:val="24"/>
        </w:rPr>
        <w:object w:dxaOrig="220" w:dyaOrig="270" w14:anchorId="2E344598">
          <v:shape id="_x0000_i1028" type="#_x0000_t75" style="width:10.8pt;height:13.8pt" o:ole="">
            <v:imagedata r:id="rId4" o:title=""/>
          </v:shape>
          <o:OLEObject Type="Embed" ProgID="Equation.DSMT4" ShapeID="_x0000_i1028" DrawAspect="Content" ObjectID="_1852189406" r:id="rId8"/>
        </w:object>
      </w:r>
      <w:r>
        <w:rPr>
          <w:sz w:val="24"/>
          <w:szCs w:val="24"/>
        </w:rPr>
        <w:t>± s</w:t>
      </w:r>
      <w:r>
        <w:rPr>
          <w:sz w:val="24"/>
          <w:szCs w:val="24"/>
        </w:rPr>
        <w:t xml:space="preserve">), and independent samples </w:t>
      </w:r>
      <w:r>
        <w:rPr>
          <w:i/>
          <w:iCs/>
          <w:sz w:val="24"/>
          <w:szCs w:val="24"/>
        </w:rPr>
        <w:t>t</w:t>
      </w:r>
      <w:r>
        <w:rPr>
          <w:sz w:val="24"/>
          <w:szCs w:val="24"/>
        </w:rPr>
        <w:t xml:space="preserve">-tests were used for comparisons between two groups. Repeated measures data were analyzed using repeated measures ANOVA. Count data were expressed as number of cases or percentages, and the χ² test was used for comparisons. Rank-sum tests were used for comparisons of ordinal data. A </w:t>
      </w:r>
      <w:r>
        <w:rPr>
          <w:i/>
          <w:iCs/>
          <w:sz w:val="24"/>
          <w:szCs w:val="24"/>
        </w:rPr>
        <w:t>p</w:t>
      </w:r>
      <w:r>
        <w:rPr>
          <w:sz w:val="24"/>
          <w:szCs w:val="24"/>
        </w:rPr>
        <w:t>-value &lt; 0.05 was considered statistically significant.</w:t>
      </w:r>
    </w:p>
    <w:p w14:paraId="2E3444BF" w14:textId="77777777" w:rsidR="003046C5" w:rsidRDefault="003046C5" w:rsidP="00094DD9">
      <w:pPr>
        <w:snapToGrid w:val="0"/>
        <w:ind w:firstLine="420"/>
        <w:rPr>
          <w:sz w:val="24"/>
          <w:szCs w:val="24"/>
        </w:rPr>
      </w:pPr>
    </w:p>
    <w:p w14:paraId="2E3444C0" w14:textId="77777777" w:rsidR="003046C5" w:rsidRDefault="00BA54B3" w:rsidP="00094DD9">
      <w:pPr>
        <w:pStyle w:val="Heading1"/>
        <w:keepNext/>
        <w:snapToGrid w:val="0"/>
        <w:spacing w:before="0" w:after="0"/>
        <w:jc w:val="both"/>
        <w:rPr>
          <w:sz w:val="24"/>
          <w:szCs w:val="24"/>
        </w:rPr>
      </w:pPr>
      <w:r>
        <w:rPr>
          <w:rFonts w:hint="eastAsia"/>
          <w:sz w:val="24"/>
          <w:szCs w:val="24"/>
          <w:lang w:val="en-US"/>
        </w:rPr>
        <w:t>3</w:t>
      </w:r>
      <w:r>
        <w:rPr>
          <w:sz w:val="24"/>
          <w:szCs w:val="24"/>
        </w:rPr>
        <w:t>.</w:t>
      </w:r>
      <w:r>
        <w:rPr>
          <w:rFonts w:hint="eastAsia"/>
          <w:sz w:val="24"/>
          <w:szCs w:val="24"/>
          <w:lang w:val="en-US"/>
        </w:rPr>
        <w:t xml:space="preserve"> </w:t>
      </w:r>
      <w:r>
        <w:rPr>
          <w:sz w:val="24"/>
          <w:szCs w:val="24"/>
        </w:rPr>
        <w:t>Results</w:t>
      </w:r>
    </w:p>
    <w:p w14:paraId="2E3444C1" w14:textId="77777777" w:rsidR="003046C5" w:rsidRDefault="00BA54B3" w:rsidP="00094DD9">
      <w:pPr>
        <w:pStyle w:val="Heading2"/>
        <w:keepNext/>
        <w:snapToGrid w:val="0"/>
        <w:spacing w:before="0" w:after="0"/>
        <w:jc w:val="both"/>
        <w:rPr>
          <w:sz w:val="24"/>
          <w:szCs w:val="24"/>
        </w:rPr>
      </w:pPr>
      <w:r>
        <w:rPr>
          <w:rFonts w:hint="eastAsia"/>
          <w:sz w:val="24"/>
          <w:szCs w:val="24"/>
          <w:lang w:val="en-US"/>
        </w:rPr>
        <w:t>3</w:t>
      </w:r>
      <w:r>
        <w:rPr>
          <w:sz w:val="24"/>
          <w:szCs w:val="24"/>
        </w:rPr>
        <w:t>.1</w:t>
      </w:r>
      <w:r>
        <w:rPr>
          <w:rFonts w:hint="eastAsia"/>
          <w:sz w:val="24"/>
          <w:szCs w:val="24"/>
          <w:lang w:val="en-US"/>
        </w:rPr>
        <w:t>.</w:t>
      </w:r>
      <w:r>
        <w:rPr>
          <w:sz w:val="24"/>
          <w:szCs w:val="24"/>
        </w:rPr>
        <w:t xml:space="preserve"> Comparison of NAS scores before and after treatment in the two groups</w:t>
      </w:r>
    </w:p>
    <w:p w14:paraId="2E3444C2" w14:textId="25B08D22" w:rsidR="003046C5" w:rsidRDefault="00BA54B3" w:rsidP="00094DD9">
      <w:pPr>
        <w:snapToGrid w:val="0"/>
        <w:rPr>
          <w:sz w:val="24"/>
          <w:szCs w:val="24"/>
        </w:rPr>
      </w:pPr>
      <w:r>
        <w:rPr>
          <w:sz w:val="24"/>
          <w:szCs w:val="24"/>
        </w:rPr>
        <w:t>There was no statistically significant difference in NAS scores between the two groups before treatment (</w:t>
      </w:r>
      <w:r w:rsidR="00EC2277">
        <w:rPr>
          <w:i/>
          <w:iCs/>
          <w:sz w:val="24"/>
          <w:szCs w:val="24"/>
        </w:rPr>
        <w:t>p</w:t>
      </w:r>
      <w:r w:rsidR="00EC2277">
        <w:rPr>
          <w:rFonts w:hint="eastAsia"/>
          <w:i/>
          <w:iCs/>
          <w:sz w:val="24"/>
          <w:szCs w:val="24"/>
          <w:lang w:val="en-US"/>
        </w:rPr>
        <w:t xml:space="preserve"> </w:t>
      </w:r>
      <w:r>
        <w:rPr>
          <w:sz w:val="24"/>
          <w:szCs w:val="24"/>
        </w:rPr>
        <w:t>&gt;</w:t>
      </w:r>
      <w:r>
        <w:rPr>
          <w:rFonts w:hint="eastAsia"/>
          <w:sz w:val="24"/>
          <w:szCs w:val="24"/>
          <w:lang w:val="en-US"/>
        </w:rPr>
        <w:t xml:space="preserve"> </w:t>
      </w:r>
      <w:r>
        <w:rPr>
          <w:sz w:val="24"/>
          <w:szCs w:val="24"/>
        </w:rPr>
        <w:t>0.05); at the end of treatment and one month after treatment, the NAS scores of both groups decreased compared with those before treatment, and the observation group was lower than that of the control group, with statistically significant differences (</w:t>
      </w:r>
      <w:r w:rsidR="00EC2277">
        <w:rPr>
          <w:i/>
          <w:iCs/>
          <w:sz w:val="24"/>
          <w:szCs w:val="24"/>
        </w:rPr>
        <w:t>p</w:t>
      </w:r>
      <w:r>
        <w:rPr>
          <w:rFonts w:hint="eastAsia"/>
          <w:i/>
          <w:iCs/>
          <w:sz w:val="24"/>
          <w:szCs w:val="24"/>
          <w:lang w:val="en-US"/>
        </w:rPr>
        <w:t xml:space="preserve"> </w:t>
      </w:r>
      <w:r>
        <w:rPr>
          <w:sz w:val="24"/>
          <w:szCs w:val="24"/>
        </w:rPr>
        <w:t>&lt;</w:t>
      </w:r>
      <w:r>
        <w:rPr>
          <w:rFonts w:hint="eastAsia"/>
          <w:sz w:val="24"/>
          <w:szCs w:val="24"/>
          <w:lang w:val="en-US"/>
        </w:rPr>
        <w:t xml:space="preserve"> </w:t>
      </w:r>
      <w:r>
        <w:rPr>
          <w:sz w:val="24"/>
          <w:szCs w:val="24"/>
        </w:rPr>
        <w:t xml:space="preserve">0.05). See </w:t>
      </w:r>
      <w:r>
        <w:rPr>
          <w:b/>
          <w:bCs/>
          <w:sz w:val="24"/>
          <w:szCs w:val="24"/>
        </w:rPr>
        <w:t>Table 2</w:t>
      </w:r>
      <w:r>
        <w:rPr>
          <w:sz w:val="24"/>
          <w:szCs w:val="24"/>
        </w:rPr>
        <w:t>.</w:t>
      </w:r>
    </w:p>
    <w:p w14:paraId="2E3444C3" w14:textId="77777777" w:rsidR="003046C5" w:rsidRDefault="003046C5" w:rsidP="00094DD9">
      <w:pPr>
        <w:snapToGrid w:val="0"/>
        <w:ind w:firstLine="420"/>
        <w:rPr>
          <w:sz w:val="24"/>
          <w:szCs w:val="24"/>
        </w:rPr>
      </w:pPr>
    </w:p>
    <w:p w14:paraId="2E3444C4" w14:textId="3E7A1B46" w:rsidR="003046C5" w:rsidRDefault="00BA54B3" w:rsidP="00094DD9">
      <w:pPr>
        <w:keepNext/>
        <w:keepLines/>
        <w:snapToGrid w:val="0"/>
        <w:rPr>
          <w:sz w:val="24"/>
          <w:szCs w:val="24"/>
        </w:rPr>
      </w:pPr>
      <w:r>
        <w:rPr>
          <w:b/>
          <w:bCs/>
          <w:sz w:val="24"/>
          <w:szCs w:val="24"/>
        </w:rPr>
        <w:lastRenderedPageBreak/>
        <w:t>Table 2</w:t>
      </w:r>
      <w:r w:rsidRPr="00094DD9">
        <w:rPr>
          <w:rFonts w:hint="eastAsia"/>
          <w:b/>
          <w:bCs/>
          <w:sz w:val="24"/>
          <w:szCs w:val="24"/>
          <w:lang w:val="en-US"/>
        </w:rPr>
        <w:t>.</w:t>
      </w:r>
      <w:r w:rsidR="00EC2277" w:rsidRPr="00094DD9">
        <w:rPr>
          <w:b/>
          <w:bCs/>
          <w:sz w:val="24"/>
          <w:szCs w:val="24"/>
          <w:lang w:val="en-US"/>
        </w:rPr>
        <w:t xml:space="preserve"> </w:t>
      </w:r>
      <w:r>
        <w:rPr>
          <w:sz w:val="24"/>
          <w:szCs w:val="24"/>
        </w:rPr>
        <w:t xml:space="preserve">Comparison of NAS scores before and after treatment in the two groups (scores, </w:t>
      </w:r>
      <w:r>
        <w:rPr>
          <w:color w:val="0000FF"/>
          <w:position w:val="-6"/>
          <w:sz w:val="24"/>
          <w:szCs w:val="24"/>
        </w:rPr>
        <w:object w:dxaOrig="220" w:dyaOrig="270" w14:anchorId="2E344599">
          <v:shape id="_x0000_i1029" type="#_x0000_t75" style="width:10.8pt;height:13.8pt" o:ole="">
            <v:imagedata r:id="rId4" o:title=""/>
          </v:shape>
          <o:OLEObject Type="Embed" ProgID="Equation.DSMT4" ShapeID="_x0000_i1029" DrawAspect="Content" ObjectID="_1852189407" r:id="rId9"/>
        </w:object>
      </w:r>
      <w:r>
        <w:rPr>
          <w:sz w:val="24"/>
          <w:szCs w:val="24"/>
        </w:rPr>
        <w:t>± s</w:t>
      </w:r>
      <w:r>
        <w:rPr>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417"/>
        <w:gridCol w:w="1701"/>
        <w:gridCol w:w="2268"/>
        <w:gridCol w:w="2120"/>
      </w:tblGrid>
      <w:tr w:rsidR="00EC2277" w14:paraId="783322DD" w14:textId="77777777" w:rsidTr="00094DD9">
        <w:tc>
          <w:tcPr>
            <w:tcW w:w="2122" w:type="dxa"/>
            <w:tcBorders>
              <w:top w:val="single" w:sz="4" w:space="0" w:color="auto"/>
              <w:bottom w:val="single" w:sz="4" w:space="0" w:color="auto"/>
            </w:tcBorders>
            <w:vAlign w:val="center"/>
          </w:tcPr>
          <w:p w14:paraId="41051748" w14:textId="09B05C1D" w:rsidR="00EC2277" w:rsidRDefault="00EC2277" w:rsidP="00094DD9">
            <w:pPr>
              <w:keepNext/>
              <w:keepLines/>
              <w:snapToGrid w:val="0"/>
              <w:jc w:val="left"/>
              <w:rPr>
                <w:sz w:val="24"/>
                <w:szCs w:val="24"/>
              </w:rPr>
            </w:pPr>
            <w:r>
              <w:rPr>
                <w:b/>
                <w:bCs/>
                <w:sz w:val="24"/>
                <w:szCs w:val="24"/>
              </w:rPr>
              <w:t>Group</w:t>
            </w:r>
          </w:p>
        </w:tc>
        <w:tc>
          <w:tcPr>
            <w:tcW w:w="1417" w:type="dxa"/>
            <w:tcBorders>
              <w:top w:val="single" w:sz="4" w:space="0" w:color="auto"/>
              <w:bottom w:val="single" w:sz="4" w:space="0" w:color="auto"/>
            </w:tcBorders>
            <w:vAlign w:val="center"/>
          </w:tcPr>
          <w:p w14:paraId="7B5B06EF" w14:textId="4DCA8CB1" w:rsidR="00EC2277" w:rsidRDefault="00EC2277" w:rsidP="00094DD9">
            <w:pPr>
              <w:keepNext/>
              <w:keepLines/>
              <w:snapToGrid w:val="0"/>
              <w:jc w:val="center"/>
              <w:rPr>
                <w:sz w:val="24"/>
                <w:szCs w:val="24"/>
              </w:rPr>
            </w:pPr>
            <w:r>
              <w:rPr>
                <w:b/>
                <w:bCs/>
                <w:sz w:val="24"/>
                <w:szCs w:val="24"/>
              </w:rPr>
              <w:t>Number of examples</w:t>
            </w:r>
          </w:p>
        </w:tc>
        <w:tc>
          <w:tcPr>
            <w:tcW w:w="1701" w:type="dxa"/>
            <w:tcBorders>
              <w:top w:val="single" w:sz="4" w:space="0" w:color="auto"/>
              <w:bottom w:val="single" w:sz="4" w:space="0" w:color="auto"/>
            </w:tcBorders>
            <w:vAlign w:val="center"/>
          </w:tcPr>
          <w:p w14:paraId="6E260099" w14:textId="6E843911" w:rsidR="00EC2277" w:rsidRDefault="00EC2277" w:rsidP="00094DD9">
            <w:pPr>
              <w:keepNext/>
              <w:keepLines/>
              <w:snapToGrid w:val="0"/>
              <w:jc w:val="center"/>
              <w:rPr>
                <w:sz w:val="24"/>
                <w:szCs w:val="24"/>
              </w:rPr>
            </w:pPr>
            <w:r>
              <w:rPr>
                <w:b/>
                <w:bCs/>
                <w:sz w:val="24"/>
                <w:szCs w:val="24"/>
              </w:rPr>
              <w:t>Before treatment</w:t>
            </w:r>
          </w:p>
        </w:tc>
        <w:tc>
          <w:tcPr>
            <w:tcW w:w="2268" w:type="dxa"/>
            <w:tcBorders>
              <w:top w:val="single" w:sz="4" w:space="0" w:color="auto"/>
              <w:bottom w:val="single" w:sz="4" w:space="0" w:color="auto"/>
            </w:tcBorders>
            <w:vAlign w:val="center"/>
          </w:tcPr>
          <w:p w14:paraId="42F1DE80" w14:textId="618E280D" w:rsidR="00EC2277" w:rsidRDefault="00EC2277" w:rsidP="00094DD9">
            <w:pPr>
              <w:keepNext/>
              <w:keepLines/>
              <w:snapToGrid w:val="0"/>
              <w:jc w:val="center"/>
              <w:rPr>
                <w:sz w:val="24"/>
                <w:szCs w:val="24"/>
              </w:rPr>
            </w:pPr>
            <w:r>
              <w:rPr>
                <w:b/>
                <w:bCs/>
                <w:sz w:val="24"/>
                <w:szCs w:val="24"/>
              </w:rPr>
              <w:t>At the end of treatment</w:t>
            </w:r>
          </w:p>
        </w:tc>
        <w:tc>
          <w:tcPr>
            <w:tcW w:w="2120" w:type="dxa"/>
            <w:tcBorders>
              <w:top w:val="single" w:sz="4" w:space="0" w:color="auto"/>
              <w:bottom w:val="single" w:sz="4" w:space="0" w:color="auto"/>
            </w:tcBorders>
            <w:vAlign w:val="center"/>
          </w:tcPr>
          <w:p w14:paraId="53F1A426" w14:textId="25A363B3" w:rsidR="00EC2277" w:rsidRDefault="00EC2277" w:rsidP="00094DD9">
            <w:pPr>
              <w:keepNext/>
              <w:keepLines/>
              <w:snapToGrid w:val="0"/>
              <w:jc w:val="center"/>
              <w:rPr>
                <w:sz w:val="24"/>
                <w:szCs w:val="24"/>
              </w:rPr>
            </w:pPr>
            <w:r>
              <w:rPr>
                <w:b/>
                <w:bCs/>
                <w:sz w:val="24"/>
                <w:szCs w:val="24"/>
              </w:rPr>
              <w:t>One month after treatment</w:t>
            </w:r>
          </w:p>
        </w:tc>
      </w:tr>
      <w:tr w:rsidR="00EC2277" w14:paraId="12602D3E" w14:textId="77777777" w:rsidTr="00094DD9">
        <w:tc>
          <w:tcPr>
            <w:tcW w:w="2122" w:type="dxa"/>
            <w:tcBorders>
              <w:top w:val="single" w:sz="4" w:space="0" w:color="auto"/>
            </w:tcBorders>
            <w:vAlign w:val="center"/>
          </w:tcPr>
          <w:p w14:paraId="5CCD690D" w14:textId="08348FDD" w:rsidR="00EC2277" w:rsidRDefault="00EC2277" w:rsidP="00094DD9">
            <w:pPr>
              <w:keepNext/>
              <w:keepLines/>
              <w:snapToGrid w:val="0"/>
              <w:jc w:val="left"/>
              <w:rPr>
                <w:sz w:val="24"/>
                <w:szCs w:val="24"/>
              </w:rPr>
            </w:pPr>
            <w:r>
              <w:rPr>
                <w:sz w:val="24"/>
                <w:szCs w:val="24"/>
              </w:rPr>
              <w:t>Observation group</w:t>
            </w:r>
          </w:p>
        </w:tc>
        <w:tc>
          <w:tcPr>
            <w:tcW w:w="1417" w:type="dxa"/>
            <w:tcBorders>
              <w:top w:val="single" w:sz="4" w:space="0" w:color="auto"/>
            </w:tcBorders>
            <w:vAlign w:val="center"/>
          </w:tcPr>
          <w:p w14:paraId="4F43FFCC" w14:textId="637FCFD9" w:rsidR="00EC2277" w:rsidRDefault="00EC2277" w:rsidP="00094DD9">
            <w:pPr>
              <w:keepNext/>
              <w:keepLines/>
              <w:snapToGrid w:val="0"/>
              <w:jc w:val="center"/>
              <w:rPr>
                <w:sz w:val="24"/>
                <w:szCs w:val="24"/>
              </w:rPr>
            </w:pPr>
            <w:r>
              <w:rPr>
                <w:sz w:val="24"/>
                <w:szCs w:val="24"/>
              </w:rPr>
              <w:t>39</w:t>
            </w:r>
          </w:p>
        </w:tc>
        <w:tc>
          <w:tcPr>
            <w:tcW w:w="1701" w:type="dxa"/>
            <w:tcBorders>
              <w:top w:val="single" w:sz="4" w:space="0" w:color="auto"/>
            </w:tcBorders>
            <w:vAlign w:val="center"/>
          </w:tcPr>
          <w:p w14:paraId="7EB91A69" w14:textId="228AD643" w:rsidR="00EC2277" w:rsidRDefault="00EC2277" w:rsidP="00094DD9">
            <w:pPr>
              <w:keepNext/>
              <w:keepLines/>
              <w:snapToGrid w:val="0"/>
              <w:jc w:val="center"/>
              <w:rPr>
                <w:sz w:val="24"/>
                <w:szCs w:val="24"/>
              </w:rPr>
            </w:pPr>
            <w:r>
              <w:rPr>
                <w:sz w:val="24"/>
                <w:szCs w:val="24"/>
              </w:rPr>
              <w:t>6.8</w:t>
            </w:r>
            <w:r>
              <w:rPr>
                <w:sz w:val="24"/>
                <w:szCs w:val="24"/>
              </w:rPr>
              <w:t xml:space="preserve"> </w:t>
            </w:r>
            <w:r>
              <w:rPr>
                <w:sz w:val="24"/>
                <w:szCs w:val="24"/>
              </w:rPr>
              <w:t>±</w:t>
            </w:r>
            <w:r>
              <w:rPr>
                <w:sz w:val="24"/>
                <w:szCs w:val="24"/>
              </w:rPr>
              <w:t xml:space="preserve"> </w:t>
            </w:r>
            <w:r>
              <w:rPr>
                <w:sz w:val="24"/>
                <w:szCs w:val="24"/>
              </w:rPr>
              <w:t>1.3</w:t>
            </w:r>
          </w:p>
        </w:tc>
        <w:tc>
          <w:tcPr>
            <w:tcW w:w="2268" w:type="dxa"/>
            <w:tcBorders>
              <w:top w:val="single" w:sz="4" w:space="0" w:color="auto"/>
            </w:tcBorders>
            <w:vAlign w:val="center"/>
          </w:tcPr>
          <w:p w14:paraId="1E371E2A" w14:textId="68E3E65B" w:rsidR="00EC2277" w:rsidRDefault="00EC2277" w:rsidP="00094DD9">
            <w:pPr>
              <w:keepNext/>
              <w:keepLines/>
              <w:snapToGrid w:val="0"/>
              <w:jc w:val="center"/>
              <w:rPr>
                <w:sz w:val="24"/>
                <w:szCs w:val="24"/>
              </w:rPr>
            </w:pPr>
            <w:r>
              <w:rPr>
                <w:sz w:val="24"/>
                <w:szCs w:val="24"/>
              </w:rPr>
              <w:t>2.1</w:t>
            </w:r>
            <w:r>
              <w:rPr>
                <w:sz w:val="24"/>
                <w:szCs w:val="24"/>
              </w:rPr>
              <w:t xml:space="preserve"> </w:t>
            </w:r>
            <w:r>
              <w:rPr>
                <w:sz w:val="24"/>
                <w:szCs w:val="24"/>
              </w:rPr>
              <w:t>±</w:t>
            </w:r>
            <w:r>
              <w:rPr>
                <w:sz w:val="24"/>
                <w:szCs w:val="24"/>
              </w:rPr>
              <w:t xml:space="preserve"> </w:t>
            </w:r>
            <w:r>
              <w:rPr>
                <w:sz w:val="24"/>
                <w:szCs w:val="24"/>
              </w:rPr>
              <w:t>0.9</w:t>
            </w:r>
          </w:p>
        </w:tc>
        <w:tc>
          <w:tcPr>
            <w:tcW w:w="2120" w:type="dxa"/>
            <w:tcBorders>
              <w:top w:val="single" w:sz="4" w:space="0" w:color="auto"/>
            </w:tcBorders>
            <w:vAlign w:val="center"/>
          </w:tcPr>
          <w:p w14:paraId="438CFA03" w14:textId="28458C96" w:rsidR="00EC2277" w:rsidRDefault="00EC2277" w:rsidP="00094DD9">
            <w:pPr>
              <w:keepNext/>
              <w:keepLines/>
              <w:snapToGrid w:val="0"/>
              <w:jc w:val="center"/>
              <w:rPr>
                <w:sz w:val="24"/>
                <w:szCs w:val="24"/>
              </w:rPr>
            </w:pPr>
            <w:r>
              <w:rPr>
                <w:sz w:val="24"/>
                <w:szCs w:val="24"/>
              </w:rPr>
              <w:t>1.8</w:t>
            </w:r>
            <w:r>
              <w:rPr>
                <w:sz w:val="24"/>
                <w:szCs w:val="24"/>
              </w:rPr>
              <w:t xml:space="preserve"> </w:t>
            </w:r>
            <w:r>
              <w:rPr>
                <w:sz w:val="24"/>
                <w:szCs w:val="24"/>
              </w:rPr>
              <w:t>±</w:t>
            </w:r>
            <w:r>
              <w:rPr>
                <w:sz w:val="24"/>
                <w:szCs w:val="24"/>
              </w:rPr>
              <w:t xml:space="preserve"> </w:t>
            </w:r>
            <w:r>
              <w:rPr>
                <w:sz w:val="24"/>
                <w:szCs w:val="24"/>
              </w:rPr>
              <w:t>0.8</w:t>
            </w:r>
          </w:p>
        </w:tc>
      </w:tr>
      <w:tr w:rsidR="00EC2277" w14:paraId="1E78CAFE" w14:textId="77777777" w:rsidTr="00094DD9">
        <w:tc>
          <w:tcPr>
            <w:tcW w:w="2122" w:type="dxa"/>
            <w:vAlign w:val="center"/>
          </w:tcPr>
          <w:p w14:paraId="0EB4696F" w14:textId="5AAAE982" w:rsidR="00EC2277" w:rsidRDefault="00EC2277" w:rsidP="00094DD9">
            <w:pPr>
              <w:keepNext/>
              <w:keepLines/>
              <w:snapToGrid w:val="0"/>
              <w:jc w:val="left"/>
              <w:rPr>
                <w:sz w:val="24"/>
                <w:szCs w:val="24"/>
              </w:rPr>
            </w:pPr>
            <w:r>
              <w:rPr>
                <w:sz w:val="24"/>
                <w:szCs w:val="24"/>
                <w:lang w:val="en-US"/>
              </w:rPr>
              <w:t>C</w:t>
            </w:r>
            <w:r>
              <w:rPr>
                <w:sz w:val="24"/>
                <w:szCs w:val="24"/>
              </w:rPr>
              <w:t>ontrol group</w:t>
            </w:r>
          </w:p>
        </w:tc>
        <w:tc>
          <w:tcPr>
            <w:tcW w:w="1417" w:type="dxa"/>
            <w:vAlign w:val="center"/>
          </w:tcPr>
          <w:p w14:paraId="3A3D8CDC" w14:textId="69CCFFAF" w:rsidR="00EC2277" w:rsidRDefault="00EC2277" w:rsidP="00094DD9">
            <w:pPr>
              <w:keepNext/>
              <w:keepLines/>
              <w:snapToGrid w:val="0"/>
              <w:jc w:val="center"/>
              <w:rPr>
                <w:sz w:val="24"/>
                <w:szCs w:val="24"/>
              </w:rPr>
            </w:pPr>
            <w:r>
              <w:rPr>
                <w:sz w:val="24"/>
                <w:szCs w:val="24"/>
              </w:rPr>
              <w:t>38</w:t>
            </w:r>
          </w:p>
        </w:tc>
        <w:tc>
          <w:tcPr>
            <w:tcW w:w="1701" w:type="dxa"/>
            <w:vAlign w:val="center"/>
          </w:tcPr>
          <w:p w14:paraId="66519CFA" w14:textId="41DBF1FB" w:rsidR="00EC2277" w:rsidRDefault="00EC2277" w:rsidP="00094DD9">
            <w:pPr>
              <w:keepNext/>
              <w:keepLines/>
              <w:snapToGrid w:val="0"/>
              <w:jc w:val="center"/>
              <w:rPr>
                <w:sz w:val="24"/>
                <w:szCs w:val="24"/>
              </w:rPr>
            </w:pPr>
            <w:r>
              <w:rPr>
                <w:sz w:val="24"/>
                <w:szCs w:val="24"/>
              </w:rPr>
              <w:t>6.7</w:t>
            </w:r>
            <w:r>
              <w:rPr>
                <w:sz w:val="24"/>
                <w:szCs w:val="24"/>
              </w:rPr>
              <w:t xml:space="preserve"> </w:t>
            </w:r>
            <w:r>
              <w:rPr>
                <w:sz w:val="24"/>
                <w:szCs w:val="24"/>
              </w:rPr>
              <w:t>±</w:t>
            </w:r>
            <w:r>
              <w:rPr>
                <w:sz w:val="24"/>
                <w:szCs w:val="24"/>
              </w:rPr>
              <w:t xml:space="preserve"> </w:t>
            </w:r>
            <w:r>
              <w:rPr>
                <w:sz w:val="24"/>
                <w:szCs w:val="24"/>
              </w:rPr>
              <w:t>1.4</w:t>
            </w:r>
          </w:p>
        </w:tc>
        <w:tc>
          <w:tcPr>
            <w:tcW w:w="2268" w:type="dxa"/>
            <w:vAlign w:val="center"/>
          </w:tcPr>
          <w:p w14:paraId="6400007B" w14:textId="1244DD40" w:rsidR="00EC2277" w:rsidRDefault="00EC2277" w:rsidP="00094DD9">
            <w:pPr>
              <w:keepNext/>
              <w:keepLines/>
              <w:snapToGrid w:val="0"/>
              <w:jc w:val="center"/>
              <w:rPr>
                <w:sz w:val="24"/>
                <w:szCs w:val="24"/>
              </w:rPr>
            </w:pPr>
            <w:r>
              <w:rPr>
                <w:sz w:val="24"/>
                <w:szCs w:val="24"/>
              </w:rPr>
              <w:t>3.4</w:t>
            </w:r>
            <w:r>
              <w:rPr>
                <w:sz w:val="24"/>
                <w:szCs w:val="24"/>
              </w:rPr>
              <w:t xml:space="preserve"> </w:t>
            </w:r>
            <w:r>
              <w:rPr>
                <w:sz w:val="24"/>
                <w:szCs w:val="24"/>
              </w:rPr>
              <w:t>±</w:t>
            </w:r>
            <w:r>
              <w:rPr>
                <w:sz w:val="24"/>
                <w:szCs w:val="24"/>
              </w:rPr>
              <w:t xml:space="preserve"> </w:t>
            </w:r>
            <w:r>
              <w:rPr>
                <w:sz w:val="24"/>
                <w:szCs w:val="24"/>
              </w:rPr>
              <w:t>1.1</w:t>
            </w:r>
          </w:p>
        </w:tc>
        <w:tc>
          <w:tcPr>
            <w:tcW w:w="2120" w:type="dxa"/>
            <w:vAlign w:val="center"/>
          </w:tcPr>
          <w:p w14:paraId="6F1F4A78" w14:textId="587C1378" w:rsidR="00EC2277" w:rsidRDefault="00EC2277" w:rsidP="00094DD9">
            <w:pPr>
              <w:keepNext/>
              <w:keepLines/>
              <w:snapToGrid w:val="0"/>
              <w:jc w:val="center"/>
              <w:rPr>
                <w:sz w:val="24"/>
                <w:szCs w:val="24"/>
              </w:rPr>
            </w:pPr>
            <w:r>
              <w:rPr>
                <w:sz w:val="24"/>
                <w:szCs w:val="24"/>
              </w:rPr>
              <w:t>3.1</w:t>
            </w:r>
            <w:r>
              <w:rPr>
                <w:sz w:val="24"/>
                <w:szCs w:val="24"/>
              </w:rPr>
              <w:t xml:space="preserve"> </w:t>
            </w:r>
            <w:r>
              <w:rPr>
                <w:sz w:val="24"/>
                <w:szCs w:val="24"/>
              </w:rPr>
              <w:t>±</w:t>
            </w:r>
            <w:r>
              <w:rPr>
                <w:sz w:val="24"/>
                <w:szCs w:val="24"/>
              </w:rPr>
              <w:t xml:space="preserve"> </w:t>
            </w:r>
            <w:r>
              <w:rPr>
                <w:sz w:val="24"/>
                <w:szCs w:val="24"/>
              </w:rPr>
              <w:t>1.0</w:t>
            </w:r>
          </w:p>
        </w:tc>
      </w:tr>
      <w:tr w:rsidR="00EC2277" w14:paraId="777A0A65" w14:textId="77777777" w:rsidTr="00094DD9">
        <w:tc>
          <w:tcPr>
            <w:tcW w:w="2122" w:type="dxa"/>
            <w:vAlign w:val="center"/>
          </w:tcPr>
          <w:p w14:paraId="1B102D3F" w14:textId="4D086653" w:rsidR="00EC2277" w:rsidRDefault="00EC2277" w:rsidP="00094DD9">
            <w:pPr>
              <w:keepNext/>
              <w:keepLines/>
              <w:snapToGrid w:val="0"/>
              <w:jc w:val="left"/>
              <w:rPr>
                <w:sz w:val="24"/>
                <w:szCs w:val="24"/>
              </w:rPr>
            </w:pPr>
            <w:r>
              <w:rPr>
                <w:i/>
                <w:iCs/>
                <w:sz w:val="24"/>
                <w:szCs w:val="24"/>
                <w:lang w:val="en-US"/>
              </w:rPr>
              <w:t>t</w:t>
            </w:r>
            <w:r>
              <w:rPr>
                <w:sz w:val="24"/>
                <w:szCs w:val="24"/>
              </w:rPr>
              <w:t>-value</w:t>
            </w:r>
          </w:p>
        </w:tc>
        <w:tc>
          <w:tcPr>
            <w:tcW w:w="1417" w:type="dxa"/>
            <w:vAlign w:val="center"/>
          </w:tcPr>
          <w:p w14:paraId="56A47B7D" w14:textId="564A6C98" w:rsidR="00EC2277" w:rsidRDefault="00EC2277" w:rsidP="00094DD9">
            <w:pPr>
              <w:keepNext/>
              <w:keepLines/>
              <w:snapToGrid w:val="0"/>
              <w:jc w:val="center"/>
              <w:rPr>
                <w:sz w:val="24"/>
                <w:szCs w:val="24"/>
              </w:rPr>
            </w:pPr>
            <w:r>
              <w:rPr>
                <w:sz w:val="24"/>
                <w:szCs w:val="24"/>
              </w:rPr>
              <w:t>—</w:t>
            </w:r>
          </w:p>
        </w:tc>
        <w:tc>
          <w:tcPr>
            <w:tcW w:w="1701" w:type="dxa"/>
            <w:vAlign w:val="center"/>
          </w:tcPr>
          <w:p w14:paraId="7F224DB0" w14:textId="0034F963" w:rsidR="00EC2277" w:rsidRDefault="00EC2277" w:rsidP="00094DD9">
            <w:pPr>
              <w:keepNext/>
              <w:keepLines/>
              <w:snapToGrid w:val="0"/>
              <w:jc w:val="center"/>
              <w:rPr>
                <w:sz w:val="24"/>
                <w:szCs w:val="24"/>
              </w:rPr>
            </w:pPr>
            <w:r>
              <w:rPr>
                <w:sz w:val="24"/>
                <w:szCs w:val="24"/>
              </w:rPr>
              <w:t>0.324</w:t>
            </w:r>
          </w:p>
        </w:tc>
        <w:tc>
          <w:tcPr>
            <w:tcW w:w="2268" w:type="dxa"/>
            <w:vAlign w:val="center"/>
          </w:tcPr>
          <w:p w14:paraId="620B4CA0" w14:textId="0B4FE93D" w:rsidR="00EC2277" w:rsidRDefault="00EC2277" w:rsidP="00094DD9">
            <w:pPr>
              <w:keepNext/>
              <w:keepLines/>
              <w:snapToGrid w:val="0"/>
              <w:jc w:val="center"/>
              <w:rPr>
                <w:sz w:val="24"/>
                <w:szCs w:val="24"/>
              </w:rPr>
            </w:pPr>
            <w:r>
              <w:rPr>
                <w:sz w:val="24"/>
                <w:szCs w:val="24"/>
              </w:rPr>
              <w:t>5.647</w:t>
            </w:r>
          </w:p>
        </w:tc>
        <w:tc>
          <w:tcPr>
            <w:tcW w:w="2120" w:type="dxa"/>
            <w:vAlign w:val="center"/>
          </w:tcPr>
          <w:p w14:paraId="66878158" w14:textId="13B38B54" w:rsidR="00EC2277" w:rsidRDefault="00EC2277" w:rsidP="00094DD9">
            <w:pPr>
              <w:keepNext/>
              <w:keepLines/>
              <w:snapToGrid w:val="0"/>
              <w:jc w:val="center"/>
              <w:rPr>
                <w:sz w:val="24"/>
                <w:szCs w:val="24"/>
              </w:rPr>
            </w:pPr>
            <w:r>
              <w:rPr>
                <w:sz w:val="24"/>
                <w:szCs w:val="24"/>
              </w:rPr>
              <w:t>6.321</w:t>
            </w:r>
          </w:p>
        </w:tc>
      </w:tr>
      <w:tr w:rsidR="00EC2277" w14:paraId="27FD2B88" w14:textId="77777777" w:rsidTr="00094DD9">
        <w:tc>
          <w:tcPr>
            <w:tcW w:w="2122" w:type="dxa"/>
            <w:tcBorders>
              <w:bottom w:val="single" w:sz="4" w:space="0" w:color="auto"/>
            </w:tcBorders>
            <w:vAlign w:val="center"/>
          </w:tcPr>
          <w:p w14:paraId="1FEDC772" w14:textId="69F4BFEA" w:rsidR="00EC2277" w:rsidRDefault="00EC2277" w:rsidP="00094DD9">
            <w:pPr>
              <w:keepNext/>
              <w:keepLines/>
              <w:snapToGrid w:val="0"/>
              <w:jc w:val="left"/>
              <w:rPr>
                <w:sz w:val="24"/>
                <w:szCs w:val="24"/>
              </w:rPr>
            </w:pPr>
            <w:r>
              <w:rPr>
                <w:i/>
                <w:iCs/>
                <w:sz w:val="24"/>
                <w:szCs w:val="24"/>
                <w:lang w:val="en-US"/>
              </w:rPr>
              <w:t>p</w:t>
            </w:r>
            <w:r>
              <w:rPr>
                <w:sz w:val="24"/>
                <w:szCs w:val="24"/>
              </w:rPr>
              <w:t>-value</w:t>
            </w:r>
          </w:p>
        </w:tc>
        <w:tc>
          <w:tcPr>
            <w:tcW w:w="1417" w:type="dxa"/>
            <w:tcBorders>
              <w:bottom w:val="single" w:sz="4" w:space="0" w:color="auto"/>
            </w:tcBorders>
            <w:vAlign w:val="center"/>
          </w:tcPr>
          <w:p w14:paraId="0009128C" w14:textId="6D735D9E" w:rsidR="00EC2277" w:rsidRDefault="00EC2277" w:rsidP="00094DD9">
            <w:pPr>
              <w:keepNext/>
              <w:keepLines/>
              <w:snapToGrid w:val="0"/>
              <w:jc w:val="center"/>
              <w:rPr>
                <w:sz w:val="24"/>
                <w:szCs w:val="24"/>
              </w:rPr>
            </w:pPr>
            <w:r>
              <w:rPr>
                <w:sz w:val="24"/>
                <w:szCs w:val="24"/>
              </w:rPr>
              <w:t>—</w:t>
            </w:r>
          </w:p>
        </w:tc>
        <w:tc>
          <w:tcPr>
            <w:tcW w:w="1701" w:type="dxa"/>
            <w:tcBorders>
              <w:bottom w:val="single" w:sz="4" w:space="0" w:color="auto"/>
            </w:tcBorders>
            <w:vAlign w:val="center"/>
          </w:tcPr>
          <w:p w14:paraId="771925D3" w14:textId="7DDB643D" w:rsidR="00EC2277" w:rsidRDefault="00EC2277" w:rsidP="00094DD9">
            <w:pPr>
              <w:keepNext/>
              <w:keepLines/>
              <w:snapToGrid w:val="0"/>
              <w:jc w:val="center"/>
              <w:rPr>
                <w:sz w:val="24"/>
                <w:szCs w:val="24"/>
              </w:rPr>
            </w:pPr>
            <w:r>
              <w:rPr>
                <w:sz w:val="24"/>
                <w:szCs w:val="24"/>
              </w:rPr>
              <w:t>0.747</w:t>
            </w:r>
          </w:p>
        </w:tc>
        <w:tc>
          <w:tcPr>
            <w:tcW w:w="2268" w:type="dxa"/>
            <w:tcBorders>
              <w:bottom w:val="single" w:sz="4" w:space="0" w:color="auto"/>
            </w:tcBorders>
            <w:vAlign w:val="center"/>
          </w:tcPr>
          <w:p w14:paraId="1ACD0CDD" w14:textId="16372E43" w:rsidR="00EC2277" w:rsidRDefault="00EC2277" w:rsidP="00094DD9">
            <w:pPr>
              <w:keepNext/>
              <w:keepLines/>
              <w:snapToGrid w:val="0"/>
              <w:jc w:val="center"/>
              <w:rPr>
                <w:sz w:val="24"/>
                <w:szCs w:val="24"/>
              </w:rPr>
            </w:pPr>
            <w:r>
              <w:rPr>
                <w:sz w:val="24"/>
                <w:szCs w:val="24"/>
              </w:rPr>
              <w:t>&lt;</w:t>
            </w:r>
            <w:r>
              <w:rPr>
                <w:sz w:val="24"/>
                <w:szCs w:val="24"/>
              </w:rPr>
              <w:t xml:space="preserve"> </w:t>
            </w:r>
            <w:r>
              <w:rPr>
                <w:sz w:val="24"/>
                <w:szCs w:val="24"/>
              </w:rPr>
              <w:t>0.001</w:t>
            </w:r>
          </w:p>
        </w:tc>
        <w:tc>
          <w:tcPr>
            <w:tcW w:w="2120" w:type="dxa"/>
            <w:tcBorders>
              <w:bottom w:val="single" w:sz="4" w:space="0" w:color="auto"/>
            </w:tcBorders>
            <w:vAlign w:val="center"/>
          </w:tcPr>
          <w:p w14:paraId="4773291D" w14:textId="4D0E6867" w:rsidR="00EC2277" w:rsidRDefault="00EC2277" w:rsidP="00094DD9">
            <w:pPr>
              <w:keepNext/>
              <w:keepLines/>
              <w:snapToGrid w:val="0"/>
              <w:jc w:val="center"/>
              <w:rPr>
                <w:sz w:val="24"/>
                <w:szCs w:val="24"/>
              </w:rPr>
            </w:pPr>
            <w:r>
              <w:rPr>
                <w:sz w:val="24"/>
                <w:szCs w:val="24"/>
              </w:rPr>
              <w:t>&lt;</w:t>
            </w:r>
            <w:r>
              <w:rPr>
                <w:sz w:val="24"/>
                <w:szCs w:val="24"/>
              </w:rPr>
              <w:t xml:space="preserve"> </w:t>
            </w:r>
            <w:r>
              <w:rPr>
                <w:sz w:val="24"/>
                <w:szCs w:val="24"/>
              </w:rPr>
              <w:t>0.001</w:t>
            </w:r>
          </w:p>
        </w:tc>
      </w:tr>
    </w:tbl>
    <w:p w14:paraId="2E3444E4" w14:textId="77777777" w:rsidR="003046C5" w:rsidRDefault="003046C5" w:rsidP="00094DD9">
      <w:pPr>
        <w:pStyle w:val="Heading2"/>
        <w:keepNext/>
        <w:snapToGrid w:val="0"/>
        <w:spacing w:before="0" w:after="0"/>
        <w:jc w:val="both"/>
        <w:rPr>
          <w:i/>
          <w:iCs/>
          <w:sz w:val="24"/>
          <w:szCs w:val="24"/>
        </w:rPr>
      </w:pPr>
    </w:p>
    <w:p w14:paraId="2E3444E5" w14:textId="77777777" w:rsidR="003046C5" w:rsidRDefault="00BA54B3" w:rsidP="00094DD9">
      <w:pPr>
        <w:pStyle w:val="Heading2"/>
        <w:keepNext/>
        <w:snapToGrid w:val="0"/>
        <w:spacing w:before="0" w:after="0"/>
        <w:jc w:val="both"/>
        <w:rPr>
          <w:sz w:val="24"/>
          <w:szCs w:val="24"/>
        </w:rPr>
      </w:pPr>
      <w:r>
        <w:rPr>
          <w:rFonts w:hint="eastAsia"/>
          <w:sz w:val="24"/>
          <w:szCs w:val="24"/>
          <w:lang w:val="en-US"/>
        </w:rPr>
        <w:t>3</w:t>
      </w:r>
      <w:r>
        <w:rPr>
          <w:sz w:val="24"/>
          <w:szCs w:val="24"/>
        </w:rPr>
        <w:t>.2</w:t>
      </w:r>
      <w:r>
        <w:rPr>
          <w:rFonts w:hint="eastAsia"/>
          <w:sz w:val="24"/>
          <w:szCs w:val="24"/>
          <w:lang w:val="en-US"/>
        </w:rPr>
        <w:t>.</w:t>
      </w:r>
      <w:r>
        <w:rPr>
          <w:sz w:val="24"/>
          <w:szCs w:val="24"/>
        </w:rPr>
        <w:t xml:space="preserve"> Comparison of Glazer pelvic floor surface electromyography parameters before and after treatment in the two groups</w:t>
      </w:r>
    </w:p>
    <w:p w14:paraId="2E3444E6" w14:textId="516C3B7A" w:rsidR="003046C5" w:rsidRDefault="00BA54B3" w:rsidP="00094DD9">
      <w:pPr>
        <w:snapToGrid w:val="0"/>
        <w:rPr>
          <w:sz w:val="24"/>
          <w:szCs w:val="24"/>
        </w:rPr>
      </w:pPr>
      <w:r>
        <w:rPr>
          <w:sz w:val="24"/>
          <w:szCs w:val="24"/>
        </w:rPr>
        <w:t>Before treatment, there were no statistically significant differences in Glazer parameters between the two groups (</w:t>
      </w:r>
      <w:r w:rsidR="00EC2277">
        <w:rPr>
          <w:i/>
          <w:iCs/>
          <w:sz w:val="24"/>
          <w:szCs w:val="24"/>
        </w:rPr>
        <w:t>p</w:t>
      </w:r>
      <w:r w:rsidR="00EC2277">
        <w:rPr>
          <w:rFonts w:hint="eastAsia"/>
          <w:sz w:val="24"/>
          <w:szCs w:val="24"/>
          <w:lang w:val="en-US"/>
        </w:rPr>
        <w:t xml:space="preserve"> </w:t>
      </w:r>
      <w:r>
        <w:rPr>
          <w:sz w:val="24"/>
          <w:szCs w:val="24"/>
        </w:rPr>
        <w:t>&gt;</w:t>
      </w:r>
      <w:r>
        <w:rPr>
          <w:rFonts w:hint="eastAsia"/>
          <w:sz w:val="24"/>
          <w:szCs w:val="24"/>
          <w:lang w:val="en-US"/>
        </w:rPr>
        <w:t xml:space="preserve"> </w:t>
      </w:r>
      <w:r>
        <w:rPr>
          <w:sz w:val="24"/>
          <w:szCs w:val="24"/>
        </w:rPr>
        <w:t>0.05). At the end of treatment, the mean amplitudes of the pre- and post-resting potentials and the coefficient of variation of the pre-resting potential were lower in the observation group than in the control group, while the maximum amplitude of rapid contraction, the amplitude of sustained contraction at 10 s, and the amplitude of endurance contraction at 60 s were higher in the observation group than in the control group, and all differences were statistically significant (</w:t>
      </w:r>
      <w:r w:rsidR="00EC2277">
        <w:rPr>
          <w:i/>
          <w:iCs/>
          <w:sz w:val="24"/>
          <w:szCs w:val="24"/>
        </w:rPr>
        <w:t>p</w:t>
      </w:r>
      <w:r w:rsidR="00EC2277">
        <w:rPr>
          <w:rFonts w:hint="eastAsia"/>
          <w:sz w:val="24"/>
          <w:szCs w:val="24"/>
          <w:lang w:val="en-US"/>
        </w:rPr>
        <w:t xml:space="preserve"> </w:t>
      </w:r>
      <w:r>
        <w:rPr>
          <w:sz w:val="24"/>
          <w:szCs w:val="24"/>
        </w:rPr>
        <w:t>&lt;</w:t>
      </w:r>
      <w:r>
        <w:rPr>
          <w:rFonts w:hint="eastAsia"/>
          <w:sz w:val="24"/>
          <w:szCs w:val="24"/>
          <w:lang w:val="en-US"/>
        </w:rPr>
        <w:t xml:space="preserve"> </w:t>
      </w:r>
      <w:r>
        <w:rPr>
          <w:sz w:val="24"/>
          <w:szCs w:val="24"/>
        </w:rPr>
        <w:t xml:space="preserve">0.05). See </w:t>
      </w:r>
      <w:r>
        <w:rPr>
          <w:b/>
          <w:bCs/>
          <w:sz w:val="24"/>
          <w:szCs w:val="24"/>
        </w:rPr>
        <w:t>Table 3</w:t>
      </w:r>
      <w:r>
        <w:rPr>
          <w:sz w:val="24"/>
          <w:szCs w:val="24"/>
        </w:rPr>
        <w:t>.</w:t>
      </w:r>
    </w:p>
    <w:p w14:paraId="2E3444E7" w14:textId="77777777" w:rsidR="003046C5" w:rsidRDefault="003046C5" w:rsidP="00094DD9">
      <w:pPr>
        <w:snapToGrid w:val="0"/>
        <w:ind w:firstLine="420"/>
        <w:rPr>
          <w:sz w:val="24"/>
          <w:szCs w:val="24"/>
        </w:rPr>
      </w:pPr>
    </w:p>
    <w:p w14:paraId="2E3444E8" w14:textId="77777777" w:rsidR="003046C5" w:rsidRDefault="00BA54B3" w:rsidP="00094DD9">
      <w:pPr>
        <w:keepNext/>
        <w:keepLines/>
        <w:snapToGrid w:val="0"/>
        <w:rPr>
          <w:sz w:val="24"/>
          <w:szCs w:val="24"/>
        </w:rPr>
      </w:pPr>
      <w:r>
        <w:rPr>
          <w:b/>
          <w:bCs/>
          <w:sz w:val="24"/>
          <w:szCs w:val="24"/>
        </w:rPr>
        <w:t>Table 3</w:t>
      </w:r>
      <w:r w:rsidRPr="00094DD9">
        <w:rPr>
          <w:rFonts w:hint="eastAsia"/>
          <w:b/>
          <w:bCs/>
          <w:sz w:val="24"/>
          <w:szCs w:val="24"/>
          <w:lang w:val="en-US"/>
        </w:rPr>
        <w:t>.</w:t>
      </w:r>
      <w:r>
        <w:rPr>
          <w:sz w:val="24"/>
          <w:szCs w:val="24"/>
        </w:rPr>
        <w:t xml:space="preserve"> Comparison of Glazer pelvic floor surface electromyography parameters between the two groups at the end of treatment (</w:t>
      </w:r>
      <w:r>
        <w:rPr>
          <w:color w:val="0000FF"/>
          <w:position w:val="-6"/>
          <w:sz w:val="24"/>
          <w:szCs w:val="24"/>
        </w:rPr>
        <w:object w:dxaOrig="220" w:dyaOrig="270" w14:anchorId="2E34459A">
          <v:shape id="_x0000_i1030" type="#_x0000_t75" style="width:10.8pt;height:13.8pt" o:ole="">
            <v:imagedata r:id="rId4" o:title=""/>
          </v:shape>
          <o:OLEObject Type="Embed" ProgID="Equation.DSMT4" ShapeID="_x0000_i1030" DrawAspect="Content" ObjectID="_1852189408" r:id="rId10"/>
        </w:object>
      </w:r>
      <w:r>
        <w:rPr>
          <w:sz w:val="24"/>
          <w:szCs w:val="24"/>
        </w:rPr>
        <w:t>± s</w:t>
      </w:r>
      <w:r>
        <w:rPr>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1701"/>
        <w:gridCol w:w="1843"/>
        <w:gridCol w:w="992"/>
        <w:gridCol w:w="986"/>
      </w:tblGrid>
      <w:tr w:rsidR="00EC2277" w14:paraId="71C15AE8" w14:textId="77777777" w:rsidTr="00094DD9">
        <w:tc>
          <w:tcPr>
            <w:tcW w:w="4106" w:type="dxa"/>
            <w:tcBorders>
              <w:top w:val="single" w:sz="4" w:space="0" w:color="auto"/>
              <w:bottom w:val="single" w:sz="4" w:space="0" w:color="auto"/>
            </w:tcBorders>
            <w:vAlign w:val="center"/>
          </w:tcPr>
          <w:p w14:paraId="4281F136" w14:textId="0A710562" w:rsidR="00EC2277" w:rsidRDefault="00EC2277" w:rsidP="00094DD9">
            <w:pPr>
              <w:keepNext/>
              <w:keepLines/>
              <w:snapToGrid w:val="0"/>
              <w:jc w:val="left"/>
              <w:rPr>
                <w:i/>
                <w:iCs/>
                <w:sz w:val="24"/>
                <w:szCs w:val="24"/>
              </w:rPr>
            </w:pPr>
            <w:r>
              <w:rPr>
                <w:b/>
                <w:bCs/>
                <w:sz w:val="24"/>
                <w:szCs w:val="24"/>
                <w:lang w:val="en-US"/>
              </w:rPr>
              <w:t>I</w:t>
            </w:r>
            <w:r>
              <w:rPr>
                <w:b/>
                <w:bCs/>
                <w:sz w:val="24"/>
                <w:szCs w:val="24"/>
              </w:rPr>
              <w:t>ndex</w:t>
            </w:r>
          </w:p>
        </w:tc>
        <w:tc>
          <w:tcPr>
            <w:tcW w:w="1701" w:type="dxa"/>
            <w:tcBorders>
              <w:top w:val="single" w:sz="4" w:space="0" w:color="auto"/>
              <w:bottom w:val="single" w:sz="4" w:space="0" w:color="auto"/>
            </w:tcBorders>
            <w:vAlign w:val="center"/>
          </w:tcPr>
          <w:p w14:paraId="0E0F8D38" w14:textId="159A12D9" w:rsidR="00EC2277" w:rsidRDefault="00EC2277" w:rsidP="00094DD9">
            <w:pPr>
              <w:keepNext/>
              <w:keepLines/>
              <w:snapToGrid w:val="0"/>
              <w:jc w:val="center"/>
              <w:rPr>
                <w:i/>
                <w:iCs/>
                <w:sz w:val="24"/>
                <w:szCs w:val="24"/>
              </w:rPr>
            </w:pPr>
            <w:r>
              <w:rPr>
                <w:b/>
                <w:bCs/>
                <w:sz w:val="24"/>
                <w:szCs w:val="24"/>
              </w:rPr>
              <w:t>Observation group (n</w:t>
            </w:r>
            <w:r>
              <w:rPr>
                <w:b/>
                <w:bCs/>
                <w:sz w:val="24"/>
                <w:szCs w:val="24"/>
              </w:rPr>
              <w:t xml:space="preserve"> </w:t>
            </w:r>
            <w:r>
              <w:rPr>
                <w:b/>
                <w:bCs/>
                <w:sz w:val="24"/>
                <w:szCs w:val="24"/>
              </w:rPr>
              <w:t>=</w:t>
            </w:r>
            <w:r>
              <w:rPr>
                <w:b/>
                <w:bCs/>
                <w:sz w:val="24"/>
                <w:szCs w:val="24"/>
              </w:rPr>
              <w:t xml:space="preserve"> </w:t>
            </w:r>
            <w:r>
              <w:rPr>
                <w:b/>
                <w:bCs/>
                <w:sz w:val="24"/>
                <w:szCs w:val="24"/>
              </w:rPr>
              <w:t>39)</w:t>
            </w:r>
          </w:p>
        </w:tc>
        <w:tc>
          <w:tcPr>
            <w:tcW w:w="1843" w:type="dxa"/>
            <w:tcBorders>
              <w:top w:val="single" w:sz="4" w:space="0" w:color="auto"/>
              <w:bottom w:val="single" w:sz="4" w:space="0" w:color="auto"/>
            </w:tcBorders>
            <w:vAlign w:val="center"/>
          </w:tcPr>
          <w:p w14:paraId="05A966B4" w14:textId="5F2C86FE" w:rsidR="00EC2277" w:rsidRDefault="00EC2277" w:rsidP="00094DD9">
            <w:pPr>
              <w:keepNext/>
              <w:keepLines/>
              <w:snapToGrid w:val="0"/>
              <w:jc w:val="center"/>
              <w:rPr>
                <w:i/>
                <w:iCs/>
                <w:sz w:val="24"/>
                <w:szCs w:val="24"/>
              </w:rPr>
            </w:pPr>
            <w:r>
              <w:rPr>
                <w:b/>
                <w:bCs/>
                <w:sz w:val="24"/>
                <w:szCs w:val="24"/>
              </w:rPr>
              <w:t>Control group (n</w:t>
            </w:r>
            <w:r>
              <w:rPr>
                <w:b/>
                <w:bCs/>
                <w:sz w:val="24"/>
                <w:szCs w:val="24"/>
              </w:rPr>
              <w:t xml:space="preserve"> </w:t>
            </w:r>
            <w:r>
              <w:rPr>
                <w:b/>
                <w:bCs/>
                <w:sz w:val="24"/>
                <w:szCs w:val="24"/>
              </w:rPr>
              <w:t>=</w:t>
            </w:r>
            <w:r>
              <w:rPr>
                <w:b/>
                <w:bCs/>
                <w:sz w:val="24"/>
                <w:szCs w:val="24"/>
              </w:rPr>
              <w:t xml:space="preserve"> </w:t>
            </w:r>
            <w:r>
              <w:rPr>
                <w:b/>
                <w:bCs/>
                <w:sz w:val="24"/>
                <w:szCs w:val="24"/>
              </w:rPr>
              <w:t>38)</w:t>
            </w:r>
          </w:p>
        </w:tc>
        <w:tc>
          <w:tcPr>
            <w:tcW w:w="992" w:type="dxa"/>
            <w:tcBorders>
              <w:top w:val="single" w:sz="4" w:space="0" w:color="auto"/>
              <w:bottom w:val="single" w:sz="4" w:space="0" w:color="auto"/>
            </w:tcBorders>
            <w:vAlign w:val="center"/>
          </w:tcPr>
          <w:p w14:paraId="4ED5B432" w14:textId="6CA60BD0" w:rsidR="00EC2277" w:rsidRDefault="00EC2277" w:rsidP="00094DD9">
            <w:pPr>
              <w:keepNext/>
              <w:keepLines/>
              <w:snapToGrid w:val="0"/>
              <w:jc w:val="center"/>
              <w:rPr>
                <w:i/>
                <w:iCs/>
                <w:sz w:val="24"/>
                <w:szCs w:val="24"/>
              </w:rPr>
            </w:pPr>
            <w:r>
              <w:rPr>
                <w:b/>
                <w:bCs/>
                <w:i/>
                <w:iCs/>
                <w:sz w:val="24"/>
                <w:szCs w:val="24"/>
              </w:rPr>
              <w:t>t</w:t>
            </w:r>
            <w:r>
              <w:rPr>
                <w:b/>
                <w:bCs/>
                <w:sz w:val="24"/>
                <w:szCs w:val="24"/>
              </w:rPr>
              <w:t>-value</w:t>
            </w:r>
          </w:p>
        </w:tc>
        <w:tc>
          <w:tcPr>
            <w:tcW w:w="986" w:type="dxa"/>
            <w:tcBorders>
              <w:top w:val="single" w:sz="4" w:space="0" w:color="auto"/>
              <w:bottom w:val="single" w:sz="4" w:space="0" w:color="auto"/>
            </w:tcBorders>
            <w:vAlign w:val="center"/>
          </w:tcPr>
          <w:p w14:paraId="776ED3D4" w14:textId="39202B5D" w:rsidR="00EC2277" w:rsidRDefault="00EC2277" w:rsidP="00094DD9">
            <w:pPr>
              <w:keepNext/>
              <w:keepLines/>
              <w:snapToGrid w:val="0"/>
              <w:jc w:val="center"/>
              <w:rPr>
                <w:i/>
                <w:iCs/>
                <w:sz w:val="24"/>
                <w:szCs w:val="24"/>
              </w:rPr>
            </w:pPr>
            <w:r>
              <w:rPr>
                <w:b/>
                <w:bCs/>
                <w:i/>
                <w:iCs/>
                <w:sz w:val="24"/>
                <w:szCs w:val="24"/>
              </w:rPr>
              <w:t>p</w:t>
            </w:r>
            <w:r>
              <w:rPr>
                <w:b/>
                <w:bCs/>
                <w:sz w:val="24"/>
                <w:szCs w:val="24"/>
              </w:rPr>
              <w:t>-value</w:t>
            </w:r>
          </w:p>
        </w:tc>
      </w:tr>
      <w:tr w:rsidR="00EC2277" w14:paraId="3FA38D67" w14:textId="77777777" w:rsidTr="00094DD9">
        <w:tc>
          <w:tcPr>
            <w:tcW w:w="4106" w:type="dxa"/>
            <w:tcBorders>
              <w:top w:val="single" w:sz="4" w:space="0" w:color="auto"/>
            </w:tcBorders>
            <w:vAlign w:val="center"/>
          </w:tcPr>
          <w:p w14:paraId="21C96FE4" w14:textId="222C71EB" w:rsidR="00EC2277" w:rsidRDefault="00EC2277" w:rsidP="00094DD9">
            <w:pPr>
              <w:keepNext/>
              <w:keepLines/>
              <w:snapToGrid w:val="0"/>
              <w:jc w:val="left"/>
              <w:rPr>
                <w:i/>
                <w:iCs/>
                <w:sz w:val="24"/>
                <w:szCs w:val="24"/>
              </w:rPr>
            </w:pPr>
            <w:r>
              <w:rPr>
                <w:sz w:val="24"/>
                <w:szCs w:val="24"/>
              </w:rPr>
              <w:t>Pre-resting potential amplitude (μV)</w:t>
            </w:r>
          </w:p>
        </w:tc>
        <w:tc>
          <w:tcPr>
            <w:tcW w:w="1701" w:type="dxa"/>
            <w:tcBorders>
              <w:top w:val="single" w:sz="4" w:space="0" w:color="auto"/>
            </w:tcBorders>
            <w:vAlign w:val="center"/>
          </w:tcPr>
          <w:p w14:paraId="47D6502D" w14:textId="6A455CDE" w:rsidR="00EC2277" w:rsidRDefault="00EC2277" w:rsidP="00094DD9">
            <w:pPr>
              <w:keepNext/>
              <w:keepLines/>
              <w:snapToGrid w:val="0"/>
              <w:jc w:val="center"/>
              <w:rPr>
                <w:i/>
                <w:iCs/>
                <w:sz w:val="24"/>
                <w:szCs w:val="24"/>
              </w:rPr>
            </w:pPr>
            <w:r>
              <w:rPr>
                <w:sz w:val="24"/>
                <w:szCs w:val="24"/>
              </w:rPr>
              <w:t>2.6</w:t>
            </w:r>
            <w:r>
              <w:rPr>
                <w:sz w:val="24"/>
                <w:szCs w:val="24"/>
              </w:rPr>
              <w:t xml:space="preserve"> </w:t>
            </w:r>
            <w:r>
              <w:rPr>
                <w:sz w:val="24"/>
                <w:szCs w:val="24"/>
              </w:rPr>
              <w:t>±</w:t>
            </w:r>
            <w:r>
              <w:rPr>
                <w:sz w:val="24"/>
                <w:szCs w:val="24"/>
              </w:rPr>
              <w:t xml:space="preserve"> </w:t>
            </w:r>
            <w:r>
              <w:rPr>
                <w:sz w:val="24"/>
                <w:szCs w:val="24"/>
              </w:rPr>
              <w:t>0.9</w:t>
            </w:r>
          </w:p>
        </w:tc>
        <w:tc>
          <w:tcPr>
            <w:tcW w:w="1843" w:type="dxa"/>
            <w:tcBorders>
              <w:top w:val="single" w:sz="4" w:space="0" w:color="auto"/>
            </w:tcBorders>
            <w:vAlign w:val="center"/>
          </w:tcPr>
          <w:p w14:paraId="03CE99BB" w14:textId="0F4F80AE" w:rsidR="00EC2277" w:rsidRDefault="00EC2277" w:rsidP="00094DD9">
            <w:pPr>
              <w:keepNext/>
              <w:keepLines/>
              <w:snapToGrid w:val="0"/>
              <w:jc w:val="center"/>
              <w:rPr>
                <w:i/>
                <w:iCs/>
                <w:sz w:val="24"/>
                <w:szCs w:val="24"/>
              </w:rPr>
            </w:pPr>
            <w:r>
              <w:rPr>
                <w:sz w:val="24"/>
                <w:szCs w:val="24"/>
              </w:rPr>
              <w:t>3.8</w:t>
            </w:r>
            <w:r>
              <w:rPr>
                <w:sz w:val="24"/>
                <w:szCs w:val="24"/>
              </w:rPr>
              <w:t xml:space="preserve"> </w:t>
            </w:r>
            <w:r>
              <w:rPr>
                <w:sz w:val="24"/>
                <w:szCs w:val="24"/>
              </w:rPr>
              <w:t>±</w:t>
            </w:r>
            <w:r>
              <w:rPr>
                <w:sz w:val="24"/>
                <w:szCs w:val="24"/>
              </w:rPr>
              <w:t xml:space="preserve"> </w:t>
            </w:r>
            <w:r>
              <w:rPr>
                <w:sz w:val="24"/>
                <w:szCs w:val="24"/>
              </w:rPr>
              <w:t>1.2</w:t>
            </w:r>
          </w:p>
        </w:tc>
        <w:tc>
          <w:tcPr>
            <w:tcW w:w="992" w:type="dxa"/>
            <w:tcBorders>
              <w:top w:val="single" w:sz="4" w:space="0" w:color="auto"/>
            </w:tcBorders>
            <w:vAlign w:val="center"/>
          </w:tcPr>
          <w:p w14:paraId="27EC4412" w14:textId="079F1FDF" w:rsidR="00EC2277" w:rsidRDefault="00EC2277" w:rsidP="00094DD9">
            <w:pPr>
              <w:keepNext/>
              <w:keepLines/>
              <w:snapToGrid w:val="0"/>
              <w:jc w:val="center"/>
              <w:rPr>
                <w:i/>
                <w:iCs/>
                <w:sz w:val="24"/>
                <w:szCs w:val="24"/>
              </w:rPr>
            </w:pPr>
            <w:r>
              <w:rPr>
                <w:sz w:val="24"/>
                <w:szCs w:val="24"/>
              </w:rPr>
              <w:t>4.913</w:t>
            </w:r>
          </w:p>
        </w:tc>
        <w:tc>
          <w:tcPr>
            <w:tcW w:w="986" w:type="dxa"/>
            <w:tcBorders>
              <w:top w:val="single" w:sz="4" w:space="0" w:color="auto"/>
            </w:tcBorders>
            <w:vAlign w:val="center"/>
          </w:tcPr>
          <w:p w14:paraId="2DFC35AA" w14:textId="1F5C566D" w:rsidR="00EC2277" w:rsidRDefault="00EC2277" w:rsidP="00094DD9">
            <w:pPr>
              <w:keepNext/>
              <w:keepLines/>
              <w:snapToGrid w:val="0"/>
              <w:jc w:val="center"/>
              <w:rPr>
                <w:i/>
                <w:iCs/>
                <w:sz w:val="24"/>
                <w:szCs w:val="24"/>
              </w:rPr>
            </w:pPr>
            <w:r>
              <w:rPr>
                <w:sz w:val="24"/>
                <w:szCs w:val="24"/>
              </w:rPr>
              <w:t>&lt;</w:t>
            </w:r>
            <w:r>
              <w:rPr>
                <w:sz w:val="24"/>
                <w:szCs w:val="24"/>
              </w:rPr>
              <w:t xml:space="preserve"> </w:t>
            </w:r>
            <w:r>
              <w:rPr>
                <w:sz w:val="24"/>
                <w:szCs w:val="24"/>
              </w:rPr>
              <w:t>0.001</w:t>
            </w:r>
          </w:p>
        </w:tc>
      </w:tr>
      <w:tr w:rsidR="00EC2277" w14:paraId="6277BA82" w14:textId="77777777" w:rsidTr="00094DD9">
        <w:tc>
          <w:tcPr>
            <w:tcW w:w="4106" w:type="dxa"/>
            <w:vAlign w:val="center"/>
          </w:tcPr>
          <w:p w14:paraId="00748FAC" w14:textId="6B96B987" w:rsidR="00EC2277" w:rsidRDefault="00EC2277" w:rsidP="00094DD9">
            <w:pPr>
              <w:keepNext/>
              <w:keepLines/>
              <w:snapToGrid w:val="0"/>
              <w:jc w:val="left"/>
              <w:rPr>
                <w:i/>
                <w:iCs/>
                <w:sz w:val="24"/>
                <w:szCs w:val="24"/>
              </w:rPr>
            </w:pPr>
            <w:r>
              <w:rPr>
                <w:sz w:val="24"/>
                <w:szCs w:val="24"/>
              </w:rPr>
              <w:t>Post-resting potential amplitude (μV)</w:t>
            </w:r>
          </w:p>
        </w:tc>
        <w:tc>
          <w:tcPr>
            <w:tcW w:w="1701" w:type="dxa"/>
            <w:vAlign w:val="center"/>
          </w:tcPr>
          <w:p w14:paraId="12B87881" w14:textId="68AC3276" w:rsidR="00EC2277" w:rsidRDefault="00EC2277" w:rsidP="00094DD9">
            <w:pPr>
              <w:keepNext/>
              <w:keepLines/>
              <w:snapToGrid w:val="0"/>
              <w:jc w:val="center"/>
              <w:rPr>
                <w:i/>
                <w:iCs/>
                <w:sz w:val="24"/>
                <w:szCs w:val="24"/>
              </w:rPr>
            </w:pPr>
            <w:r>
              <w:rPr>
                <w:sz w:val="24"/>
                <w:szCs w:val="24"/>
              </w:rPr>
              <w:t>2.9</w:t>
            </w:r>
            <w:r>
              <w:rPr>
                <w:sz w:val="24"/>
                <w:szCs w:val="24"/>
              </w:rPr>
              <w:t xml:space="preserve"> </w:t>
            </w:r>
            <w:r>
              <w:rPr>
                <w:sz w:val="24"/>
                <w:szCs w:val="24"/>
              </w:rPr>
              <w:t>±</w:t>
            </w:r>
            <w:r>
              <w:rPr>
                <w:sz w:val="24"/>
                <w:szCs w:val="24"/>
              </w:rPr>
              <w:t xml:space="preserve"> </w:t>
            </w:r>
            <w:r>
              <w:rPr>
                <w:sz w:val="24"/>
                <w:szCs w:val="24"/>
              </w:rPr>
              <w:t>1.0</w:t>
            </w:r>
          </w:p>
        </w:tc>
        <w:tc>
          <w:tcPr>
            <w:tcW w:w="1843" w:type="dxa"/>
            <w:vAlign w:val="center"/>
          </w:tcPr>
          <w:p w14:paraId="49F39720" w14:textId="15AA4E21" w:rsidR="00EC2277" w:rsidRDefault="00EC2277" w:rsidP="00094DD9">
            <w:pPr>
              <w:keepNext/>
              <w:keepLines/>
              <w:snapToGrid w:val="0"/>
              <w:jc w:val="center"/>
              <w:rPr>
                <w:i/>
                <w:iCs/>
                <w:sz w:val="24"/>
                <w:szCs w:val="24"/>
              </w:rPr>
            </w:pPr>
            <w:r>
              <w:rPr>
                <w:sz w:val="24"/>
                <w:szCs w:val="24"/>
              </w:rPr>
              <w:t>4.2</w:t>
            </w:r>
            <w:r>
              <w:rPr>
                <w:sz w:val="24"/>
                <w:szCs w:val="24"/>
              </w:rPr>
              <w:t xml:space="preserve"> </w:t>
            </w:r>
            <w:r>
              <w:rPr>
                <w:sz w:val="24"/>
                <w:szCs w:val="24"/>
              </w:rPr>
              <w:t>±</w:t>
            </w:r>
            <w:r>
              <w:rPr>
                <w:sz w:val="24"/>
                <w:szCs w:val="24"/>
              </w:rPr>
              <w:t xml:space="preserve"> </w:t>
            </w:r>
            <w:r>
              <w:rPr>
                <w:sz w:val="24"/>
                <w:szCs w:val="24"/>
              </w:rPr>
              <w:t>1.3</w:t>
            </w:r>
          </w:p>
        </w:tc>
        <w:tc>
          <w:tcPr>
            <w:tcW w:w="992" w:type="dxa"/>
            <w:vAlign w:val="center"/>
          </w:tcPr>
          <w:p w14:paraId="20F976B0" w14:textId="4D6E93A2" w:rsidR="00EC2277" w:rsidRDefault="00EC2277" w:rsidP="00094DD9">
            <w:pPr>
              <w:keepNext/>
              <w:keepLines/>
              <w:snapToGrid w:val="0"/>
              <w:jc w:val="center"/>
              <w:rPr>
                <w:i/>
                <w:iCs/>
                <w:sz w:val="24"/>
                <w:szCs w:val="24"/>
              </w:rPr>
            </w:pPr>
            <w:r>
              <w:rPr>
                <w:sz w:val="24"/>
                <w:szCs w:val="24"/>
              </w:rPr>
              <w:t>4.876</w:t>
            </w:r>
          </w:p>
        </w:tc>
        <w:tc>
          <w:tcPr>
            <w:tcW w:w="986" w:type="dxa"/>
            <w:vAlign w:val="center"/>
          </w:tcPr>
          <w:p w14:paraId="1D4B07D2" w14:textId="1DA8A41A" w:rsidR="00EC2277" w:rsidRDefault="00EC2277" w:rsidP="00094DD9">
            <w:pPr>
              <w:keepNext/>
              <w:keepLines/>
              <w:snapToGrid w:val="0"/>
              <w:jc w:val="center"/>
              <w:rPr>
                <w:i/>
                <w:iCs/>
                <w:sz w:val="24"/>
                <w:szCs w:val="24"/>
              </w:rPr>
            </w:pPr>
            <w:r>
              <w:rPr>
                <w:sz w:val="24"/>
                <w:szCs w:val="24"/>
              </w:rPr>
              <w:t>&lt;</w:t>
            </w:r>
            <w:r>
              <w:rPr>
                <w:sz w:val="24"/>
                <w:szCs w:val="24"/>
              </w:rPr>
              <w:t xml:space="preserve"> </w:t>
            </w:r>
            <w:r>
              <w:rPr>
                <w:sz w:val="24"/>
                <w:szCs w:val="24"/>
              </w:rPr>
              <w:t>0.001</w:t>
            </w:r>
          </w:p>
        </w:tc>
      </w:tr>
      <w:tr w:rsidR="00EC2277" w14:paraId="3BE4A91C" w14:textId="77777777" w:rsidTr="00094DD9">
        <w:tc>
          <w:tcPr>
            <w:tcW w:w="4106" w:type="dxa"/>
            <w:vAlign w:val="center"/>
          </w:tcPr>
          <w:p w14:paraId="263B0869" w14:textId="1497302B" w:rsidR="00EC2277" w:rsidRDefault="00EC2277" w:rsidP="00094DD9">
            <w:pPr>
              <w:keepNext/>
              <w:keepLines/>
              <w:snapToGrid w:val="0"/>
              <w:jc w:val="left"/>
              <w:rPr>
                <w:i/>
                <w:iCs/>
                <w:sz w:val="24"/>
                <w:szCs w:val="24"/>
              </w:rPr>
            </w:pPr>
            <w:r>
              <w:rPr>
                <w:sz w:val="24"/>
                <w:szCs w:val="24"/>
              </w:rPr>
              <w:t>coefficient of variation of pre-resting potential</w:t>
            </w:r>
          </w:p>
        </w:tc>
        <w:tc>
          <w:tcPr>
            <w:tcW w:w="1701" w:type="dxa"/>
            <w:vAlign w:val="center"/>
          </w:tcPr>
          <w:p w14:paraId="41BE6F4C" w14:textId="5AE87C1E" w:rsidR="00EC2277" w:rsidRDefault="00EC2277" w:rsidP="00094DD9">
            <w:pPr>
              <w:keepNext/>
              <w:keepLines/>
              <w:snapToGrid w:val="0"/>
              <w:jc w:val="center"/>
              <w:rPr>
                <w:i/>
                <w:iCs/>
                <w:sz w:val="24"/>
                <w:szCs w:val="24"/>
              </w:rPr>
            </w:pPr>
            <w:r>
              <w:rPr>
                <w:sz w:val="24"/>
                <w:szCs w:val="24"/>
              </w:rPr>
              <w:t>0.21</w:t>
            </w:r>
            <w:r>
              <w:rPr>
                <w:sz w:val="24"/>
                <w:szCs w:val="24"/>
              </w:rPr>
              <w:t xml:space="preserve"> </w:t>
            </w:r>
            <w:r>
              <w:rPr>
                <w:sz w:val="24"/>
                <w:szCs w:val="24"/>
              </w:rPr>
              <w:t>±</w:t>
            </w:r>
            <w:r>
              <w:rPr>
                <w:sz w:val="24"/>
                <w:szCs w:val="24"/>
              </w:rPr>
              <w:t xml:space="preserve"> </w:t>
            </w:r>
            <w:r>
              <w:rPr>
                <w:sz w:val="24"/>
                <w:szCs w:val="24"/>
              </w:rPr>
              <w:t>0.07</w:t>
            </w:r>
          </w:p>
        </w:tc>
        <w:tc>
          <w:tcPr>
            <w:tcW w:w="1843" w:type="dxa"/>
            <w:vAlign w:val="center"/>
          </w:tcPr>
          <w:p w14:paraId="41C09791" w14:textId="1B2CEF5E" w:rsidR="00EC2277" w:rsidRDefault="00EC2277" w:rsidP="00094DD9">
            <w:pPr>
              <w:keepNext/>
              <w:keepLines/>
              <w:snapToGrid w:val="0"/>
              <w:jc w:val="center"/>
              <w:rPr>
                <w:i/>
                <w:iCs/>
                <w:sz w:val="24"/>
                <w:szCs w:val="24"/>
              </w:rPr>
            </w:pPr>
            <w:r>
              <w:rPr>
                <w:sz w:val="24"/>
                <w:szCs w:val="24"/>
              </w:rPr>
              <w:t>0.30</w:t>
            </w:r>
            <w:r>
              <w:rPr>
                <w:sz w:val="24"/>
                <w:szCs w:val="24"/>
              </w:rPr>
              <w:t xml:space="preserve"> </w:t>
            </w:r>
            <w:r>
              <w:rPr>
                <w:sz w:val="24"/>
                <w:szCs w:val="24"/>
              </w:rPr>
              <w:t>±</w:t>
            </w:r>
            <w:r>
              <w:rPr>
                <w:sz w:val="24"/>
                <w:szCs w:val="24"/>
              </w:rPr>
              <w:t xml:space="preserve"> </w:t>
            </w:r>
            <w:r>
              <w:rPr>
                <w:sz w:val="24"/>
                <w:szCs w:val="24"/>
              </w:rPr>
              <w:t>0.09</w:t>
            </w:r>
          </w:p>
        </w:tc>
        <w:tc>
          <w:tcPr>
            <w:tcW w:w="992" w:type="dxa"/>
            <w:vAlign w:val="center"/>
          </w:tcPr>
          <w:p w14:paraId="1483712B" w14:textId="69A77D90" w:rsidR="00EC2277" w:rsidRDefault="00EC2277" w:rsidP="00094DD9">
            <w:pPr>
              <w:keepNext/>
              <w:keepLines/>
              <w:snapToGrid w:val="0"/>
              <w:jc w:val="center"/>
              <w:rPr>
                <w:i/>
                <w:iCs/>
                <w:sz w:val="24"/>
                <w:szCs w:val="24"/>
              </w:rPr>
            </w:pPr>
            <w:r>
              <w:rPr>
                <w:sz w:val="24"/>
                <w:szCs w:val="24"/>
              </w:rPr>
              <w:t>4.872</w:t>
            </w:r>
          </w:p>
        </w:tc>
        <w:tc>
          <w:tcPr>
            <w:tcW w:w="986" w:type="dxa"/>
            <w:vAlign w:val="center"/>
          </w:tcPr>
          <w:p w14:paraId="119929C8" w14:textId="6F942454" w:rsidR="00EC2277" w:rsidRDefault="00EC2277" w:rsidP="00094DD9">
            <w:pPr>
              <w:keepNext/>
              <w:keepLines/>
              <w:snapToGrid w:val="0"/>
              <w:jc w:val="center"/>
              <w:rPr>
                <w:i/>
                <w:iCs/>
                <w:sz w:val="24"/>
                <w:szCs w:val="24"/>
              </w:rPr>
            </w:pPr>
            <w:r>
              <w:rPr>
                <w:sz w:val="24"/>
                <w:szCs w:val="24"/>
              </w:rPr>
              <w:t>&lt;</w:t>
            </w:r>
            <w:r>
              <w:rPr>
                <w:sz w:val="24"/>
                <w:szCs w:val="24"/>
              </w:rPr>
              <w:t xml:space="preserve"> </w:t>
            </w:r>
            <w:r>
              <w:rPr>
                <w:sz w:val="24"/>
                <w:szCs w:val="24"/>
              </w:rPr>
              <w:t>0.001</w:t>
            </w:r>
          </w:p>
        </w:tc>
      </w:tr>
      <w:tr w:rsidR="00EC2277" w14:paraId="13AB05FF" w14:textId="77777777" w:rsidTr="00094DD9">
        <w:tc>
          <w:tcPr>
            <w:tcW w:w="4106" w:type="dxa"/>
            <w:vAlign w:val="center"/>
          </w:tcPr>
          <w:p w14:paraId="4E386DA3" w14:textId="742288C6" w:rsidR="00EC2277" w:rsidRDefault="00EC2277" w:rsidP="00094DD9">
            <w:pPr>
              <w:keepNext/>
              <w:keepLines/>
              <w:snapToGrid w:val="0"/>
              <w:jc w:val="left"/>
              <w:rPr>
                <w:i/>
                <w:iCs/>
                <w:sz w:val="24"/>
                <w:szCs w:val="24"/>
              </w:rPr>
            </w:pPr>
            <w:r>
              <w:rPr>
                <w:sz w:val="24"/>
                <w:szCs w:val="24"/>
              </w:rPr>
              <w:t>Rapid contraction of maximum amplitude (μV)</w:t>
            </w:r>
          </w:p>
        </w:tc>
        <w:tc>
          <w:tcPr>
            <w:tcW w:w="1701" w:type="dxa"/>
            <w:vAlign w:val="center"/>
          </w:tcPr>
          <w:p w14:paraId="65D2F794" w14:textId="3CEC1BAF" w:rsidR="00EC2277" w:rsidRDefault="00EC2277" w:rsidP="00094DD9">
            <w:pPr>
              <w:keepNext/>
              <w:keepLines/>
              <w:snapToGrid w:val="0"/>
              <w:jc w:val="center"/>
              <w:rPr>
                <w:i/>
                <w:iCs/>
                <w:sz w:val="24"/>
                <w:szCs w:val="24"/>
              </w:rPr>
            </w:pPr>
            <w:r>
              <w:rPr>
                <w:sz w:val="24"/>
                <w:szCs w:val="24"/>
              </w:rPr>
              <w:t>48.6</w:t>
            </w:r>
            <w:r>
              <w:rPr>
                <w:sz w:val="24"/>
                <w:szCs w:val="24"/>
              </w:rPr>
              <w:t xml:space="preserve"> </w:t>
            </w:r>
            <w:r>
              <w:rPr>
                <w:sz w:val="24"/>
                <w:szCs w:val="24"/>
              </w:rPr>
              <w:t>±</w:t>
            </w:r>
            <w:r>
              <w:rPr>
                <w:sz w:val="24"/>
                <w:szCs w:val="24"/>
              </w:rPr>
              <w:t xml:space="preserve"> </w:t>
            </w:r>
            <w:r>
              <w:rPr>
                <w:sz w:val="24"/>
                <w:szCs w:val="24"/>
              </w:rPr>
              <w:t>10.2</w:t>
            </w:r>
          </w:p>
        </w:tc>
        <w:tc>
          <w:tcPr>
            <w:tcW w:w="1843" w:type="dxa"/>
            <w:vAlign w:val="center"/>
          </w:tcPr>
          <w:p w14:paraId="6970E226" w14:textId="2CA4FA09" w:rsidR="00EC2277" w:rsidRDefault="00EC2277" w:rsidP="00094DD9">
            <w:pPr>
              <w:keepNext/>
              <w:keepLines/>
              <w:snapToGrid w:val="0"/>
              <w:jc w:val="center"/>
              <w:rPr>
                <w:i/>
                <w:iCs/>
                <w:sz w:val="24"/>
                <w:szCs w:val="24"/>
              </w:rPr>
            </w:pPr>
            <w:r>
              <w:rPr>
                <w:sz w:val="24"/>
                <w:szCs w:val="24"/>
              </w:rPr>
              <w:t>39.4</w:t>
            </w:r>
            <w:r>
              <w:rPr>
                <w:sz w:val="24"/>
                <w:szCs w:val="24"/>
              </w:rPr>
              <w:t xml:space="preserve"> </w:t>
            </w:r>
            <w:r>
              <w:rPr>
                <w:sz w:val="24"/>
                <w:szCs w:val="24"/>
              </w:rPr>
              <w:t>±</w:t>
            </w:r>
            <w:r>
              <w:rPr>
                <w:sz w:val="24"/>
                <w:szCs w:val="24"/>
              </w:rPr>
              <w:t xml:space="preserve"> </w:t>
            </w:r>
            <w:r>
              <w:rPr>
                <w:sz w:val="24"/>
                <w:szCs w:val="24"/>
              </w:rPr>
              <w:t>9.1</w:t>
            </w:r>
          </w:p>
        </w:tc>
        <w:tc>
          <w:tcPr>
            <w:tcW w:w="992" w:type="dxa"/>
            <w:vAlign w:val="center"/>
          </w:tcPr>
          <w:p w14:paraId="2AA0AF89" w14:textId="0658F56E" w:rsidR="00EC2277" w:rsidRDefault="00EC2277" w:rsidP="00094DD9">
            <w:pPr>
              <w:keepNext/>
              <w:keepLines/>
              <w:snapToGrid w:val="0"/>
              <w:jc w:val="center"/>
              <w:rPr>
                <w:i/>
                <w:iCs/>
                <w:sz w:val="24"/>
                <w:szCs w:val="24"/>
              </w:rPr>
            </w:pPr>
            <w:r>
              <w:rPr>
                <w:sz w:val="24"/>
                <w:szCs w:val="24"/>
              </w:rPr>
              <w:t>4.147</w:t>
            </w:r>
          </w:p>
        </w:tc>
        <w:tc>
          <w:tcPr>
            <w:tcW w:w="986" w:type="dxa"/>
            <w:vAlign w:val="center"/>
          </w:tcPr>
          <w:p w14:paraId="717AEB8A" w14:textId="35733484" w:rsidR="00EC2277" w:rsidRDefault="00EC2277" w:rsidP="00094DD9">
            <w:pPr>
              <w:keepNext/>
              <w:keepLines/>
              <w:snapToGrid w:val="0"/>
              <w:jc w:val="center"/>
              <w:rPr>
                <w:i/>
                <w:iCs/>
                <w:sz w:val="24"/>
                <w:szCs w:val="24"/>
              </w:rPr>
            </w:pPr>
            <w:r>
              <w:rPr>
                <w:sz w:val="24"/>
                <w:szCs w:val="24"/>
              </w:rPr>
              <w:t>&lt;</w:t>
            </w:r>
            <w:r>
              <w:rPr>
                <w:sz w:val="24"/>
                <w:szCs w:val="24"/>
              </w:rPr>
              <w:t xml:space="preserve"> </w:t>
            </w:r>
            <w:r>
              <w:rPr>
                <w:sz w:val="24"/>
                <w:szCs w:val="24"/>
              </w:rPr>
              <w:t>0.001</w:t>
            </w:r>
          </w:p>
        </w:tc>
      </w:tr>
      <w:tr w:rsidR="00EC2277" w14:paraId="20C6534E" w14:textId="77777777" w:rsidTr="00094DD9">
        <w:tc>
          <w:tcPr>
            <w:tcW w:w="4106" w:type="dxa"/>
            <w:vAlign w:val="center"/>
          </w:tcPr>
          <w:p w14:paraId="2311BAAA" w14:textId="3DBB86BD" w:rsidR="00EC2277" w:rsidRDefault="00EC2277" w:rsidP="00094DD9">
            <w:pPr>
              <w:keepNext/>
              <w:keepLines/>
              <w:snapToGrid w:val="0"/>
              <w:jc w:val="left"/>
              <w:rPr>
                <w:i/>
                <w:iCs/>
                <w:sz w:val="24"/>
                <w:szCs w:val="24"/>
              </w:rPr>
            </w:pPr>
            <w:r>
              <w:rPr>
                <w:sz w:val="24"/>
                <w:szCs w:val="24"/>
              </w:rPr>
              <w:t>10 s sustained contraction amplitude (μV)</w:t>
            </w:r>
          </w:p>
        </w:tc>
        <w:tc>
          <w:tcPr>
            <w:tcW w:w="1701" w:type="dxa"/>
            <w:vAlign w:val="center"/>
          </w:tcPr>
          <w:p w14:paraId="7A32D9FB" w14:textId="39FD08CC" w:rsidR="00EC2277" w:rsidRDefault="00EC2277" w:rsidP="00094DD9">
            <w:pPr>
              <w:keepNext/>
              <w:keepLines/>
              <w:snapToGrid w:val="0"/>
              <w:jc w:val="center"/>
              <w:rPr>
                <w:i/>
                <w:iCs/>
                <w:sz w:val="24"/>
                <w:szCs w:val="24"/>
              </w:rPr>
            </w:pPr>
            <w:r>
              <w:rPr>
                <w:sz w:val="24"/>
                <w:szCs w:val="24"/>
              </w:rPr>
              <w:t>36.8</w:t>
            </w:r>
            <w:r>
              <w:rPr>
                <w:sz w:val="24"/>
                <w:szCs w:val="24"/>
              </w:rPr>
              <w:t xml:space="preserve"> </w:t>
            </w:r>
            <w:r>
              <w:rPr>
                <w:sz w:val="24"/>
                <w:szCs w:val="24"/>
              </w:rPr>
              <w:t>±</w:t>
            </w:r>
            <w:r>
              <w:rPr>
                <w:sz w:val="24"/>
                <w:szCs w:val="24"/>
              </w:rPr>
              <w:t xml:space="preserve"> </w:t>
            </w:r>
            <w:r>
              <w:rPr>
                <w:sz w:val="24"/>
                <w:szCs w:val="24"/>
              </w:rPr>
              <w:t>8.4</w:t>
            </w:r>
          </w:p>
        </w:tc>
        <w:tc>
          <w:tcPr>
            <w:tcW w:w="1843" w:type="dxa"/>
            <w:vAlign w:val="center"/>
          </w:tcPr>
          <w:p w14:paraId="0BE1644E" w14:textId="1D76F5EE" w:rsidR="00EC2277" w:rsidRDefault="00EC2277" w:rsidP="00094DD9">
            <w:pPr>
              <w:keepNext/>
              <w:keepLines/>
              <w:snapToGrid w:val="0"/>
              <w:jc w:val="center"/>
              <w:rPr>
                <w:i/>
                <w:iCs/>
                <w:sz w:val="24"/>
                <w:szCs w:val="24"/>
              </w:rPr>
            </w:pPr>
            <w:r>
              <w:rPr>
                <w:sz w:val="24"/>
                <w:szCs w:val="24"/>
              </w:rPr>
              <w:t>29.5</w:t>
            </w:r>
            <w:r>
              <w:rPr>
                <w:sz w:val="24"/>
                <w:szCs w:val="24"/>
              </w:rPr>
              <w:t xml:space="preserve"> </w:t>
            </w:r>
            <w:r>
              <w:rPr>
                <w:sz w:val="24"/>
                <w:szCs w:val="24"/>
              </w:rPr>
              <w:t>±</w:t>
            </w:r>
            <w:r>
              <w:rPr>
                <w:sz w:val="24"/>
                <w:szCs w:val="24"/>
              </w:rPr>
              <w:t xml:space="preserve"> </w:t>
            </w:r>
            <w:r>
              <w:rPr>
                <w:sz w:val="24"/>
                <w:szCs w:val="24"/>
              </w:rPr>
              <w:t>7.6</w:t>
            </w:r>
          </w:p>
        </w:tc>
        <w:tc>
          <w:tcPr>
            <w:tcW w:w="992" w:type="dxa"/>
            <w:vAlign w:val="center"/>
          </w:tcPr>
          <w:p w14:paraId="60D1AA06" w14:textId="1B1C7878" w:rsidR="00EC2277" w:rsidRDefault="00EC2277" w:rsidP="00094DD9">
            <w:pPr>
              <w:keepNext/>
              <w:keepLines/>
              <w:snapToGrid w:val="0"/>
              <w:jc w:val="center"/>
              <w:rPr>
                <w:i/>
                <w:iCs/>
                <w:sz w:val="24"/>
                <w:szCs w:val="24"/>
              </w:rPr>
            </w:pPr>
            <w:r>
              <w:rPr>
                <w:sz w:val="24"/>
                <w:szCs w:val="24"/>
              </w:rPr>
              <w:t>3.979</w:t>
            </w:r>
          </w:p>
        </w:tc>
        <w:tc>
          <w:tcPr>
            <w:tcW w:w="986" w:type="dxa"/>
            <w:vAlign w:val="center"/>
          </w:tcPr>
          <w:p w14:paraId="66749007" w14:textId="62734B77" w:rsidR="00EC2277" w:rsidRDefault="00EC2277" w:rsidP="00094DD9">
            <w:pPr>
              <w:keepNext/>
              <w:keepLines/>
              <w:snapToGrid w:val="0"/>
              <w:jc w:val="center"/>
              <w:rPr>
                <w:i/>
                <w:iCs/>
                <w:sz w:val="24"/>
                <w:szCs w:val="24"/>
              </w:rPr>
            </w:pPr>
            <w:r>
              <w:rPr>
                <w:sz w:val="24"/>
                <w:szCs w:val="24"/>
              </w:rPr>
              <w:t>&lt;</w:t>
            </w:r>
            <w:r>
              <w:rPr>
                <w:sz w:val="24"/>
                <w:szCs w:val="24"/>
              </w:rPr>
              <w:t xml:space="preserve"> </w:t>
            </w:r>
            <w:r>
              <w:rPr>
                <w:sz w:val="24"/>
                <w:szCs w:val="24"/>
              </w:rPr>
              <w:t>0.001</w:t>
            </w:r>
          </w:p>
        </w:tc>
      </w:tr>
      <w:tr w:rsidR="00EC2277" w14:paraId="5CDE03A3" w14:textId="77777777" w:rsidTr="00094DD9">
        <w:tc>
          <w:tcPr>
            <w:tcW w:w="4106" w:type="dxa"/>
            <w:tcBorders>
              <w:bottom w:val="single" w:sz="4" w:space="0" w:color="auto"/>
            </w:tcBorders>
            <w:vAlign w:val="center"/>
          </w:tcPr>
          <w:p w14:paraId="7376AD5A" w14:textId="5C96A761" w:rsidR="00EC2277" w:rsidRDefault="00EC2277" w:rsidP="00094DD9">
            <w:pPr>
              <w:keepNext/>
              <w:keepLines/>
              <w:snapToGrid w:val="0"/>
              <w:jc w:val="left"/>
              <w:rPr>
                <w:i/>
                <w:iCs/>
                <w:sz w:val="24"/>
                <w:szCs w:val="24"/>
              </w:rPr>
            </w:pPr>
            <w:r>
              <w:rPr>
                <w:sz w:val="24"/>
                <w:szCs w:val="24"/>
              </w:rPr>
              <w:t>60 s endurance contraction amplitude (μV)</w:t>
            </w:r>
          </w:p>
        </w:tc>
        <w:tc>
          <w:tcPr>
            <w:tcW w:w="1701" w:type="dxa"/>
            <w:tcBorders>
              <w:bottom w:val="single" w:sz="4" w:space="0" w:color="auto"/>
            </w:tcBorders>
            <w:vAlign w:val="center"/>
          </w:tcPr>
          <w:p w14:paraId="2AE5439E" w14:textId="7A95A621" w:rsidR="00EC2277" w:rsidRDefault="00EC2277" w:rsidP="00094DD9">
            <w:pPr>
              <w:keepNext/>
              <w:keepLines/>
              <w:snapToGrid w:val="0"/>
              <w:jc w:val="center"/>
              <w:rPr>
                <w:i/>
                <w:iCs/>
                <w:sz w:val="24"/>
                <w:szCs w:val="24"/>
              </w:rPr>
            </w:pPr>
            <w:r>
              <w:rPr>
                <w:sz w:val="24"/>
                <w:szCs w:val="24"/>
              </w:rPr>
              <w:t>29.4</w:t>
            </w:r>
            <w:r>
              <w:rPr>
                <w:sz w:val="24"/>
                <w:szCs w:val="24"/>
              </w:rPr>
              <w:t xml:space="preserve"> </w:t>
            </w:r>
            <w:r>
              <w:rPr>
                <w:sz w:val="24"/>
                <w:szCs w:val="24"/>
              </w:rPr>
              <w:t>±</w:t>
            </w:r>
            <w:r>
              <w:rPr>
                <w:sz w:val="24"/>
                <w:szCs w:val="24"/>
              </w:rPr>
              <w:t xml:space="preserve"> </w:t>
            </w:r>
            <w:r>
              <w:rPr>
                <w:sz w:val="24"/>
                <w:szCs w:val="24"/>
              </w:rPr>
              <w:t>7.1</w:t>
            </w:r>
          </w:p>
        </w:tc>
        <w:tc>
          <w:tcPr>
            <w:tcW w:w="1843" w:type="dxa"/>
            <w:tcBorders>
              <w:bottom w:val="single" w:sz="4" w:space="0" w:color="auto"/>
            </w:tcBorders>
            <w:vAlign w:val="center"/>
          </w:tcPr>
          <w:p w14:paraId="385FC9DC" w14:textId="5748FBA9" w:rsidR="00EC2277" w:rsidRDefault="00EC2277" w:rsidP="00094DD9">
            <w:pPr>
              <w:keepNext/>
              <w:keepLines/>
              <w:snapToGrid w:val="0"/>
              <w:jc w:val="center"/>
              <w:rPr>
                <w:i/>
                <w:iCs/>
                <w:sz w:val="24"/>
                <w:szCs w:val="24"/>
              </w:rPr>
            </w:pPr>
            <w:r>
              <w:rPr>
                <w:sz w:val="24"/>
                <w:szCs w:val="24"/>
              </w:rPr>
              <w:t>23.1</w:t>
            </w:r>
            <w:r>
              <w:rPr>
                <w:sz w:val="24"/>
                <w:szCs w:val="24"/>
              </w:rPr>
              <w:t xml:space="preserve"> </w:t>
            </w:r>
            <w:r>
              <w:rPr>
                <w:sz w:val="24"/>
                <w:szCs w:val="24"/>
              </w:rPr>
              <w:t>±</w:t>
            </w:r>
            <w:r>
              <w:rPr>
                <w:sz w:val="24"/>
                <w:szCs w:val="24"/>
              </w:rPr>
              <w:t xml:space="preserve"> </w:t>
            </w:r>
            <w:r>
              <w:rPr>
                <w:sz w:val="24"/>
                <w:szCs w:val="24"/>
              </w:rPr>
              <w:t>6.5</w:t>
            </w:r>
          </w:p>
        </w:tc>
        <w:tc>
          <w:tcPr>
            <w:tcW w:w="992" w:type="dxa"/>
            <w:tcBorders>
              <w:bottom w:val="single" w:sz="4" w:space="0" w:color="auto"/>
            </w:tcBorders>
            <w:vAlign w:val="center"/>
          </w:tcPr>
          <w:p w14:paraId="4DCFBF02" w14:textId="430FB00B" w:rsidR="00EC2277" w:rsidRDefault="00EC2277" w:rsidP="00094DD9">
            <w:pPr>
              <w:keepNext/>
              <w:keepLines/>
              <w:snapToGrid w:val="0"/>
              <w:jc w:val="center"/>
              <w:rPr>
                <w:i/>
                <w:iCs/>
                <w:sz w:val="24"/>
                <w:szCs w:val="24"/>
              </w:rPr>
            </w:pPr>
            <w:r>
              <w:rPr>
                <w:sz w:val="24"/>
                <w:szCs w:val="24"/>
              </w:rPr>
              <w:t>4.035</w:t>
            </w:r>
          </w:p>
        </w:tc>
        <w:tc>
          <w:tcPr>
            <w:tcW w:w="986" w:type="dxa"/>
            <w:tcBorders>
              <w:bottom w:val="single" w:sz="4" w:space="0" w:color="auto"/>
            </w:tcBorders>
            <w:vAlign w:val="center"/>
          </w:tcPr>
          <w:p w14:paraId="35DF9182" w14:textId="18A98090" w:rsidR="00EC2277" w:rsidRDefault="00EC2277" w:rsidP="00094DD9">
            <w:pPr>
              <w:keepNext/>
              <w:keepLines/>
              <w:snapToGrid w:val="0"/>
              <w:jc w:val="center"/>
              <w:rPr>
                <w:i/>
                <w:iCs/>
                <w:sz w:val="24"/>
                <w:szCs w:val="24"/>
              </w:rPr>
            </w:pPr>
            <w:r>
              <w:rPr>
                <w:sz w:val="24"/>
                <w:szCs w:val="24"/>
              </w:rPr>
              <w:t>&lt;</w:t>
            </w:r>
            <w:r>
              <w:rPr>
                <w:sz w:val="24"/>
                <w:szCs w:val="24"/>
              </w:rPr>
              <w:t xml:space="preserve"> </w:t>
            </w:r>
            <w:r>
              <w:rPr>
                <w:sz w:val="24"/>
                <w:szCs w:val="24"/>
              </w:rPr>
              <w:t>0.001</w:t>
            </w:r>
          </w:p>
        </w:tc>
      </w:tr>
    </w:tbl>
    <w:p w14:paraId="2E344514" w14:textId="77777777" w:rsidR="003046C5" w:rsidRDefault="003046C5" w:rsidP="00094DD9">
      <w:pPr>
        <w:pStyle w:val="Heading2"/>
        <w:keepNext/>
        <w:snapToGrid w:val="0"/>
        <w:spacing w:before="0" w:after="0"/>
        <w:jc w:val="both"/>
        <w:rPr>
          <w:i/>
          <w:iCs/>
          <w:sz w:val="24"/>
          <w:szCs w:val="24"/>
        </w:rPr>
      </w:pPr>
    </w:p>
    <w:p w14:paraId="2E344515" w14:textId="77777777" w:rsidR="003046C5" w:rsidRDefault="00BA54B3" w:rsidP="00094DD9">
      <w:pPr>
        <w:pStyle w:val="Heading2"/>
        <w:keepNext/>
        <w:snapToGrid w:val="0"/>
        <w:spacing w:before="0" w:after="0"/>
        <w:jc w:val="both"/>
        <w:rPr>
          <w:sz w:val="24"/>
          <w:szCs w:val="24"/>
        </w:rPr>
      </w:pPr>
      <w:r>
        <w:rPr>
          <w:rFonts w:hint="eastAsia"/>
          <w:sz w:val="24"/>
          <w:szCs w:val="24"/>
          <w:lang w:val="en-US"/>
        </w:rPr>
        <w:t>3</w:t>
      </w:r>
      <w:r>
        <w:rPr>
          <w:sz w:val="24"/>
          <w:szCs w:val="24"/>
        </w:rPr>
        <w:t>.3</w:t>
      </w:r>
      <w:r>
        <w:rPr>
          <w:rFonts w:hint="eastAsia"/>
          <w:sz w:val="24"/>
          <w:szCs w:val="24"/>
          <w:lang w:val="en-US"/>
        </w:rPr>
        <w:t>.</w:t>
      </w:r>
      <w:r>
        <w:rPr>
          <w:sz w:val="24"/>
          <w:szCs w:val="24"/>
        </w:rPr>
        <w:t xml:space="preserve"> Comparison of NHP scores before and after treatment in the two groups</w:t>
      </w:r>
    </w:p>
    <w:p w14:paraId="2E344516" w14:textId="1E882659" w:rsidR="003046C5" w:rsidRDefault="00BA54B3" w:rsidP="00094DD9">
      <w:pPr>
        <w:snapToGrid w:val="0"/>
        <w:rPr>
          <w:sz w:val="24"/>
          <w:szCs w:val="24"/>
        </w:rPr>
      </w:pPr>
      <w:r>
        <w:rPr>
          <w:sz w:val="24"/>
          <w:szCs w:val="24"/>
        </w:rPr>
        <w:t>Before treatment, there were no statistically significant differences in the NHP scores of the two groups (</w:t>
      </w:r>
      <w:r w:rsidR="00EC2277">
        <w:rPr>
          <w:i/>
          <w:iCs/>
          <w:sz w:val="24"/>
          <w:szCs w:val="24"/>
        </w:rPr>
        <w:t>p</w:t>
      </w:r>
      <w:r w:rsidR="00EC2277">
        <w:rPr>
          <w:rFonts w:hint="eastAsia"/>
          <w:i/>
          <w:iCs/>
          <w:sz w:val="24"/>
          <w:szCs w:val="24"/>
          <w:lang w:val="en-US"/>
        </w:rPr>
        <w:t xml:space="preserve"> </w:t>
      </w:r>
      <w:r>
        <w:rPr>
          <w:sz w:val="24"/>
          <w:szCs w:val="24"/>
        </w:rPr>
        <w:t>&gt;</w:t>
      </w:r>
      <w:r>
        <w:rPr>
          <w:rFonts w:hint="eastAsia"/>
          <w:sz w:val="24"/>
          <w:szCs w:val="24"/>
          <w:lang w:val="en-US"/>
        </w:rPr>
        <w:t xml:space="preserve"> </w:t>
      </w:r>
      <w:r>
        <w:rPr>
          <w:sz w:val="24"/>
          <w:szCs w:val="24"/>
        </w:rPr>
        <w:t>0.05). At the end of treatment, the scores of the observation group in all six dimensions—physical activity, energy, pain, sleep, social connection, and emotional response—were lower than those in the control group, indicating a more significant improvement in health-related quality of life (</w:t>
      </w:r>
      <w:r w:rsidR="00EC2277">
        <w:rPr>
          <w:i/>
          <w:iCs/>
          <w:sz w:val="24"/>
          <w:szCs w:val="24"/>
        </w:rPr>
        <w:t>p</w:t>
      </w:r>
      <w:r w:rsidR="00EC2277">
        <w:rPr>
          <w:rFonts w:hint="eastAsia"/>
          <w:i/>
          <w:iCs/>
          <w:sz w:val="24"/>
          <w:szCs w:val="24"/>
          <w:lang w:val="en-US"/>
        </w:rPr>
        <w:t xml:space="preserve"> </w:t>
      </w:r>
      <w:r>
        <w:rPr>
          <w:sz w:val="24"/>
          <w:szCs w:val="24"/>
        </w:rPr>
        <w:t>&lt;</w:t>
      </w:r>
      <w:r>
        <w:rPr>
          <w:rFonts w:hint="eastAsia"/>
          <w:sz w:val="24"/>
          <w:szCs w:val="24"/>
          <w:lang w:val="en-US"/>
        </w:rPr>
        <w:t xml:space="preserve"> </w:t>
      </w:r>
      <w:r>
        <w:rPr>
          <w:sz w:val="24"/>
          <w:szCs w:val="24"/>
        </w:rPr>
        <w:t xml:space="preserve">0.05). See </w:t>
      </w:r>
      <w:r>
        <w:rPr>
          <w:b/>
          <w:bCs/>
          <w:sz w:val="24"/>
          <w:szCs w:val="24"/>
        </w:rPr>
        <w:t>Table 4</w:t>
      </w:r>
      <w:r>
        <w:rPr>
          <w:sz w:val="24"/>
          <w:szCs w:val="24"/>
        </w:rPr>
        <w:t>.</w:t>
      </w:r>
    </w:p>
    <w:p w14:paraId="2E344517" w14:textId="77777777" w:rsidR="003046C5" w:rsidRDefault="003046C5" w:rsidP="00094DD9">
      <w:pPr>
        <w:snapToGrid w:val="0"/>
        <w:ind w:firstLine="420"/>
        <w:rPr>
          <w:sz w:val="24"/>
          <w:szCs w:val="24"/>
        </w:rPr>
      </w:pPr>
    </w:p>
    <w:p w14:paraId="2E344518" w14:textId="77777777" w:rsidR="003046C5" w:rsidRDefault="00BA54B3" w:rsidP="00094DD9">
      <w:pPr>
        <w:keepNext/>
        <w:keepLines/>
        <w:snapToGrid w:val="0"/>
        <w:jc w:val="center"/>
        <w:rPr>
          <w:sz w:val="24"/>
          <w:szCs w:val="24"/>
        </w:rPr>
      </w:pPr>
      <w:r>
        <w:rPr>
          <w:b/>
          <w:bCs/>
          <w:sz w:val="24"/>
          <w:szCs w:val="24"/>
        </w:rPr>
        <w:t>Table 4</w:t>
      </w:r>
      <w:r w:rsidRPr="00094DD9">
        <w:rPr>
          <w:rFonts w:hint="eastAsia"/>
          <w:b/>
          <w:bCs/>
          <w:sz w:val="24"/>
          <w:szCs w:val="24"/>
          <w:lang w:val="en-US"/>
        </w:rPr>
        <w:t>.</w:t>
      </w:r>
      <w:r>
        <w:rPr>
          <w:sz w:val="24"/>
          <w:szCs w:val="24"/>
        </w:rPr>
        <w:t xml:space="preserve"> Comparison of NHP scores between the two groups at the end of treatment (scores, </w:t>
      </w:r>
      <w:r>
        <w:rPr>
          <w:color w:val="0000FF"/>
          <w:position w:val="-6"/>
          <w:sz w:val="24"/>
          <w:szCs w:val="24"/>
        </w:rPr>
        <w:object w:dxaOrig="220" w:dyaOrig="270" w14:anchorId="2E34459B">
          <v:shape id="_x0000_i1031" type="#_x0000_t75" style="width:10.8pt;height:13.8pt" o:ole="">
            <v:imagedata r:id="rId4" o:title=""/>
          </v:shape>
          <o:OLEObject Type="Embed" ProgID="Equation.DSMT4" ShapeID="_x0000_i1031" DrawAspect="Content" ObjectID="_1852189409" r:id="rId11"/>
        </w:object>
      </w:r>
      <w:r>
        <w:rPr>
          <w:sz w:val="24"/>
          <w:szCs w:val="24"/>
        </w:rPr>
        <w:t>± s</w:t>
      </w:r>
      <w:r>
        <w:rPr>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1701"/>
        <w:gridCol w:w="1843"/>
        <w:gridCol w:w="992"/>
        <w:gridCol w:w="986"/>
      </w:tblGrid>
      <w:tr w:rsidR="00EC2277" w14:paraId="4AFEE614" w14:textId="77777777" w:rsidTr="00AE61EE">
        <w:tc>
          <w:tcPr>
            <w:tcW w:w="4106" w:type="dxa"/>
            <w:tcBorders>
              <w:top w:val="single" w:sz="4" w:space="0" w:color="auto"/>
              <w:bottom w:val="single" w:sz="4" w:space="0" w:color="auto"/>
            </w:tcBorders>
            <w:vAlign w:val="center"/>
          </w:tcPr>
          <w:p w14:paraId="350255FD" w14:textId="00407B91" w:rsidR="00EC2277" w:rsidRDefault="00EC2277" w:rsidP="00EC2277">
            <w:pPr>
              <w:keepNext/>
              <w:keepLines/>
              <w:snapToGrid w:val="0"/>
              <w:jc w:val="left"/>
              <w:rPr>
                <w:i/>
                <w:iCs/>
                <w:sz w:val="24"/>
                <w:szCs w:val="24"/>
              </w:rPr>
            </w:pPr>
            <w:r>
              <w:rPr>
                <w:b/>
                <w:bCs/>
                <w:sz w:val="24"/>
                <w:szCs w:val="24"/>
              </w:rPr>
              <w:t>Dimension</w:t>
            </w:r>
          </w:p>
        </w:tc>
        <w:tc>
          <w:tcPr>
            <w:tcW w:w="1701" w:type="dxa"/>
            <w:tcBorders>
              <w:top w:val="single" w:sz="4" w:space="0" w:color="auto"/>
              <w:bottom w:val="single" w:sz="4" w:space="0" w:color="auto"/>
            </w:tcBorders>
            <w:vAlign w:val="center"/>
          </w:tcPr>
          <w:p w14:paraId="35A996AA" w14:textId="36449712" w:rsidR="00EC2277" w:rsidRDefault="00EC2277" w:rsidP="00EC2277">
            <w:pPr>
              <w:keepNext/>
              <w:keepLines/>
              <w:snapToGrid w:val="0"/>
              <w:jc w:val="center"/>
              <w:rPr>
                <w:i/>
                <w:iCs/>
                <w:sz w:val="24"/>
                <w:szCs w:val="24"/>
              </w:rPr>
            </w:pPr>
            <w:r>
              <w:rPr>
                <w:b/>
                <w:bCs/>
                <w:sz w:val="24"/>
                <w:szCs w:val="24"/>
              </w:rPr>
              <w:t>Observation group (n</w:t>
            </w:r>
            <w:r>
              <w:rPr>
                <w:b/>
                <w:bCs/>
                <w:sz w:val="24"/>
                <w:szCs w:val="24"/>
              </w:rPr>
              <w:t xml:space="preserve"> </w:t>
            </w:r>
            <w:r>
              <w:rPr>
                <w:b/>
                <w:bCs/>
                <w:sz w:val="24"/>
                <w:szCs w:val="24"/>
              </w:rPr>
              <w:t>=</w:t>
            </w:r>
            <w:r>
              <w:rPr>
                <w:b/>
                <w:bCs/>
                <w:sz w:val="24"/>
                <w:szCs w:val="24"/>
              </w:rPr>
              <w:t xml:space="preserve"> </w:t>
            </w:r>
            <w:r>
              <w:rPr>
                <w:b/>
                <w:bCs/>
                <w:sz w:val="24"/>
                <w:szCs w:val="24"/>
              </w:rPr>
              <w:t>39)</w:t>
            </w:r>
          </w:p>
        </w:tc>
        <w:tc>
          <w:tcPr>
            <w:tcW w:w="1843" w:type="dxa"/>
            <w:tcBorders>
              <w:top w:val="single" w:sz="4" w:space="0" w:color="auto"/>
              <w:bottom w:val="single" w:sz="4" w:space="0" w:color="auto"/>
            </w:tcBorders>
            <w:vAlign w:val="center"/>
          </w:tcPr>
          <w:p w14:paraId="4605C3BC" w14:textId="2678510B" w:rsidR="00EC2277" w:rsidRDefault="00EC2277" w:rsidP="00EC2277">
            <w:pPr>
              <w:keepNext/>
              <w:keepLines/>
              <w:snapToGrid w:val="0"/>
              <w:jc w:val="center"/>
              <w:rPr>
                <w:i/>
                <w:iCs/>
                <w:sz w:val="24"/>
                <w:szCs w:val="24"/>
              </w:rPr>
            </w:pPr>
            <w:r>
              <w:rPr>
                <w:b/>
                <w:bCs/>
                <w:sz w:val="24"/>
                <w:szCs w:val="24"/>
              </w:rPr>
              <w:t>Control group (n</w:t>
            </w:r>
            <w:r>
              <w:rPr>
                <w:b/>
                <w:bCs/>
                <w:sz w:val="24"/>
                <w:szCs w:val="24"/>
              </w:rPr>
              <w:t xml:space="preserve"> </w:t>
            </w:r>
            <w:r>
              <w:rPr>
                <w:b/>
                <w:bCs/>
                <w:sz w:val="24"/>
                <w:szCs w:val="24"/>
              </w:rPr>
              <w:t>=</w:t>
            </w:r>
            <w:r>
              <w:rPr>
                <w:b/>
                <w:bCs/>
                <w:sz w:val="24"/>
                <w:szCs w:val="24"/>
              </w:rPr>
              <w:t xml:space="preserve"> </w:t>
            </w:r>
            <w:r>
              <w:rPr>
                <w:b/>
                <w:bCs/>
                <w:sz w:val="24"/>
                <w:szCs w:val="24"/>
              </w:rPr>
              <w:t>38)</w:t>
            </w:r>
          </w:p>
        </w:tc>
        <w:tc>
          <w:tcPr>
            <w:tcW w:w="992" w:type="dxa"/>
            <w:tcBorders>
              <w:top w:val="single" w:sz="4" w:space="0" w:color="auto"/>
              <w:bottom w:val="single" w:sz="4" w:space="0" w:color="auto"/>
            </w:tcBorders>
            <w:vAlign w:val="center"/>
          </w:tcPr>
          <w:p w14:paraId="6632E42D" w14:textId="784299C8" w:rsidR="00EC2277" w:rsidRDefault="00EC2277" w:rsidP="00EC2277">
            <w:pPr>
              <w:keepNext/>
              <w:keepLines/>
              <w:snapToGrid w:val="0"/>
              <w:jc w:val="center"/>
              <w:rPr>
                <w:i/>
                <w:iCs/>
                <w:sz w:val="24"/>
                <w:szCs w:val="24"/>
              </w:rPr>
            </w:pPr>
            <w:r w:rsidRPr="00094DD9">
              <w:rPr>
                <w:b/>
                <w:bCs/>
                <w:i/>
                <w:iCs/>
                <w:sz w:val="24"/>
                <w:szCs w:val="24"/>
              </w:rPr>
              <w:t>t</w:t>
            </w:r>
            <w:r>
              <w:rPr>
                <w:b/>
                <w:bCs/>
                <w:sz w:val="24"/>
                <w:szCs w:val="24"/>
              </w:rPr>
              <w:t>-value</w:t>
            </w:r>
          </w:p>
        </w:tc>
        <w:tc>
          <w:tcPr>
            <w:tcW w:w="986" w:type="dxa"/>
            <w:tcBorders>
              <w:top w:val="single" w:sz="4" w:space="0" w:color="auto"/>
              <w:bottom w:val="single" w:sz="4" w:space="0" w:color="auto"/>
            </w:tcBorders>
            <w:vAlign w:val="center"/>
          </w:tcPr>
          <w:p w14:paraId="49688D3B" w14:textId="6A20EDB1" w:rsidR="00EC2277" w:rsidRDefault="00EC2277" w:rsidP="00EC2277">
            <w:pPr>
              <w:keepNext/>
              <w:keepLines/>
              <w:snapToGrid w:val="0"/>
              <w:jc w:val="center"/>
              <w:rPr>
                <w:i/>
                <w:iCs/>
                <w:sz w:val="24"/>
                <w:szCs w:val="24"/>
              </w:rPr>
            </w:pPr>
            <w:r w:rsidRPr="00094DD9">
              <w:rPr>
                <w:b/>
                <w:bCs/>
                <w:i/>
                <w:iCs/>
                <w:sz w:val="24"/>
                <w:szCs w:val="24"/>
              </w:rPr>
              <w:t>p</w:t>
            </w:r>
            <w:r>
              <w:rPr>
                <w:b/>
                <w:bCs/>
                <w:sz w:val="24"/>
                <w:szCs w:val="24"/>
              </w:rPr>
              <w:t>-value</w:t>
            </w:r>
          </w:p>
        </w:tc>
      </w:tr>
      <w:tr w:rsidR="00EC2277" w14:paraId="2EE4C095" w14:textId="77777777" w:rsidTr="00AE61EE">
        <w:tc>
          <w:tcPr>
            <w:tcW w:w="4106" w:type="dxa"/>
            <w:tcBorders>
              <w:top w:val="single" w:sz="4" w:space="0" w:color="auto"/>
            </w:tcBorders>
            <w:vAlign w:val="center"/>
          </w:tcPr>
          <w:p w14:paraId="2FCD5858" w14:textId="4BE26D28" w:rsidR="00EC2277" w:rsidRDefault="00EC2277" w:rsidP="00EC2277">
            <w:pPr>
              <w:keepNext/>
              <w:keepLines/>
              <w:snapToGrid w:val="0"/>
              <w:jc w:val="left"/>
              <w:rPr>
                <w:i/>
                <w:iCs/>
                <w:sz w:val="24"/>
                <w:szCs w:val="24"/>
              </w:rPr>
            </w:pPr>
            <w:r>
              <w:rPr>
                <w:sz w:val="24"/>
                <w:szCs w:val="24"/>
              </w:rPr>
              <w:t>Physical activity</w:t>
            </w:r>
          </w:p>
        </w:tc>
        <w:tc>
          <w:tcPr>
            <w:tcW w:w="1701" w:type="dxa"/>
            <w:tcBorders>
              <w:top w:val="single" w:sz="4" w:space="0" w:color="auto"/>
            </w:tcBorders>
            <w:vAlign w:val="center"/>
          </w:tcPr>
          <w:p w14:paraId="73C301F4" w14:textId="6BE1D292" w:rsidR="00EC2277" w:rsidRDefault="00EC2277" w:rsidP="00EC2277">
            <w:pPr>
              <w:keepNext/>
              <w:keepLines/>
              <w:snapToGrid w:val="0"/>
              <w:jc w:val="center"/>
              <w:rPr>
                <w:i/>
                <w:iCs/>
                <w:sz w:val="24"/>
                <w:szCs w:val="24"/>
              </w:rPr>
            </w:pPr>
            <w:r>
              <w:rPr>
                <w:sz w:val="24"/>
                <w:szCs w:val="24"/>
              </w:rPr>
              <w:t>12.4</w:t>
            </w:r>
            <w:r>
              <w:rPr>
                <w:sz w:val="24"/>
                <w:szCs w:val="24"/>
              </w:rPr>
              <w:t xml:space="preserve"> </w:t>
            </w:r>
            <w:r>
              <w:rPr>
                <w:sz w:val="24"/>
                <w:szCs w:val="24"/>
              </w:rPr>
              <w:t>±</w:t>
            </w:r>
            <w:r>
              <w:rPr>
                <w:sz w:val="24"/>
                <w:szCs w:val="24"/>
              </w:rPr>
              <w:t xml:space="preserve"> </w:t>
            </w:r>
            <w:r>
              <w:rPr>
                <w:sz w:val="24"/>
                <w:szCs w:val="24"/>
              </w:rPr>
              <w:t>6.8</w:t>
            </w:r>
          </w:p>
        </w:tc>
        <w:tc>
          <w:tcPr>
            <w:tcW w:w="1843" w:type="dxa"/>
            <w:tcBorders>
              <w:top w:val="single" w:sz="4" w:space="0" w:color="auto"/>
            </w:tcBorders>
            <w:vAlign w:val="center"/>
          </w:tcPr>
          <w:p w14:paraId="1B2EF39D" w14:textId="5725661F" w:rsidR="00EC2277" w:rsidRDefault="00EC2277" w:rsidP="00EC2277">
            <w:pPr>
              <w:keepNext/>
              <w:keepLines/>
              <w:snapToGrid w:val="0"/>
              <w:jc w:val="center"/>
              <w:rPr>
                <w:i/>
                <w:iCs/>
                <w:sz w:val="24"/>
                <w:szCs w:val="24"/>
              </w:rPr>
            </w:pPr>
            <w:r>
              <w:rPr>
                <w:sz w:val="24"/>
                <w:szCs w:val="24"/>
              </w:rPr>
              <w:t>18.7</w:t>
            </w:r>
            <w:r>
              <w:rPr>
                <w:sz w:val="24"/>
                <w:szCs w:val="24"/>
              </w:rPr>
              <w:t xml:space="preserve"> </w:t>
            </w:r>
            <w:r>
              <w:rPr>
                <w:sz w:val="24"/>
                <w:szCs w:val="24"/>
              </w:rPr>
              <w:t>±</w:t>
            </w:r>
            <w:r>
              <w:rPr>
                <w:sz w:val="24"/>
                <w:szCs w:val="24"/>
              </w:rPr>
              <w:t xml:space="preserve"> </w:t>
            </w:r>
            <w:r>
              <w:rPr>
                <w:sz w:val="24"/>
                <w:szCs w:val="24"/>
              </w:rPr>
              <w:t>7.5</w:t>
            </w:r>
          </w:p>
        </w:tc>
        <w:tc>
          <w:tcPr>
            <w:tcW w:w="992" w:type="dxa"/>
            <w:tcBorders>
              <w:top w:val="single" w:sz="4" w:space="0" w:color="auto"/>
            </w:tcBorders>
            <w:vAlign w:val="center"/>
          </w:tcPr>
          <w:p w14:paraId="73449F2E" w14:textId="0ACABC61" w:rsidR="00EC2277" w:rsidRDefault="00EC2277" w:rsidP="00EC2277">
            <w:pPr>
              <w:keepNext/>
              <w:keepLines/>
              <w:snapToGrid w:val="0"/>
              <w:jc w:val="center"/>
              <w:rPr>
                <w:i/>
                <w:iCs/>
                <w:sz w:val="24"/>
                <w:szCs w:val="24"/>
              </w:rPr>
            </w:pPr>
            <w:r>
              <w:rPr>
                <w:sz w:val="24"/>
                <w:szCs w:val="24"/>
              </w:rPr>
              <w:t>3.842</w:t>
            </w:r>
          </w:p>
        </w:tc>
        <w:tc>
          <w:tcPr>
            <w:tcW w:w="986" w:type="dxa"/>
            <w:tcBorders>
              <w:top w:val="single" w:sz="4" w:space="0" w:color="auto"/>
            </w:tcBorders>
            <w:vAlign w:val="center"/>
          </w:tcPr>
          <w:p w14:paraId="2A9B9D0D" w14:textId="4EDDF674" w:rsidR="00EC2277" w:rsidRDefault="00EC2277" w:rsidP="00EC2277">
            <w:pPr>
              <w:keepNext/>
              <w:keepLines/>
              <w:snapToGrid w:val="0"/>
              <w:jc w:val="center"/>
              <w:rPr>
                <w:i/>
                <w:iCs/>
                <w:sz w:val="24"/>
                <w:szCs w:val="24"/>
              </w:rPr>
            </w:pPr>
            <w:r>
              <w:rPr>
                <w:sz w:val="24"/>
                <w:szCs w:val="24"/>
              </w:rPr>
              <w:t>&lt;</w:t>
            </w:r>
            <w:r>
              <w:rPr>
                <w:sz w:val="24"/>
                <w:szCs w:val="24"/>
              </w:rPr>
              <w:t xml:space="preserve"> </w:t>
            </w:r>
            <w:r>
              <w:rPr>
                <w:sz w:val="24"/>
                <w:szCs w:val="24"/>
              </w:rPr>
              <w:t>0.001</w:t>
            </w:r>
          </w:p>
        </w:tc>
      </w:tr>
      <w:tr w:rsidR="00EC2277" w14:paraId="42CEB80F" w14:textId="77777777" w:rsidTr="00AE61EE">
        <w:tc>
          <w:tcPr>
            <w:tcW w:w="4106" w:type="dxa"/>
            <w:vAlign w:val="center"/>
          </w:tcPr>
          <w:p w14:paraId="18BCEB33" w14:textId="5951A1D2" w:rsidR="00EC2277" w:rsidRDefault="00EC2277" w:rsidP="00EC2277">
            <w:pPr>
              <w:keepNext/>
              <w:keepLines/>
              <w:snapToGrid w:val="0"/>
              <w:jc w:val="left"/>
              <w:rPr>
                <w:i/>
                <w:iCs/>
                <w:sz w:val="24"/>
                <w:szCs w:val="24"/>
              </w:rPr>
            </w:pPr>
            <w:r>
              <w:rPr>
                <w:sz w:val="24"/>
                <w:szCs w:val="24"/>
              </w:rPr>
              <w:t>energy</w:t>
            </w:r>
          </w:p>
        </w:tc>
        <w:tc>
          <w:tcPr>
            <w:tcW w:w="1701" w:type="dxa"/>
            <w:vAlign w:val="center"/>
          </w:tcPr>
          <w:p w14:paraId="2297B98E" w14:textId="6B1CB12A" w:rsidR="00EC2277" w:rsidRDefault="00EC2277" w:rsidP="00EC2277">
            <w:pPr>
              <w:keepNext/>
              <w:keepLines/>
              <w:snapToGrid w:val="0"/>
              <w:jc w:val="center"/>
              <w:rPr>
                <w:i/>
                <w:iCs/>
                <w:sz w:val="24"/>
                <w:szCs w:val="24"/>
              </w:rPr>
            </w:pPr>
            <w:r>
              <w:rPr>
                <w:sz w:val="24"/>
                <w:szCs w:val="24"/>
              </w:rPr>
              <w:t>18.6</w:t>
            </w:r>
            <w:r>
              <w:rPr>
                <w:sz w:val="24"/>
                <w:szCs w:val="24"/>
              </w:rPr>
              <w:t xml:space="preserve"> </w:t>
            </w:r>
            <w:r>
              <w:rPr>
                <w:sz w:val="24"/>
                <w:szCs w:val="24"/>
              </w:rPr>
              <w:t>±</w:t>
            </w:r>
            <w:r>
              <w:rPr>
                <w:sz w:val="24"/>
                <w:szCs w:val="24"/>
              </w:rPr>
              <w:t xml:space="preserve"> </w:t>
            </w:r>
            <w:r>
              <w:rPr>
                <w:sz w:val="24"/>
                <w:szCs w:val="24"/>
              </w:rPr>
              <w:t>9.4</w:t>
            </w:r>
          </w:p>
        </w:tc>
        <w:tc>
          <w:tcPr>
            <w:tcW w:w="1843" w:type="dxa"/>
            <w:vAlign w:val="center"/>
          </w:tcPr>
          <w:p w14:paraId="31B62EA4" w14:textId="32E5BBB6" w:rsidR="00EC2277" w:rsidRDefault="00EC2277" w:rsidP="00EC2277">
            <w:pPr>
              <w:keepNext/>
              <w:keepLines/>
              <w:snapToGrid w:val="0"/>
              <w:jc w:val="center"/>
              <w:rPr>
                <w:i/>
                <w:iCs/>
                <w:sz w:val="24"/>
                <w:szCs w:val="24"/>
              </w:rPr>
            </w:pPr>
            <w:r>
              <w:rPr>
                <w:sz w:val="24"/>
                <w:szCs w:val="24"/>
              </w:rPr>
              <w:t>28.3</w:t>
            </w:r>
            <w:r>
              <w:rPr>
                <w:sz w:val="24"/>
                <w:szCs w:val="24"/>
              </w:rPr>
              <w:t xml:space="preserve"> </w:t>
            </w:r>
            <w:r>
              <w:rPr>
                <w:sz w:val="24"/>
                <w:szCs w:val="24"/>
              </w:rPr>
              <w:t>±</w:t>
            </w:r>
            <w:r>
              <w:rPr>
                <w:sz w:val="24"/>
                <w:szCs w:val="24"/>
              </w:rPr>
              <w:t xml:space="preserve"> </w:t>
            </w:r>
            <w:r>
              <w:rPr>
                <w:sz w:val="24"/>
                <w:szCs w:val="24"/>
              </w:rPr>
              <w:t>10.6</w:t>
            </w:r>
          </w:p>
        </w:tc>
        <w:tc>
          <w:tcPr>
            <w:tcW w:w="992" w:type="dxa"/>
            <w:vAlign w:val="center"/>
          </w:tcPr>
          <w:p w14:paraId="352809F1" w14:textId="0B7D04C2" w:rsidR="00EC2277" w:rsidRDefault="00EC2277" w:rsidP="00EC2277">
            <w:pPr>
              <w:keepNext/>
              <w:keepLines/>
              <w:snapToGrid w:val="0"/>
              <w:jc w:val="center"/>
              <w:rPr>
                <w:i/>
                <w:iCs/>
                <w:sz w:val="24"/>
                <w:szCs w:val="24"/>
              </w:rPr>
            </w:pPr>
            <w:r>
              <w:rPr>
                <w:sz w:val="24"/>
                <w:szCs w:val="24"/>
              </w:rPr>
              <w:t>4.223</w:t>
            </w:r>
          </w:p>
        </w:tc>
        <w:tc>
          <w:tcPr>
            <w:tcW w:w="986" w:type="dxa"/>
            <w:vAlign w:val="center"/>
          </w:tcPr>
          <w:p w14:paraId="5C123D83" w14:textId="4DEFEB31" w:rsidR="00EC2277" w:rsidRDefault="00EC2277" w:rsidP="00EC2277">
            <w:pPr>
              <w:keepNext/>
              <w:keepLines/>
              <w:snapToGrid w:val="0"/>
              <w:jc w:val="center"/>
              <w:rPr>
                <w:i/>
                <w:iCs/>
                <w:sz w:val="24"/>
                <w:szCs w:val="24"/>
              </w:rPr>
            </w:pPr>
            <w:r>
              <w:rPr>
                <w:sz w:val="24"/>
                <w:szCs w:val="24"/>
              </w:rPr>
              <w:t>&lt;</w:t>
            </w:r>
            <w:r>
              <w:rPr>
                <w:sz w:val="24"/>
                <w:szCs w:val="24"/>
              </w:rPr>
              <w:t xml:space="preserve"> </w:t>
            </w:r>
            <w:r>
              <w:rPr>
                <w:sz w:val="24"/>
                <w:szCs w:val="24"/>
              </w:rPr>
              <w:t>0.001</w:t>
            </w:r>
          </w:p>
        </w:tc>
      </w:tr>
      <w:tr w:rsidR="00EC2277" w14:paraId="23FD1F75" w14:textId="77777777" w:rsidTr="00AE61EE">
        <w:tc>
          <w:tcPr>
            <w:tcW w:w="4106" w:type="dxa"/>
            <w:vAlign w:val="center"/>
          </w:tcPr>
          <w:p w14:paraId="0F77FFC1" w14:textId="59AD7DD2" w:rsidR="00EC2277" w:rsidRDefault="00EC2277" w:rsidP="00EC2277">
            <w:pPr>
              <w:keepNext/>
              <w:keepLines/>
              <w:snapToGrid w:val="0"/>
              <w:jc w:val="left"/>
              <w:rPr>
                <w:i/>
                <w:iCs/>
                <w:sz w:val="24"/>
                <w:szCs w:val="24"/>
              </w:rPr>
            </w:pPr>
            <w:r>
              <w:rPr>
                <w:sz w:val="24"/>
                <w:szCs w:val="24"/>
              </w:rPr>
              <w:t>pain</w:t>
            </w:r>
          </w:p>
        </w:tc>
        <w:tc>
          <w:tcPr>
            <w:tcW w:w="1701" w:type="dxa"/>
            <w:vAlign w:val="center"/>
          </w:tcPr>
          <w:p w14:paraId="099B3C99" w14:textId="151234BE" w:rsidR="00EC2277" w:rsidRDefault="00EC2277" w:rsidP="00EC2277">
            <w:pPr>
              <w:keepNext/>
              <w:keepLines/>
              <w:snapToGrid w:val="0"/>
              <w:jc w:val="center"/>
              <w:rPr>
                <w:i/>
                <w:iCs/>
                <w:sz w:val="24"/>
                <w:szCs w:val="24"/>
              </w:rPr>
            </w:pPr>
            <w:r>
              <w:rPr>
                <w:sz w:val="24"/>
                <w:szCs w:val="24"/>
              </w:rPr>
              <w:t>15.2</w:t>
            </w:r>
            <w:r>
              <w:rPr>
                <w:sz w:val="24"/>
                <w:szCs w:val="24"/>
              </w:rPr>
              <w:t xml:space="preserve"> </w:t>
            </w:r>
            <w:r>
              <w:rPr>
                <w:sz w:val="24"/>
                <w:szCs w:val="24"/>
              </w:rPr>
              <w:t>±</w:t>
            </w:r>
            <w:r>
              <w:rPr>
                <w:sz w:val="24"/>
                <w:szCs w:val="24"/>
              </w:rPr>
              <w:t xml:space="preserve"> </w:t>
            </w:r>
            <w:r>
              <w:rPr>
                <w:sz w:val="24"/>
                <w:szCs w:val="24"/>
              </w:rPr>
              <w:t>8.1</w:t>
            </w:r>
          </w:p>
        </w:tc>
        <w:tc>
          <w:tcPr>
            <w:tcW w:w="1843" w:type="dxa"/>
            <w:vAlign w:val="center"/>
          </w:tcPr>
          <w:p w14:paraId="237076E0" w14:textId="7D2A9E95" w:rsidR="00EC2277" w:rsidRDefault="00EC2277" w:rsidP="00EC2277">
            <w:pPr>
              <w:keepNext/>
              <w:keepLines/>
              <w:snapToGrid w:val="0"/>
              <w:jc w:val="center"/>
              <w:rPr>
                <w:i/>
                <w:iCs/>
                <w:sz w:val="24"/>
                <w:szCs w:val="24"/>
              </w:rPr>
            </w:pPr>
            <w:r>
              <w:rPr>
                <w:sz w:val="24"/>
                <w:szCs w:val="24"/>
              </w:rPr>
              <w:t>27.6</w:t>
            </w:r>
            <w:r>
              <w:rPr>
                <w:sz w:val="24"/>
                <w:szCs w:val="24"/>
              </w:rPr>
              <w:t xml:space="preserve"> </w:t>
            </w:r>
            <w:r>
              <w:rPr>
                <w:sz w:val="24"/>
                <w:szCs w:val="24"/>
              </w:rPr>
              <w:t>±</w:t>
            </w:r>
            <w:r>
              <w:rPr>
                <w:sz w:val="24"/>
                <w:szCs w:val="24"/>
              </w:rPr>
              <w:t xml:space="preserve"> </w:t>
            </w:r>
            <w:r>
              <w:rPr>
                <w:sz w:val="24"/>
                <w:szCs w:val="24"/>
              </w:rPr>
              <w:t>9.8</w:t>
            </w:r>
          </w:p>
        </w:tc>
        <w:tc>
          <w:tcPr>
            <w:tcW w:w="992" w:type="dxa"/>
            <w:vAlign w:val="center"/>
          </w:tcPr>
          <w:p w14:paraId="2C8D392E" w14:textId="4979CB27" w:rsidR="00EC2277" w:rsidRDefault="00EC2277" w:rsidP="00EC2277">
            <w:pPr>
              <w:keepNext/>
              <w:keepLines/>
              <w:snapToGrid w:val="0"/>
              <w:jc w:val="center"/>
              <w:rPr>
                <w:i/>
                <w:iCs/>
                <w:sz w:val="24"/>
                <w:szCs w:val="24"/>
              </w:rPr>
            </w:pPr>
            <w:r>
              <w:rPr>
                <w:sz w:val="24"/>
                <w:szCs w:val="24"/>
              </w:rPr>
              <w:t>6.021</w:t>
            </w:r>
          </w:p>
        </w:tc>
        <w:tc>
          <w:tcPr>
            <w:tcW w:w="986" w:type="dxa"/>
            <w:vAlign w:val="center"/>
          </w:tcPr>
          <w:p w14:paraId="40D77054" w14:textId="67831886" w:rsidR="00EC2277" w:rsidRDefault="00EC2277" w:rsidP="00EC2277">
            <w:pPr>
              <w:keepNext/>
              <w:keepLines/>
              <w:snapToGrid w:val="0"/>
              <w:jc w:val="center"/>
              <w:rPr>
                <w:i/>
                <w:iCs/>
                <w:sz w:val="24"/>
                <w:szCs w:val="24"/>
              </w:rPr>
            </w:pPr>
            <w:r>
              <w:rPr>
                <w:sz w:val="24"/>
                <w:szCs w:val="24"/>
              </w:rPr>
              <w:t>&lt;</w:t>
            </w:r>
            <w:r>
              <w:rPr>
                <w:sz w:val="24"/>
                <w:szCs w:val="24"/>
              </w:rPr>
              <w:t xml:space="preserve"> </w:t>
            </w:r>
            <w:r>
              <w:rPr>
                <w:sz w:val="24"/>
                <w:szCs w:val="24"/>
              </w:rPr>
              <w:t>0.001</w:t>
            </w:r>
          </w:p>
        </w:tc>
      </w:tr>
      <w:tr w:rsidR="00EC2277" w14:paraId="68231F47" w14:textId="77777777" w:rsidTr="00AE61EE">
        <w:tc>
          <w:tcPr>
            <w:tcW w:w="4106" w:type="dxa"/>
            <w:vAlign w:val="center"/>
          </w:tcPr>
          <w:p w14:paraId="40AC9648" w14:textId="74726277" w:rsidR="00EC2277" w:rsidRDefault="00EC2277" w:rsidP="00EC2277">
            <w:pPr>
              <w:keepNext/>
              <w:keepLines/>
              <w:snapToGrid w:val="0"/>
              <w:jc w:val="left"/>
              <w:rPr>
                <w:i/>
                <w:iCs/>
                <w:sz w:val="24"/>
                <w:szCs w:val="24"/>
              </w:rPr>
            </w:pPr>
            <w:r>
              <w:rPr>
                <w:sz w:val="24"/>
                <w:szCs w:val="24"/>
              </w:rPr>
              <w:t>sleep</w:t>
            </w:r>
          </w:p>
        </w:tc>
        <w:tc>
          <w:tcPr>
            <w:tcW w:w="1701" w:type="dxa"/>
            <w:vAlign w:val="center"/>
          </w:tcPr>
          <w:p w14:paraId="380E2CA3" w14:textId="28B36902" w:rsidR="00EC2277" w:rsidRDefault="00EC2277" w:rsidP="00EC2277">
            <w:pPr>
              <w:keepNext/>
              <w:keepLines/>
              <w:snapToGrid w:val="0"/>
              <w:jc w:val="center"/>
              <w:rPr>
                <w:i/>
                <w:iCs/>
                <w:sz w:val="24"/>
                <w:szCs w:val="24"/>
              </w:rPr>
            </w:pPr>
            <w:r>
              <w:rPr>
                <w:sz w:val="24"/>
                <w:szCs w:val="24"/>
              </w:rPr>
              <w:t>16.8</w:t>
            </w:r>
            <w:r>
              <w:rPr>
                <w:sz w:val="24"/>
                <w:szCs w:val="24"/>
              </w:rPr>
              <w:t xml:space="preserve"> </w:t>
            </w:r>
            <w:r>
              <w:rPr>
                <w:sz w:val="24"/>
                <w:szCs w:val="24"/>
              </w:rPr>
              <w:t>±</w:t>
            </w:r>
            <w:r>
              <w:rPr>
                <w:sz w:val="24"/>
                <w:szCs w:val="24"/>
              </w:rPr>
              <w:t xml:space="preserve"> </w:t>
            </w:r>
            <w:r>
              <w:rPr>
                <w:sz w:val="24"/>
                <w:szCs w:val="24"/>
              </w:rPr>
              <w:t>9.2</w:t>
            </w:r>
          </w:p>
        </w:tc>
        <w:tc>
          <w:tcPr>
            <w:tcW w:w="1843" w:type="dxa"/>
            <w:vAlign w:val="center"/>
          </w:tcPr>
          <w:p w14:paraId="12D332F3" w14:textId="5D564940" w:rsidR="00EC2277" w:rsidRDefault="00EC2277" w:rsidP="00EC2277">
            <w:pPr>
              <w:keepNext/>
              <w:keepLines/>
              <w:snapToGrid w:val="0"/>
              <w:jc w:val="center"/>
              <w:rPr>
                <w:i/>
                <w:iCs/>
                <w:sz w:val="24"/>
                <w:szCs w:val="24"/>
              </w:rPr>
            </w:pPr>
            <w:r>
              <w:rPr>
                <w:sz w:val="24"/>
                <w:szCs w:val="24"/>
              </w:rPr>
              <w:t>26.4</w:t>
            </w:r>
            <w:r>
              <w:rPr>
                <w:sz w:val="24"/>
                <w:szCs w:val="24"/>
              </w:rPr>
              <w:t xml:space="preserve"> </w:t>
            </w:r>
            <w:r>
              <w:rPr>
                <w:sz w:val="24"/>
                <w:szCs w:val="24"/>
              </w:rPr>
              <w:t>±</w:t>
            </w:r>
            <w:r>
              <w:rPr>
                <w:sz w:val="24"/>
                <w:szCs w:val="24"/>
              </w:rPr>
              <w:t xml:space="preserve"> </w:t>
            </w:r>
            <w:r>
              <w:rPr>
                <w:sz w:val="24"/>
                <w:szCs w:val="24"/>
              </w:rPr>
              <w:t>10.3</w:t>
            </w:r>
          </w:p>
        </w:tc>
        <w:tc>
          <w:tcPr>
            <w:tcW w:w="992" w:type="dxa"/>
            <w:vAlign w:val="center"/>
          </w:tcPr>
          <w:p w14:paraId="4B563D90" w14:textId="12838285" w:rsidR="00EC2277" w:rsidRDefault="00EC2277" w:rsidP="00EC2277">
            <w:pPr>
              <w:keepNext/>
              <w:keepLines/>
              <w:snapToGrid w:val="0"/>
              <w:jc w:val="center"/>
              <w:rPr>
                <w:i/>
                <w:iCs/>
                <w:sz w:val="24"/>
                <w:szCs w:val="24"/>
              </w:rPr>
            </w:pPr>
            <w:r>
              <w:rPr>
                <w:sz w:val="24"/>
                <w:szCs w:val="24"/>
              </w:rPr>
              <w:t>4.286</w:t>
            </w:r>
          </w:p>
        </w:tc>
        <w:tc>
          <w:tcPr>
            <w:tcW w:w="986" w:type="dxa"/>
            <w:vAlign w:val="center"/>
          </w:tcPr>
          <w:p w14:paraId="46849A60" w14:textId="4BA9D61D" w:rsidR="00EC2277" w:rsidRDefault="00EC2277" w:rsidP="00EC2277">
            <w:pPr>
              <w:keepNext/>
              <w:keepLines/>
              <w:snapToGrid w:val="0"/>
              <w:jc w:val="center"/>
              <w:rPr>
                <w:i/>
                <w:iCs/>
                <w:sz w:val="24"/>
                <w:szCs w:val="24"/>
              </w:rPr>
            </w:pPr>
            <w:r>
              <w:rPr>
                <w:sz w:val="24"/>
                <w:szCs w:val="24"/>
              </w:rPr>
              <w:t>&lt;</w:t>
            </w:r>
            <w:r>
              <w:rPr>
                <w:sz w:val="24"/>
                <w:szCs w:val="24"/>
              </w:rPr>
              <w:t xml:space="preserve"> </w:t>
            </w:r>
            <w:r>
              <w:rPr>
                <w:sz w:val="24"/>
                <w:szCs w:val="24"/>
              </w:rPr>
              <w:t>0.001</w:t>
            </w:r>
          </w:p>
        </w:tc>
      </w:tr>
      <w:tr w:rsidR="00EC2277" w14:paraId="7B97A84C" w14:textId="77777777" w:rsidTr="00AE61EE">
        <w:tc>
          <w:tcPr>
            <w:tcW w:w="4106" w:type="dxa"/>
            <w:vAlign w:val="center"/>
          </w:tcPr>
          <w:p w14:paraId="2673CECC" w14:textId="5E41E317" w:rsidR="00EC2277" w:rsidRDefault="00EC2277" w:rsidP="00EC2277">
            <w:pPr>
              <w:keepNext/>
              <w:keepLines/>
              <w:snapToGrid w:val="0"/>
              <w:jc w:val="left"/>
              <w:rPr>
                <w:i/>
                <w:iCs/>
                <w:sz w:val="24"/>
                <w:szCs w:val="24"/>
              </w:rPr>
            </w:pPr>
            <w:r>
              <w:rPr>
                <w:sz w:val="24"/>
                <w:szCs w:val="24"/>
              </w:rPr>
              <w:t>Social connections</w:t>
            </w:r>
          </w:p>
        </w:tc>
        <w:tc>
          <w:tcPr>
            <w:tcW w:w="1701" w:type="dxa"/>
            <w:vAlign w:val="center"/>
          </w:tcPr>
          <w:p w14:paraId="43D12015" w14:textId="396EBAB3" w:rsidR="00EC2277" w:rsidRDefault="00EC2277" w:rsidP="00EC2277">
            <w:pPr>
              <w:keepNext/>
              <w:keepLines/>
              <w:snapToGrid w:val="0"/>
              <w:jc w:val="center"/>
              <w:rPr>
                <w:i/>
                <w:iCs/>
                <w:sz w:val="24"/>
                <w:szCs w:val="24"/>
              </w:rPr>
            </w:pPr>
            <w:r>
              <w:rPr>
                <w:sz w:val="24"/>
                <w:szCs w:val="24"/>
              </w:rPr>
              <w:t>10.5</w:t>
            </w:r>
            <w:r>
              <w:rPr>
                <w:sz w:val="24"/>
                <w:szCs w:val="24"/>
              </w:rPr>
              <w:t xml:space="preserve"> </w:t>
            </w:r>
            <w:r>
              <w:rPr>
                <w:sz w:val="24"/>
                <w:szCs w:val="24"/>
              </w:rPr>
              <w:t>±</w:t>
            </w:r>
            <w:r>
              <w:rPr>
                <w:sz w:val="24"/>
                <w:szCs w:val="24"/>
              </w:rPr>
              <w:t xml:space="preserve"> </w:t>
            </w:r>
            <w:r>
              <w:rPr>
                <w:sz w:val="24"/>
                <w:szCs w:val="24"/>
              </w:rPr>
              <w:t>6.3</w:t>
            </w:r>
          </w:p>
        </w:tc>
        <w:tc>
          <w:tcPr>
            <w:tcW w:w="1843" w:type="dxa"/>
            <w:vAlign w:val="center"/>
          </w:tcPr>
          <w:p w14:paraId="48C89367" w14:textId="72AFF2B1" w:rsidR="00EC2277" w:rsidRDefault="00EC2277" w:rsidP="00EC2277">
            <w:pPr>
              <w:keepNext/>
              <w:keepLines/>
              <w:snapToGrid w:val="0"/>
              <w:jc w:val="center"/>
              <w:rPr>
                <w:i/>
                <w:iCs/>
                <w:sz w:val="24"/>
                <w:szCs w:val="24"/>
              </w:rPr>
            </w:pPr>
            <w:r>
              <w:rPr>
                <w:sz w:val="24"/>
                <w:szCs w:val="24"/>
              </w:rPr>
              <w:t>16.9</w:t>
            </w:r>
            <w:r>
              <w:rPr>
                <w:sz w:val="24"/>
                <w:szCs w:val="24"/>
              </w:rPr>
              <w:t xml:space="preserve"> </w:t>
            </w:r>
            <w:r>
              <w:rPr>
                <w:sz w:val="24"/>
                <w:szCs w:val="24"/>
              </w:rPr>
              <w:t>±</w:t>
            </w:r>
            <w:r>
              <w:rPr>
                <w:sz w:val="24"/>
                <w:szCs w:val="24"/>
              </w:rPr>
              <w:t xml:space="preserve"> </w:t>
            </w:r>
            <w:r>
              <w:rPr>
                <w:sz w:val="24"/>
                <w:szCs w:val="24"/>
              </w:rPr>
              <w:t>7.4</w:t>
            </w:r>
          </w:p>
        </w:tc>
        <w:tc>
          <w:tcPr>
            <w:tcW w:w="992" w:type="dxa"/>
            <w:vAlign w:val="center"/>
          </w:tcPr>
          <w:p w14:paraId="51CBC516" w14:textId="1883217D" w:rsidR="00EC2277" w:rsidRDefault="00EC2277" w:rsidP="00EC2277">
            <w:pPr>
              <w:keepNext/>
              <w:keepLines/>
              <w:snapToGrid w:val="0"/>
              <w:jc w:val="center"/>
              <w:rPr>
                <w:i/>
                <w:iCs/>
                <w:sz w:val="24"/>
                <w:szCs w:val="24"/>
              </w:rPr>
            </w:pPr>
            <w:r>
              <w:rPr>
                <w:sz w:val="24"/>
                <w:szCs w:val="24"/>
              </w:rPr>
              <w:t>4.062</w:t>
            </w:r>
          </w:p>
        </w:tc>
        <w:tc>
          <w:tcPr>
            <w:tcW w:w="986" w:type="dxa"/>
            <w:vAlign w:val="center"/>
          </w:tcPr>
          <w:p w14:paraId="1154C1B3" w14:textId="1FDC9EC0" w:rsidR="00EC2277" w:rsidRDefault="00EC2277" w:rsidP="00EC2277">
            <w:pPr>
              <w:keepNext/>
              <w:keepLines/>
              <w:snapToGrid w:val="0"/>
              <w:jc w:val="center"/>
              <w:rPr>
                <w:i/>
                <w:iCs/>
                <w:sz w:val="24"/>
                <w:szCs w:val="24"/>
              </w:rPr>
            </w:pPr>
            <w:r>
              <w:rPr>
                <w:sz w:val="24"/>
                <w:szCs w:val="24"/>
              </w:rPr>
              <w:t>&lt;</w:t>
            </w:r>
            <w:r>
              <w:rPr>
                <w:sz w:val="24"/>
                <w:szCs w:val="24"/>
              </w:rPr>
              <w:t xml:space="preserve"> </w:t>
            </w:r>
            <w:r>
              <w:rPr>
                <w:sz w:val="24"/>
                <w:szCs w:val="24"/>
              </w:rPr>
              <w:t>0.001</w:t>
            </w:r>
          </w:p>
        </w:tc>
      </w:tr>
      <w:tr w:rsidR="00EC2277" w14:paraId="02F18878" w14:textId="77777777" w:rsidTr="00AE61EE">
        <w:tc>
          <w:tcPr>
            <w:tcW w:w="4106" w:type="dxa"/>
            <w:tcBorders>
              <w:bottom w:val="single" w:sz="4" w:space="0" w:color="auto"/>
            </w:tcBorders>
            <w:vAlign w:val="center"/>
          </w:tcPr>
          <w:p w14:paraId="04205543" w14:textId="22022E00" w:rsidR="00EC2277" w:rsidRDefault="00EC2277" w:rsidP="00EC2277">
            <w:pPr>
              <w:keepNext/>
              <w:keepLines/>
              <w:snapToGrid w:val="0"/>
              <w:jc w:val="left"/>
              <w:rPr>
                <w:i/>
                <w:iCs/>
                <w:sz w:val="24"/>
                <w:szCs w:val="24"/>
              </w:rPr>
            </w:pPr>
            <w:r>
              <w:rPr>
                <w:sz w:val="24"/>
                <w:szCs w:val="24"/>
              </w:rPr>
              <w:t>Emotional response</w:t>
            </w:r>
          </w:p>
        </w:tc>
        <w:tc>
          <w:tcPr>
            <w:tcW w:w="1701" w:type="dxa"/>
            <w:tcBorders>
              <w:bottom w:val="single" w:sz="4" w:space="0" w:color="auto"/>
            </w:tcBorders>
            <w:vAlign w:val="center"/>
          </w:tcPr>
          <w:p w14:paraId="6773A34F" w14:textId="5A6B6B5E" w:rsidR="00EC2277" w:rsidRDefault="00EC2277" w:rsidP="00EC2277">
            <w:pPr>
              <w:keepNext/>
              <w:keepLines/>
              <w:snapToGrid w:val="0"/>
              <w:jc w:val="center"/>
              <w:rPr>
                <w:i/>
                <w:iCs/>
                <w:sz w:val="24"/>
                <w:szCs w:val="24"/>
              </w:rPr>
            </w:pPr>
            <w:r>
              <w:rPr>
                <w:sz w:val="24"/>
                <w:szCs w:val="24"/>
              </w:rPr>
              <w:t>17.3</w:t>
            </w:r>
            <w:r>
              <w:rPr>
                <w:sz w:val="24"/>
                <w:szCs w:val="24"/>
              </w:rPr>
              <w:t xml:space="preserve"> </w:t>
            </w:r>
            <w:r>
              <w:rPr>
                <w:sz w:val="24"/>
                <w:szCs w:val="24"/>
              </w:rPr>
              <w:t>±</w:t>
            </w:r>
            <w:r>
              <w:rPr>
                <w:sz w:val="24"/>
                <w:szCs w:val="24"/>
              </w:rPr>
              <w:t xml:space="preserve"> </w:t>
            </w:r>
            <w:r>
              <w:rPr>
                <w:sz w:val="24"/>
                <w:szCs w:val="24"/>
              </w:rPr>
              <w:t>8.6</w:t>
            </w:r>
          </w:p>
        </w:tc>
        <w:tc>
          <w:tcPr>
            <w:tcW w:w="1843" w:type="dxa"/>
            <w:tcBorders>
              <w:bottom w:val="single" w:sz="4" w:space="0" w:color="auto"/>
            </w:tcBorders>
            <w:vAlign w:val="center"/>
          </w:tcPr>
          <w:p w14:paraId="5A4D01D6" w14:textId="273D27ED" w:rsidR="00EC2277" w:rsidRDefault="00EC2277" w:rsidP="00EC2277">
            <w:pPr>
              <w:keepNext/>
              <w:keepLines/>
              <w:snapToGrid w:val="0"/>
              <w:jc w:val="center"/>
              <w:rPr>
                <w:i/>
                <w:iCs/>
                <w:sz w:val="24"/>
                <w:szCs w:val="24"/>
              </w:rPr>
            </w:pPr>
            <w:r>
              <w:rPr>
                <w:sz w:val="24"/>
                <w:szCs w:val="24"/>
              </w:rPr>
              <w:t>26.8</w:t>
            </w:r>
            <w:r>
              <w:rPr>
                <w:sz w:val="24"/>
                <w:szCs w:val="24"/>
              </w:rPr>
              <w:t xml:space="preserve"> </w:t>
            </w:r>
            <w:r>
              <w:rPr>
                <w:sz w:val="24"/>
                <w:szCs w:val="24"/>
              </w:rPr>
              <w:t>±</w:t>
            </w:r>
            <w:r>
              <w:rPr>
                <w:sz w:val="24"/>
                <w:szCs w:val="24"/>
              </w:rPr>
              <w:t xml:space="preserve"> </w:t>
            </w:r>
            <w:r>
              <w:rPr>
                <w:sz w:val="24"/>
                <w:szCs w:val="24"/>
              </w:rPr>
              <w:t>9.7</w:t>
            </w:r>
          </w:p>
        </w:tc>
        <w:tc>
          <w:tcPr>
            <w:tcW w:w="992" w:type="dxa"/>
            <w:tcBorders>
              <w:bottom w:val="single" w:sz="4" w:space="0" w:color="auto"/>
            </w:tcBorders>
            <w:vAlign w:val="center"/>
          </w:tcPr>
          <w:p w14:paraId="574C5D69" w14:textId="0590FB14" w:rsidR="00EC2277" w:rsidRDefault="00EC2277" w:rsidP="00EC2277">
            <w:pPr>
              <w:keepNext/>
              <w:keepLines/>
              <w:snapToGrid w:val="0"/>
              <w:jc w:val="center"/>
              <w:rPr>
                <w:i/>
                <w:iCs/>
                <w:sz w:val="24"/>
                <w:szCs w:val="24"/>
              </w:rPr>
            </w:pPr>
            <w:r>
              <w:rPr>
                <w:sz w:val="24"/>
                <w:szCs w:val="24"/>
              </w:rPr>
              <w:t>4.513</w:t>
            </w:r>
          </w:p>
        </w:tc>
        <w:tc>
          <w:tcPr>
            <w:tcW w:w="986" w:type="dxa"/>
            <w:tcBorders>
              <w:bottom w:val="single" w:sz="4" w:space="0" w:color="auto"/>
            </w:tcBorders>
            <w:vAlign w:val="center"/>
          </w:tcPr>
          <w:p w14:paraId="27A869DA" w14:textId="14A75D90" w:rsidR="00EC2277" w:rsidRDefault="00EC2277" w:rsidP="00EC2277">
            <w:pPr>
              <w:keepNext/>
              <w:keepLines/>
              <w:snapToGrid w:val="0"/>
              <w:jc w:val="center"/>
              <w:rPr>
                <w:i/>
                <w:iCs/>
                <w:sz w:val="24"/>
                <w:szCs w:val="24"/>
              </w:rPr>
            </w:pPr>
            <w:r>
              <w:rPr>
                <w:sz w:val="24"/>
                <w:szCs w:val="24"/>
              </w:rPr>
              <w:t>&lt;</w:t>
            </w:r>
            <w:r>
              <w:rPr>
                <w:sz w:val="24"/>
                <w:szCs w:val="24"/>
              </w:rPr>
              <w:t xml:space="preserve"> </w:t>
            </w:r>
            <w:r>
              <w:rPr>
                <w:sz w:val="24"/>
                <w:szCs w:val="24"/>
              </w:rPr>
              <w:t>0.001</w:t>
            </w:r>
          </w:p>
        </w:tc>
      </w:tr>
    </w:tbl>
    <w:p w14:paraId="2E344519" w14:textId="77777777" w:rsidR="003046C5" w:rsidRDefault="003046C5" w:rsidP="00E648BD">
      <w:pPr>
        <w:keepNext/>
        <w:keepLines/>
        <w:snapToGrid w:val="0"/>
        <w:jc w:val="center"/>
        <w:rPr>
          <w:i/>
          <w:iCs/>
          <w:sz w:val="24"/>
          <w:szCs w:val="24"/>
        </w:rPr>
      </w:pPr>
    </w:p>
    <w:p w14:paraId="2E344545" w14:textId="77777777" w:rsidR="003046C5" w:rsidRDefault="00BA54B3" w:rsidP="00094DD9">
      <w:pPr>
        <w:pStyle w:val="Heading2"/>
        <w:keepNext/>
        <w:snapToGrid w:val="0"/>
        <w:spacing w:before="0" w:after="0"/>
        <w:jc w:val="both"/>
        <w:rPr>
          <w:sz w:val="24"/>
          <w:szCs w:val="24"/>
        </w:rPr>
      </w:pPr>
      <w:r>
        <w:rPr>
          <w:rFonts w:hint="eastAsia"/>
          <w:sz w:val="24"/>
          <w:szCs w:val="24"/>
          <w:lang w:val="en-US"/>
        </w:rPr>
        <w:t>3</w:t>
      </w:r>
      <w:r>
        <w:rPr>
          <w:sz w:val="24"/>
          <w:szCs w:val="24"/>
        </w:rPr>
        <w:t>.4</w:t>
      </w:r>
      <w:r>
        <w:rPr>
          <w:rFonts w:hint="eastAsia"/>
          <w:sz w:val="24"/>
          <w:szCs w:val="24"/>
          <w:lang w:val="en-US"/>
        </w:rPr>
        <w:t>.</w:t>
      </w:r>
      <w:r>
        <w:rPr>
          <w:sz w:val="24"/>
          <w:szCs w:val="24"/>
        </w:rPr>
        <w:t xml:space="preserve"> Comparison of dyspareunia scores before and after treatment in the two groups</w:t>
      </w:r>
    </w:p>
    <w:p w14:paraId="2E344546" w14:textId="49EC7ABB" w:rsidR="003046C5" w:rsidRDefault="00BA54B3" w:rsidP="00094DD9">
      <w:pPr>
        <w:snapToGrid w:val="0"/>
        <w:rPr>
          <w:sz w:val="24"/>
          <w:szCs w:val="24"/>
        </w:rPr>
      </w:pPr>
      <w:r>
        <w:rPr>
          <w:sz w:val="24"/>
          <w:szCs w:val="24"/>
        </w:rPr>
        <w:t xml:space="preserve">Before treatment, there was no statistically significant difference in the dyspareunia scores between </w:t>
      </w:r>
      <w:r>
        <w:rPr>
          <w:sz w:val="24"/>
          <w:szCs w:val="24"/>
        </w:rPr>
        <w:lastRenderedPageBreak/>
        <w:t>the two groups (</w:t>
      </w:r>
      <w:r w:rsidR="00EC2277">
        <w:rPr>
          <w:i/>
          <w:iCs/>
          <w:sz w:val="24"/>
          <w:szCs w:val="24"/>
        </w:rPr>
        <w:t>p</w:t>
      </w:r>
      <w:r w:rsidR="00EC2277">
        <w:rPr>
          <w:rFonts w:hint="eastAsia"/>
          <w:i/>
          <w:iCs/>
          <w:sz w:val="24"/>
          <w:szCs w:val="24"/>
          <w:lang w:val="en-US"/>
        </w:rPr>
        <w:t xml:space="preserve"> </w:t>
      </w:r>
      <w:r>
        <w:rPr>
          <w:sz w:val="24"/>
          <w:szCs w:val="24"/>
        </w:rPr>
        <w:t>&gt;</w:t>
      </w:r>
      <w:r>
        <w:rPr>
          <w:rFonts w:hint="eastAsia"/>
          <w:sz w:val="24"/>
          <w:szCs w:val="24"/>
          <w:lang w:val="en-US"/>
        </w:rPr>
        <w:t xml:space="preserve"> </w:t>
      </w:r>
      <w:r>
        <w:rPr>
          <w:sz w:val="24"/>
          <w:szCs w:val="24"/>
        </w:rPr>
        <w:t>0.05); at the end of treatment and one month after treatment, the dyspareunia scores in the observation group were lower than those in the control group, and the difference was statistically significant (</w:t>
      </w:r>
      <w:r w:rsidR="00EC2277">
        <w:rPr>
          <w:i/>
          <w:iCs/>
          <w:sz w:val="24"/>
          <w:szCs w:val="24"/>
        </w:rPr>
        <w:t>p</w:t>
      </w:r>
      <w:r w:rsidR="00EC2277">
        <w:rPr>
          <w:rFonts w:hint="eastAsia"/>
          <w:i/>
          <w:iCs/>
          <w:sz w:val="24"/>
          <w:szCs w:val="24"/>
          <w:lang w:val="en-US"/>
        </w:rPr>
        <w:t xml:space="preserve"> </w:t>
      </w:r>
      <w:r>
        <w:rPr>
          <w:sz w:val="24"/>
          <w:szCs w:val="24"/>
        </w:rPr>
        <w:t>&lt;</w:t>
      </w:r>
      <w:r>
        <w:rPr>
          <w:rFonts w:hint="eastAsia"/>
          <w:sz w:val="24"/>
          <w:szCs w:val="24"/>
          <w:lang w:val="en-US"/>
        </w:rPr>
        <w:t xml:space="preserve"> </w:t>
      </w:r>
      <w:r>
        <w:rPr>
          <w:sz w:val="24"/>
          <w:szCs w:val="24"/>
        </w:rPr>
        <w:t>0.05).</w:t>
      </w:r>
      <w:r w:rsidR="00EC2277">
        <w:rPr>
          <w:sz w:val="24"/>
          <w:szCs w:val="24"/>
        </w:rPr>
        <w:t xml:space="preserve"> See </w:t>
      </w:r>
      <w:r w:rsidR="00EC2277" w:rsidRPr="00094DD9">
        <w:rPr>
          <w:b/>
          <w:bCs/>
          <w:sz w:val="24"/>
          <w:szCs w:val="24"/>
        </w:rPr>
        <w:t>Table 5</w:t>
      </w:r>
      <w:r w:rsidR="00EC2277">
        <w:rPr>
          <w:sz w:val="24"/>
          <w:szCs w:val="24"/>
        </w:rPr>
        <w:t>.</w:t>
      </w:r>
    </w:p>
    <w:p w14:paraId="2E344547" w14:textId="77777777" w:rsidR="003046C5" w:rsidRDefault="003046C5" w:rsidP="00094DD9">
      <w:pPr>
        <w:snapToGrid w:val="0"/>
        <w:ind w:firstLine="420"/>
        <w:rPr>
          <w:sz w:val="24"/>
          <w:szCs w:val="24"/>
        </w:rPr>
      </w:pPr>
    </w:p>
    <w:p w14:paraId="2E344548" w14:textId="77777777" w:rsidR="003046C5" w:rsidRDefault="00BA54B3" w:rsidP="00EC2277">
      <w:pPr>
        <w:keepNext/>
        <w:keepLines/>
        <w:snapToGrid w:val="0"/>
        <w:rPr>
          <w:sz w:val="24"/>
          <w:szCs w:val="24"/>
        </w:rPr>
      </w:pPr>
      <w:r>
        <w:rPr>
          <w:b/>
          <w:bCs/>
          <w:sz w:val="24"/>
          <w:szCs w:val="24"/>
        </w:rPr>
        <w:t>Table 5</w:t>
      </w:r>
      <w:r w:rsidRPr="00094DD9">
        <w:rPr>
          <w:rFonts w:hint="eastAsia"/>
          <w:b/>
          <w:bCs/>
          <w:sz w:val="24"/>
          <w:szCs w:val="24"/>
          <w:lang w:val="en-US"/>
        </w:rPr>
        <w:t>.</w:t>
      </w:r>
      <w:r>
        <w:rPr>
          <w:rFonts w:hint="eastAsia"/>
          <w:sz w:val="24"/>
          <w:szCs w:val="24"/>
          <w:lang w:val="en-US"/>
        </w:rPr>
        <w:t xml:space="preserve"> </w:t>
      </w:r>
      <w:r>
        <w:rPr>
          <w:sz w:val="24"/>
          <w:szCs w:val="24"/>
        </w:rPr>
        <w:t>Comparison of sexual dyspareunia scores before and after treatment in the two groups (scores,</w:t>
      </w:r>
      <w:r>
        <w:rPr>
          <w:color w:val="0000FF"/>
          <w:position w:val="-6"/>
          <w:sz w:val="24"/>
          <w:szCs w:val="24"/>
        </w:rPr>
        <w:object w:dxaOrig="220" w:dyaOrig="270" w14:anchorId="2E34459C">
          <v:shape id="_x0000_i1032" type="#_x0000_t75" style="width:10.8pt;height:13.8pt" o:ole="">
            <v:imagedata r:id="rId4" o:title=""/>
          </v:shape>
          <o:OLEObject Type="Embed" ProgID="Equation.DSMT4" ShapeID="_x0000_i1032" DrawAspect="Content" ObjectID="_1852189410" r:id="rId12"/>
        </w:object>
      </w:r>
      <w:r>
        <w:rPr>
          <w:sz w:val="24"/>
          <w:szCs w:val="24"/>
        </w:rPr>
        <w:t>± s</w:t>
      </w:r>
      <w:r>
        <w:rPr>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587"/>
        <w:gridCol w:w="1926"/>
        <w:gridCol w:w="1926"/>
        <w:gridCol w:w="1926"/>
      </w:tblGrid>
      <w:tr w:rsidR="00EC2277" w14:paraId="12BFF6D5" w14:textId="77777777" w:rsidTr="00094DD9">
        <w:tc>
          <w:tcPr>
            <w:tcW w:w="2263" w:type="dxa"/>
            <w:tcBorders>
              <w:top w:val="single" w:sz="4" w:space="0" w:color="auto"/>
              <w:bottom w:val="single" w:sz="4" w:space="0" w:color="auto"/>
            </w:tcBorders>
            <w:vAlign w:val="center"/>
          </w:tcPr>
          <w:p w14:paraId="1365A99E" w14:textId="06747BC1" w:rsidR="00EC2277" w:rsidRDefault="00EC2277" w:rsidP="00094DD9">
            <w:pPr>
              <w:keepNext/>
              <w:keepLines/>
              <w:snapToGrid w:val="0"/>
              <w:jc w:val="left"/>
              <w:rPr>
                <w:sz w:val="24"/>
                <w:szCs w:val="24"/>
              </w:rPr>
            </w:pPr>
            <w:r>
              <w:rPr>
                <w:b/>
                <w:bCs/>
                <w:sz w:val="24"/>
                <w:szCs w:val="24"/>
              </w:rPr>
              <w:t>Group</w:t>
            </w:r>
          </w:p>
        </w:tc>
        <w:tc>
          <w:tcPr>
            <w:tcW w:w="1587" w:type="dxa"/>
            <w:tcBorders>
              <w:top w:val="single" w:sz="4" w:space="0" w:color="auto"/>
              <w:bottom w:val="single" w:sz="4" w:space="0" w:color="auto"/>
            </w:tcBorders>
            <w:vAlign w:val="center"/>
          </w:tcPr>
          <w:p w14:paraId="3E28CC05" w14:textId="3DBC4320" w:rsidR="00EC2277" w:rsidRDefault="00EC2277" w:rsidP="00094DD9">
            <w:pPr>
              <w:keepNext/>
              <w:keepLines/>
              <w:snapToGrid w:val="0"/>
              <w:jc w:val="center"/>
              <w:rPr>
                <w:sz w:val="24"/>
                <w:szCs w:val="24"/>
              </w:rPr>
            </w:pPr>
            <w:r>
              <w:rPr>
                <w:b/>
                <w:bCs/>
                <w:sz w:val="24"/>
                <w:szCs w:val="24"/>
              </w:rPr>
              <w:t>Number of examples</w:t>
            </w:r>
          </w:p>
        </w:tc>
        <w:tc>
          <w:tcPr>
            <w:tcW w:w="1926" w:type="dxa"/>
            <w:tcBorders>
              <w:top w:val="single" w:sz="4" w:space="0" w:color="auto"/>
              <w:bottom w:val="single" w:sz="4" w:space="0" w:color="auto"/>
            </w:tcBorders>
            <w:vAlign w:val="center"/>
          </w:tcPr>
          <w:p w14:paraId="3E27A971" w14:textId="7A67FC50" w:rsidR="00EC2277" w:rsidRDefault="00EC2277" w:rsidP="00094DD9">
            <w:pPr>
              <w:keepNext/>
              <w:keepLines/>
              <w:snapToGrid w:val="0"/>
              <w:jc w:val="center"/>
              <w:rPr>
                <w:sz w:val="24"/>
                <w:szCs w:val="24"/>
              </w:rPr>
            </w:pPr>
            <w:r>
              <w:rPr>
                <w:b/>
                <w:bCs/>
                <w:sz w:val="24"/>
                <w:szCs w:val="24"/>
              </w:rPr>
              <w:t>Before treatment</w:t>
            </w:r>
          </w:p>
        </w:tc>
        <w:tc>
          <w:tcPr>
            <w:tcW w:w="1926" w:type="dxa"/>
            <w:tcBorders>
              <w:top w:val="single" w:sz="4" w:space="0" w:color="auto"/>
              <w:bottom w:val="single" w:sz="4" w:space="0" w:color="auto"/>
            </w:tcBorders>
            <w:vAlign w:val="center"/>
          </w:tcPr>
          <w:p w14:paraId="129C34C9" w14:textId="0247732A" w:rsidR="00EC2277" w:rsidRDefault="00EC2277" w:rsidP="00094DD9">
            <w:pPr>
              <w:keepNext/>
              <w:keepLines/>
              <w:snapToGrid w:val="0"/>
              <w:jc w:val="center"/>
              <w:rPr>
                <w:sz w:val="24"/>
                <w:szCs w:val="24"/>
              </w:rPr>
            </w:pPr>
            <w:r>
              <w:rPr>
                <w:b/>
                <w:bCs/>
                <w:sz w:val="24"/>
                <w:szCs w:val="24"/>
              </w:rPr>
              <w:t>At the end of treatment</w:t>
            </w:r>
          </w:p>
        </w:tc>
        <w:tc>
          <w:tcPr>
            <w:tcW w:w="1926" w:type="dxa"/>
            <w:tcBorders>
              <w:top w:val="single" w:sz="4" w:space="0" w:color="auto"/>
              <w:bottom w:val="single" w:sz="4" w:space="0" w:color="auto"/>
            </w:tcBorders>
            <w:vAlign w:val="center"/>
          </w:tcPr>
          <w:p w14:paraId="0DA1C99B" w14:textId="0A19CD88" w:rsidR="00EC2277" w:rsidRDefault="00EC2277" w:rsidP="00094DD9">
            <w:pPr>
              <w:keepNext/>
              <w:keepLines/>
              <w:snapToGrid w:val="0"/>
              <w:jc w:val="center"/>
              <w:rPr>
                <w:sz w:val="24"/>
                <w:szCs w:val="24"/>
              </w:rPr>
            </w:pPr>
            <w:r>
              <w:rPr>
                <w:b/>
                <w:bCs/>
                <w:sz w:val="24"/>
                <w:szCs w:val="24"/>
              </w:rPr>
              <w:t>One month after treatment</w:t>
            </w:r>
          </w:p>
        </w:tc>
      </w:tr>
      <w:tr w:rsidR="00EC2277" w14:paraId="3AA29637" w14:textId="77777777" w:rsidTr="00094DD9">
        <w:tc>
          <w:tcPr>
            <w:tcW w:w="2263" w:type="dxa"/>
            <w:tcBorders>
              <w:top w:val="single" w:sz="4" w:space="0" w:color="auto"/>
            </w:tcBorders>
            <w:vAlign w:val="center"/>
          </w:tcPr>
          <w:p w14:paraId="696D13B5" w14:textId="1AEE8186" w:rsidR="00EC2277" w:rsidRDefault="00EC2277" w:rsidP="00094DD9">
            <w:pPr>
              <w:keepNext/>
              <w:keepLines/>
              <w:snapToGrid w:val="0"/>
              <w:jc w:val="left"/>
              <w:rPr>
                <w:sz w:val="24"/>
                <w:szCs w:val="24"/>
              </w:rPr>
            </w:pPr>
            <w:r>
              <w:rPr>
                <w:sz w:val="24"/>
                <w:szCs w:val="24"/>
              </w:rPr>
              <w:t>Observation group</w:t>
            </w:r>
          </w:p>
        </w:tc>
        <w:tc>
          <w:tcPr>
            <w:tcW w:w="1587" w:type="dxa"/>
            <w:tcBorders>
              <w:top w:val="single" w:sz="4" w:space="0" w:color="auto"/>
            </w:tcBorders>
            <w:vAlign w:val="center"/>
          </w:tcPr>
          <w:p w14:paraId="1899E7CA" w14:textId="4AEBB51B" w:rsidR="00EC2277" w:rsidRDefault="00EC2277" w:rsidP="00094DD9">
            <w:pPr>
              <w:keepNext/>
              <w:keepLines/>
              <w:snapToGrid w:val="0"/>
              <w:jc w:val="center"/>
              <w:rPr>
                <w:sz w:val="24"/>
                <w:szCs w:val="24"/>
              </w:rPr>
            </w:pPr>
            <w:r>
              <w:rPr>
                <w:sz w:val="24"/>
                <w:szCs w:val="24"/>
              </w:rPr>
              <w:t>39</w:t>
            </w:r>
          </w:p>
        </w:tc>
        <w:tc>
          <w:tcPr>
            <w:tcW w:w="1926" w:type="dxa"/>
            <w:tcBorders>
              <w:top w:val="single" w:sz="4" w:space="0" w:color="auto"/>
            </w:tcBorders>
            <w:vAlign w:val="center"/>
          </w:tcPr>
          <w:p w14:paraId="635DEC79" w14:textId="0F8AC6C2" w:rsidR="00EC2277" w:rsidRDefault="00EC2277" w:rsidP="00094DD9">
            <w:pPr>
              <w:keepNext/>
              <w:keepLines/>
              <w:snapToGrid w:val="0"/>
              <w:jc w:val="center"/>
              <w:rPr>
                <w:sz w:val="24"/>
                <w:szCs w:val="24"/>
              </w:rPr>
            </w:pPr>
            <w:r>
              <w:rPr>
                <w:sz w:val="24"/>
                <w:szCs w:val="24"/>
              </w:rPr>
              <w:t>7.2</w:t>
            </w:r>
            <w:r>
              <w:rPr>
                <w:sz w:val="24"/>
                <w:szCs w:val="24"/>
              </w:rPr>
              <w:t xml:space="preserve"> </w:t>
            </w:r>
            <w:r>
              <w:rPr>
                <w:sz w:val="24"/>
                <w:szCs w:val="24"/>
              </w:rPr>
              <w:t>±</w:t>
            </w:r>
            <w:r>
              <w:rPr>
                <w:sz w:val="24"/>
                <w:szCs w:val="24"/>
              </w:rPr>
              <w:t xml:space="preserve"> </w:t>
            </w:r>
            <w:r>
              <w:rPr>
                <w:sz w:val="24"/>
                <w:szCs w:val="24"/>
              </w:rPr>
              <w:t>1.5</w:t>
            </w:r>
          </w:p>
        </w:tc>
        <w:tc>
          <w:tcPr>
            <w:tcW w:w="1926" w:type="dxa"/>
            <w:tcBorders>
              <w:top w:val="single" w:sz="4" w:space="0" w:color="auto"/>
            </w:tcBorders>
            <w:vAlign w:val="center"/>
          </w:tcPr>
          <w:p w14:paraId="2545D1B9" w14:textId="682EBDC1" w:rsidR="00EC2277" w:rsidRDefault="00EC2277" w:rsidP="00094DD9">
            <w:pPr>
              <w:keepNext/>
              <w:keepLines/>
              <w:snapToGrid w:val="0"/>
              <w:jc w:val="center"/>
              <w:rPr>
                <w:sz w:val="24"/>
                <w:szCs w:val="24"/>
              </w:rPr>
            </w:pPr>
            <w:r>
              <w:rPr>
                <w:sz w:val="24"/>
                <w:szCs w:val="24"/>
              </w:rPr>
              <w:t>2.6</w:t>
            </w:r>
            <w:r>
              <w:rPr>
                <w:sz w:val="24"/>
                <w:szCs w:val="24"/>
              </w:rPr>
              <w:t xml:space="preserve"> </w:t>
            </w:r>
            <w:r>
              <w:rPr>
                <w:sz w:val="24"/>
                <w:szCs w:val="24"/>
              </w:rPr>
              <w:t>±</w:t>
            </w:r>
            <w:r>
              <w:rPr>
                <w:sz w:val="24"/>
                <w:szCs w:val="24"/>
              </w:rPr>
              <w:t xml:space="preserve"> </w:t>
            </w:r>
            <w:r>
              <w:rPr>
                <w:sz w:val="24"/>
                <w:szCs w:val="24"/>
              </w:rPr>
              <w:t>1.1</w:t>
            </w:r>
          </w:p>
        </w:tc>
        <w:tc>
          <w:tcPr>
            <w:tcW w:w="1926" w:type="dxa"/>
            <w:tcBorders>
              <w:top w:val="single" w:sz="4" w:space="0" w:color="auto"/>
            </w:tcBorders>
            <w:vAlign w:val="center"/>
          </w:tcPr>
          <w:p w14:paraId="028B720A" w14:textId="16FB5908" w:rsidR="00EC2277" w:rsidRDefault="00EC2277" w:rsidP="00094DD9">
            <w:pPr>
              <w:keepNext/>
              <w:keepLines/>
              <w:snapToGrid w:val="0"/>
              <w:jc w:val="center"/>
              <w:rPr>
                <w:sz w:val="24"/>
                <w:szCs w:val="24"/>
              </w:rPr>
            </w:pPr>
            <w:r>
              <w:rPr>
                <w:sz w:val="24"/>
                <w:szCs w:val="24"/>
              </w:rPr>
              <w:t>2.2</w:t>
            </w:r>
            <w:r>
              <w:rPr>
                <w:sz w:val="24"/>
                <w:szCs w:val="24"/>
              </w:rPr>
              <w:t xml:space="preserve"> </w:t>
            </w:r>
            <w:r>
              <w:rPr>
                <w:sz w:val="24"/>
                <w:szCs w:val="24"/>
              </w:rPr>
              <w:t>±</w:t>
            </w:r>
            <w:r>
              <w:rPr>
                <w:sz w:val="24"/>
                <w:szCs w:val="24"/>
              </w:rPr>
              <w:t xml:space="preserve"> </w:t>
            </w:r>
            <w:r>
              <w:rPr>
                <w:sz w:val="24"/>
                <w:szCs w:val="24"/>
              </w:rPr>
              <w:t>1.0</w:t>
            </w:r>
          </w:p>
        </w:tc>
      </w:tr>
      <w:tr w:rsidR="00EC2277" w14:paraId="2C54580E" w14:textId="77777777" w:rsidTr="00094DD9">
        <w:tc>
          <w:tcPr>
            <w:tcW w:w="2263" w:type="dxa"/>
            <w:vAlign w:val="center"/>
          </w:tcPr>
          <w:p w14:paraId="0A6998BF" w14:textId="4F6EA81C" w:rsidR="00EC2277" w:rsidRDefault="00EC2277" w:rsidP="00094DD9">
            <w:pPr>
              <w:keepNext/>
              <w:keepLines/>
              <w:snapToGrid w:val="0"/>
              <w:jc w:val="left"/>
              <w:rPr>
                <w:sz w:val="24"/>
                <w:szCs w:val="24"/>
              </w:rPr>
            </w:pPr>
            <w:r>
              <w:rPr>
                <w:sz w:val="24"/>
                <w:szCs w:val="24"/>
              </w:rPr>
              <w:t>control group</w:t>
            </w:r>
          </w:p>
        </w:tc>
        <w:tc>
          <w:tcPr>
            <w:tcW w:w="1587" w:type="dxa"/>
            <w:vAlign w:val="center"/>
          </w:tcPr>
          <w:p w14:paraId="10159CEC" w14:textId="63341090" w:rsidR="00EC2277" w:rsidRDefault="00EC2277" w:rsidP="00094DD9">
            <w:pPr>
              <w:keepNext/>
              <w:keepLines/>
              <w:snapToGrid w:val="0"/>
              <w:jc w:val="center"/>
              <w:rPr>
                <w:sz w:val="24"/>
                <w:szCs w:val="24"/>
              </w:rPr>
            </w:pPr>
            <w:r>
              <w:rPr>
                <w:sz w:val="24"/>
                <w:szCs w:val="24"/>
              </w:rPr>
              <w:t>38</w:t>
            </w:r>
          </w:p>
        </w:tc>
        <w:tc>
          <w:tcPr>
            <w:tcW w:w="1926" w:type="dxa"/>
            <w:vAlign w:val="center"/>
          </w:tcPr>
          <w:p w14:paraId="2831D2CB" w14:textId="07F4ED92" w:rsidR="00EC2277" w:rsidRDefault="00EC2277" w:rsidP="00094DD9">
            <w:pPr>
              <w:keepNext/>
              <w:keepLines/>
              <w:snapToGrid w:val="0"/>
              <w:jc w:val="center"/>
              <w:rPr>
                <w:sz w:val="24"/>
                <w:szCs w:val="24"/>
              </w:rPr>
            </w:pPr>
            <w:r>
              <w:rPr>
                <w:sz w:val="24"/>
                <w:szCs w:val="24"/>
              </w:rPr>
              <w:t>7.1</w:t>
            </w:r>
            <w:r>
              <w:rPr>
                <w:sz w:val="24"/>
                <w:szCs w:val="24"/>
              </w:rPr>
              <w:t xml:space="preserve"> </w:t>
            </w:r>
            <w:r>
              <w:rPr>
                <w:sz w:val="24"/>
                <w:szCs w:val="24"/>
              </w:rPr>
              <w:t>±</w:t>
            </w:r>
            <w:r>
              <w:rPr>
                <w:sz w:val="24"/>
                <w:szCs w:val="24"/>
              </w:rPr>
              <w:t xml:space="preserve"> </w:t>
            </w:r>
            <w:r>
              <w:rPr>
                <w:sz w:val="24"/>
                <w:szCs w:val="24"/>
              </w:rPr>
              <w:t>1.6</w:t>
            </w:r>
          </w:p>
        </w:tc>
        <w:tc>
          <w:tcPr>
            <w:tcW w:w="1926" w:type="dxa"/>
            <w:vAlign w:val="center"/>
          </w:tcPr>
          <w:p w14:paraId="1A706D0C" w14:textId="2BD54D5C" w:rsidR="00EC2277" w:rsidRDefault="00EC2277" w:rsidP="00094DD9">
            <w:pPr>
              <w:keepNext/>
              <w:keepLines/>
              <w:snapToGrid w:val="0"/>
              <w:jc w:val="center"/>
              <w:rPr>
                <w:sz w:val="24"/>
                <w:szCs w:val="24"/>
              </w:rPr>
            </w:pPr>
            <w:r>
              <w:rPr>
                <w:sz w:val="24"/>
                <w:szCs w:val="24"/>
              </w:rPr>
              <w:t>4.1</w:t>
            </w:r>
            <w:r>
              <w:rPr>
                <w:sz w:val="24"/>
                <w:szCs w:val="24"/>
              </w:rPr>
              <w:t xml:space="preserve"> </w:t>
            </w:r>
            <w:r>
              <w:rPr>
                <w:sz w:val="24"/>
                <w:szCs w:val="24"/>
              </w:rPr>
              <w:t>±</w:t>
            </w:r>
            <w:r>
              <w:rPr>
                <w:sz w:val="24"/>
                <w:szCs w:val="24"/>
              </w:rPr>
              <w:t xml:space="preserve"> </w:t>
            </w:r>
            <w:r>
              <w:rPr>
                <w:sz w:val="24"/>
                <w:szCs w:val="24"/>
              </w:rPr>
              <w:t>1.3</w:t>
            </w:r>
          </w:p>
        </w:tc>
        <w:tc>
          <w:tcPr>
            <w:tcW w:w="1926" w:type="dxa"/>
            <w:vAlign w:val="center"/>
          </w:tcPr>
          <w:p w14:paraId="66141AC8" w14:textId="734589D3" w:rsidR="00EC2277" w:rsidRDefault="00EC2277" w:rsidP="00094DD9">
            <w:pPr>
              <w:keepNext/>
              <w:keepLines/>
              <w:snapToGrid w:val="0"/>
              <w:jc w:val="center"/>
              <w:rPr>
                <w:sz w:val="24"/>
                <w:szCs w:val="24"/>
              </w:rPr>
            </w:pPr>
            <w:r>
              <w:rPr>
                <w:sz w:val="24"/>
                <w:szCs w:val="24"/>
              </w:rPr>
              <w:t>3.8</w:t>
            </w:r>
            <w:r>
              <w:rPr>
                <w:sz w:val="24"/>
                <w:szCs w:val="24"/>
              </w:rPr>
              <w:t xml:space="preserve"> </w:t>
            </w:r>
            <w:r>
              <w:rPr>
                <w:sz w:val="24"/>
                <w:szCs w:val="24"/>
              </w:rPr>
              <w:t>±</w:t>
            </w:r>
            <w:r>
              <w:rPr>
                <w:sz w:val="24"/>
                <w:szCs w:val="24"/>
              </w:rPr>
              <w:t xml:space="preserve"> </w:t>
            </w:r>
            <w:r>
              <w:rPr>
                <w:sz w:val="24"/>
                <w:szCs w:val="24"/>
              </w:rPr>
              <w:t>1.2</w:t>
            </w:r>
          </w:p>
        </w:tc>
      </w:tr>
      <w:tr w:rsidR="00EC2277" w14:paraId="3DD7D0F6" w14:textId="77777777" w:rsidTr="00094DD9">
        <w:tc>
          <w:tcPr>
            <w:tcW w:w="2263" w:type="dxa"/>
            <w:vAlign w:val="center"/>
          </w:tcPr>
          <w:p w14:paraId="3AC2CC0E" w14:textId="2ADF272D" w:rsidR="00EC2277" w:rsidRDefault="00EC2277" w:rsidP="00094DD9">
            <w:pPr>
              <w:keepNext/>
              <w:keepLines/>
              <w:snapToGrid w:val="0"/>
              <w:jc w:val="left"/>
              <w:rPr>
                <w:sz w:val="24"/>
                <w:szCs w:val="24"/>
              </w:rPr>
            </w:pPr>
            <w:r>
              <w:rPr>
                <w:i/>
                <w:iCs/>
                <w:sz w:val="24"/>
                <w:szCs w:val="24"/>
              </w:rPr>
              <w:t>t</w:t>
            </w:r>
            <w:r>
              <w:rPr>
                <w:sz w:val="24"/>
                <w:szCs w:val="24"/>
              </w:rPr>
              <w:t>-value</w:t>
            </w:r>
          </w:p>
        </w:tc>
        <w:tc>
          <w:tcPr>
            <w:tcW w:w="1587" w:type="dxa"/>
            <w:vAlign w:val="center"/>
          </w:tcPr>
          <w:p w14:paraId="5E1B0D0D" w14:textId="4DEEAA16" w:rsidR="00EC2277" w:rsidRDefault="00EC2277" w:rsidP="00094DD9">
            <w:pPr>
              <w:keepNext/>
              <w:keepLines/>
              <w:snapToGrid w:val="0"/>
              <w:jc w:val="center"/>
              <w:rPr>
                <w:sz w:val="24"/>
                <w:szCs w:val="24"/>
              </w:rPr>
            </w:pPr>
            <w:r>
              <w:rPr>
                <w:sz w:val="24"/>
                <w:szCs w:val="24"/>
              </w:rPr>
              <w:t>—</w:t>
            </w:r>
          </w:p>
        </w:tc>
        <w:tc>
          <w:tcPr>
            <w:tcW w:w="1926" w:type="dxa"/>
            <w:vAlign w:val="center"/>
          </w:tcPr>
          <w:p w14:paraId="4ED08F01" w14:textId="57FFF0EF" w:rsidR="00EC2277" w:rsidRDefault="00EC2277" w:rsidP="00094DD9">
            <w:pPr>
              <w:keepNext/>
              <w:keepLines/>
              <w:snapToGrid w:val="0"/>
              <w:jc w:val="center"/>
              <w:rPr>
                <w:sz w:val="24"/>
                <w:szCs w:val="24"/>
              </w:rPr>
            </w:pPr>
            <w:r>
              <w:rPr>
                <w:sz w:val="24"/>
                <w:szCs w:val="24"/>
              </w:rPr>
              <w:t>0.281</w:t>
            </w:r>
          </w:p>
        </w:tc>
        <w:tc>
          <w:tcPr>
            <w:tcW w:w="1926" w:type="dxa"/>
            <w:vAlign w:val="center"/>
          </w:tcPr>
          <w:p w14:paraId="320AE6B1" w14:textId="10CAE861" w:rsidR="00EC2277" w:rsidRDefault="00EC2277" w:rsidP="00094DD9">
            <w:pPr>
              <w:keepNext/>
              <w:keepLines/>
              <w:snapToGrid w:val="0"/>
              <w:jc w:val="center"/>
              <w:rPr>
                <w:sz w:val="24"/>
                <w:szCs w:val="24"/>
              </w:rPr>
            </w:pPr>
            <w:r>
              <w:rPr>
                <w:sz w:val="24"/>
                <w:szCs w:val="24"/>
              </w:rPr>
              <w:t>5.429</w:t>
            </w:r>
          </w:p>
        </w:tc>
        <w:tc>
          <w:tcPr>
            <w:tcW w:w="1926" w:type="dxa"/>
            <w:vAlign w:val="center"/>
          </w:tcPr>
          <w:p w14:paraId="6740D928" w14:textId="534185C3" w:rsidR="00EC2277" w:rsidRDefault="00EC2277" w:rsidP="00094DD9">
            <w:pPr>
              <w:keepNext/>
              <w:keepLines/>
              <w:snapToGrid w:val="0"/>
              <w:jc w:val="center"/>
              <w:rPr>
                <w:sz w:val="24"/>
                <w:szCs w:val="24"/>
              </w:rPr>
            </w:pPr>
            <w:r>
              <w:rPr>
                <w:sz w:val="24"/>
                <w:szCs w:val="24"/>
              </w:rPr>
              <w:t>6.338</w:t>
            </w:r>
          </w:p>
        </w:tc>
      </w:tr>
      <w:tr w:rsidR="00EC2277" w14:paraId="06E230DD" w14:textId="77777777" w:rsidTr="00094DD9">
        <w:tc>
          <w:tcPr>
            <w:tcW w:w="2263" w:type="dxa"/>
            <w:tcBorders>
              <w:bottom w:val="single" w:sz="4" w:space="0" w:color="auto"/>
            </w:tcBorders>
            <w:vAlign w:val="center"/>
          </w:tcPr>
          <w:p w14:paraId="1B7849C2" w14:textId="13B57058" w:rsidR="00EC2277" w:rsidRDefault="00EC2277" w:rsidP="00094DD9">
            <w:pPr>
              <w:keepNext/>
              <w:keepLines/>
              <w:snapToGrid w:val="0"/>
              <w:jc w:val="left"/>
              <w:rPr>
                <w:sz w:val="24"/>
                <w:szCs w:val="24"/>
              </w:rPr>
            </w:pPr>
            <w:r>
              <w:rPr>
                <w:i/>
                <w:iCs/>
                <w:sz w:val="24"/>
                <w:szCs w:val="24"/>
              </w:rPr>
              <w:t>p</w:t>
            </w:r>
            <w:r>
              <w:rPr>
                <w:sz w:val="24"/>
                <w:szCs w:val="24"/>
              </w:rPr>
              <w:t>-value</w:t>
            </w:r>
          </w:p>
        </w:tc>
        <w:tc>
          <w:tcPr>
            <w:tcW w:w="1587" w:type="dxa"/>
            <w:tcBorders>
              <w:bottom w:val="single" w:sz="4" w:space="0" w:color="auto"/>
            </w:tcBorders>
            <w:vAlign w:val="center"/>
          </w:tcPr>
          <w:p w14:paraId="70B24987" w14:textId="32A3A607" w:rsidR="00EC2277" w:rsidRDefault="00EC2277" w:rsidP="00094DD9">
            <w:pPr>
              <w:keepNext/>
              <w:keepLines/>
              <w:snapToGrid w:val="0"/>
              <w:jc w:val="center"/>
              <w:rPr>
                <w:sz w:val="24"/>
                <w:szCs w:val="24"/>
              </w:rPr>
            </w:pPr>
            <w:r>
              <w:rPr>
                <w:sz w:val="24"/>
                <w:szCs w:val="24"/>
              </w:rPr>
              <w:t>—</w:t>
            </w:r>
          </w:p>
        </w:tc>
        <w:tc>
          <w:tcPr>
            <w:tcW w:w="1926" w:type="dxa"/>
            <w:tcBorders>
              <w:bottom w:val="single" w:sz="4" w:space="0" w:color="auto"/>
            </w:tcBorders>
            <w:vAlign w:val="center"/>
          </w:tcPr>
          <w:p w14:paraId="02BBA6C6" w14:textId="4B252E03" w:rsidR="00EC2277" w:rsidRDefault="00EC2277" w:rsidP="00094DD9">
            <w:pPr>
              <w:keepNext/>
              <w:keepLines/>
              <w:snapToGrid w:val="0"/>
              <w:jc w:val="center"/>
              <w:rPr>
                <w:sz w:val="24"/>
                <w:szCs w:val="24"/>
              </w:rPr>
            </w:pPr>
            <w:r>
              <w:rPr>
                <w:sz w:val="24"/>
                <w:szCs w:val="24"/>
              </w:rPr>
              <w:t>0.779</w:t>
            </w:r>
          </w:p>
        </w:tc>
        <w:tc>
          <w:tcPr>
            <w:tcW w:w="1926" w:type="dxa"/>
            <w:tcBorders>
              <w:bottom w:val="single" w:sz="4" w:space="0" w:color="auto"/>
            </w:tcBorders>
            <w:vAlign w:val="center"/>
          </w:tcPr>
          <w:p w14:paraId="73F9AE9A" w14:textId="00B8D32D" w:rsidR="00EC2277" w:rsidRDefault="00EC2277" w:rsidP="00094DD9">
            <w:pPr>
              <w:keepNext/>
              <w:keepLines/>
              <w:snapToGrid w:val="0"/>
              <w:jc w:val="center"/>
              <w:rPr>
                <w:sz w:val="24"/>
                <w:szCs w:val="24"/>
              </w:rPr>
            </w:pPr>
            <w:r>
              <w:rPr>
                <w:sz w:val="24"/>
                <w:szCs w:val="24"/>
              </w:rPr>
              <w:t>&lt;</w:t>
            </w:r>
            <w:r>
              <w:rPr>
                <w:sz w:val="24"/>
                <w:szCs w:val="24"/>
              </w:rPr>
              <w:t xml:space="preserve"> </w:t>
            </w:r>
            <w:r>
              <w:rPr>
                <w:sz w:val="24"/>
                <w:szCs w:val="24"/>
              </w:rPr>
              <w:t>0.001</w:t>
            </w:r>
          </w:p>
        </w:tc>
        <w:tc>
          <w:tcPr>
            <w:tcW w:w="1926" w:type="dxa"/>
            <w:tcBorders>
              <w:bottom w:val="single" w:sz="4" w:space="0" w:color="auto"/>
            </w:tcBorders>
            <w:vAlign w:val="center"/>
          </w:tcPr>
          <w:p w14:paraId="4CAC3E63" w14:textId="496356C1" w:rsidR="00EC2277" w:rsidRDefault="00EC2277" w:rsidP="00094DD9">
            <w:pPr>
              <w:keepNext/>
              <w:keepLines/>
              <w:snapToGrid w:val="0"/>
              <w:jc w:val="center"/>
              <w:rPr>
                <w:sz w:val="24"/>
                <w:szCs w:val="24"/>
              </w:rPr>
            </w:pPr>
            <w:r>
              <w:rPr>
                <w:sz w:val="24"/>
                <w:szCs w:val="24"/>
              </w:rPr>
              <w:t>&lt;</w:t>
            </w:r>
            <w:r>
              <w:rPr>
                <w:sz w:val="24"/>
                <w:szCs w:val="24"/>
              </w:rPr>
              <w:t xml:space="preserve"> </w:t>
            </w:r>
            <w:r>
              <w:rPr>
                <w:sz w:val="24"/>
                <w:szCs w:val="24"/>
              </w:rPr>
              <w:t>0.001</w:t>
            </w:r>
          </w:p>
        </w:tc>
      </w:tr>
    </w:tbl>
    <w:p w14:paraId="2E344567" w14:textId="77777777" w:rsidR="003046C5" w:rsidRDefault="003046C5" w:rsidP="00094DD9">
      <w:pPr>
        <w:pStyle w:val="Heading2"/>
        <w:keepNext/>
        <w:snapToGrid w:val="0"/>
        <w:spacing w:before="0" w:after="0"/>
        <w:jc w:val="both"/>
        <w:rPr>
          <w:i/>
          <w:iCs/>
          <w:sz w:val="24"/>
          <w:szCs w:val="24"/>
        </w:rPr>
      </w:pPr>
    </w:p>
    <w:p w14:paraId="2E344568" w14:textId="77777777" w:rsidR="003046C5" w:rsidRDefault="00BA54B3" w:rsidP="00094DD9">
      <w:pPr>
        <w:pStyle w:val="Heading2"/>
        <w:keepNext/>
        <w:snapToGrid w:val="0"/>
        <w:spacing w:before="0" w:after="0"/>
        <w:jc w:val="both"/>
        <w:rPr>
          <w:sz w:val="24"/>
          <w:szCs w:val="24"/>
        </w:rPr>
      </w:pPr>
      <w:r>
        <w:rPr>
          <w:rFonts w:hint="eastAsia"/>
          <w:sz w:val="24"/>
          <w:szCs w:val="24"/>
          <w:lang w:val="en-US"/>
        </w:rPr>
        <w:t>3</w:t>
      </w:r>
      <w:r>
        <w:rPr>
          <w:sz w:val="24"/>
          <w:szCs w:val="24"/>
        </w:rPr>
        <w:t>.5</w:t>
      </w:r>
      <w:r>
        <w:rPr>
          <w:rFonts w:hint="eastAsia"/>
          <w:sz w:val="24"/>
          <w:szCs w:val="24"/>
          <w:lang w:val="en-US"/>
        </w:rPr>
        <w:t>.</w:t>
      </w:r>
      <w:r>
        <w:rPr>
          <w:sz w:val="24"/>
          <w:szCs w:val="24"/>
        </w:rPr>
        <w:t xml:space="preserve"> Comparison of clinical efficacy between the two groups</w:t>
      </w:r>
    </w:p>
    <w:p w14:paraId="2E344569" w14:textId="1741B5C1" w:rsidR="003046C5" w:rsidRDefault="00BA54B3" w:rsidP="00094DD9">
      <w:pPr>
        <w:snapToGrid w:val="0"/>
        <w:rPr>
          <w:sz w:val="24"/>
          <w:szCs w:val="24"/>
        </w:rPr>
      </w:pPr>
      <w:r>
        <w:rPr>
          <w:sz w:val="24"/>
          <w:szCs w:val="24"/>
        </w:rPr>
        <w:t>At the end of treatment, in the observation group, 12 cases were cured, 16 cases showed significant improvement, 8 cases showed improvement, and 3 cases showed no improvement, with a total effective rate of 92.3% (36/39); in the control group, 6 cases were cured, 12 cases showed significant improvement, 10 cases showed improvement, and 10 cases showed no improvement, with a total effective rate of 73.7% (28/38); the difference in efficacy between the two groups was statistically significant (Z</w:t>
      </w:r>
      <w:r w:rsidR="00EC2277">
        <w:rPr>
          <w:sz w:val="24"/>
          <w:szCs w:val="24"/>
        </w:rPr>
        <w:t xml:space="preserve"> </w:t>
      </w:r>
      <w:r>
        <w:rPr>
          <w:sz w:val="24"/>
          <w:szCs w:val="24"/>
        </w:rPr>
        <w:t>=</w:t>
      </w:r>
      <w:r w:rsidR="00EC2277">
        <w:rPr>
          <w:sz w:val="24"/>
          <w:szCs w:val="24"/>
        </w:rPr>
        <w:t xml:space="preserve"> </w:t>
      </w:r>
      <w:r>
        <w:rPr>
          <w:sz w:val="24"/>
          <w:szCs w:val="24"/>
        </w:rPr>
        <w:t xml:space="preserve">2.764, </w:t>
      </w:r>
      <w:r w:rsidR="00EC2277">
        <w:rPr>
          <w:i/>
          <w:iCs/>
          <w:sz w:val="24"/>
          <w:szCs w:val="24"/>
        </w:rPr>
        <w:t xml:space="preserve">p </w:t>
      </w:r>
      <w:r>
        <w:rPr>
          <w:sz w:val="24"/>
          <w:szCs w:val="24"/>
        </w:rPr>
        <w:t>=</w:t>
      </w:r>
      <w:r w:rsidR="00EC2277">
        <w:rPr>
          <w:sz w:val="24"/>
          <w:szCs w:val="24"/>
        </w:rPr>
        <w:t xml:space="preserve"> </w:t>
      </w:r>
      <w:r>
        <w:rPr>
          <w:sz w:val="24"/>
          <w:szCs w:val="24"/>
        </w:rPr>
        <w:t>0.006).</w:t>
      </w:r>
    </w:p>
    <w:p w14:paraId="2E34456A" w14:textId="77777777" w:rsidR="003046C5" w:rsidRDefault="003046C5" w:rsidP="00094DD9">
      <w:pPr>
        <w:snapToGrid w:val="0"/>
        <w:ind w:firstLine="420"/>
        <w:rPr>
          <w:sz w:val="24"/>
          <w:szCs w:val="24"/>
        </w:rPr>
      </w:pPr>
    </w:p>
    <w:p w14:paraId="2E34456B" w14:textId="77777777" w:rsidR="003046C5" w:rsidRDefault="00BA54B3" w:rsidP="00094DD9">
      <w:pPr>
        <w:pStyle w:val="Heading1"/>
        <w:keepNext/>
        <w:snapToGrid w:val="0"/>
        <w:spacing w:before="0" w:after="0"/>
        <w:jc w:val="both"/>
        <w:rPr>
          <w:sz w:val="24"/>
          <w:szCs w:val="24"/>
        </w:rPr>
      </w:pPr>
      <w:r>
        <w:rPr>
          <w:rFonts w:hint="eastAsia"/>
          <w:sz w:val="24"/>
          <w:szCs w:val="24"/>
          <w:lang w:val="en-US"/>
        </w:rPr>
        <w:t>4</w:t>
      </w:r>
      <w:r>
        <w:rPr>
          <w:sz w:val="24"/>
          <w:szCs w:val="24"/>
        </w:rPr>
        <w:t>.</w:t>
      </w:r>
      <w:r>
        <w:rPr>
          <w:rFonts w:hint="eastAsia"/>
          <w:sz w:val="24"/>
          <w:szCs w:val="24"/>
          <w:lang w:val="en-US"/>
        </w:rPr>
        <w:t xml:space="preserve"> </w:t>
      </w:r>
      <w:r>
        <w:rPr>
          <w:sz w:val="24"/>
          <w:szCs w:val="24"/>
        </w:rPr>
        <w:t>Discussion</w:t>
      </w:r>
    </w:p>
    <w:p w14:paraId="2E34456C" w14:textId="77777777" w:rsidR="003046C5" w:rsidRDefault="00BA54B3" w:rsidP="00094DD9">
      <w:pPr>
        <w:pStyle w:val="Heading2"/>
        <w:keepNext/>
        <w:snapToGrid w:val="0"/>
        <w:spacing w:before="0" w:after="0"/>
        <w:jc w:val="both"/>
        <w:rPr>
          <w:sz w:val="24"/>
          <w:szCs w:val="24"/>
        </w:rPr>
      </w:pPr>
      <w:r>
        <w:rPr>
          <w:rFonts w:hint="eastAsia"/>
          <w:sz w:val="24"/>
          <w:szCs w:val="24"/>
          <w:lang w:val="en-US"/>
        </w:rPr>
        <w:t>4</w:t>
      </w:r>
      <w:r>
        <w:rPr>
          <w:sz w:val="24"/>
          <w:szCs w:val="24"/>
        </w:rPr>
        <w:t>.1</w:t>
      </w:r>
      <w:r>
        <w:rPr>
          <w:rFonts w:hint="eastAsia"/>
          <w:sz w:val="24"/>
          <w:szCs w:val="24"/>
          <w:lang w:val="en-US"/>
        </w:rPr>
        <w:t>.</w:t>
      </w:r>
      <w:r>
        <w:rPr>
          <w:sz w:val="24"/>
          <w:szCs w:val="24"/>
        </w:rPr>
        <w:t xml:space="preserve"> Comprehensive pelvic floor rehabilitation therapy can effectively relieve pelvic floor pain in MPPS patients.</w:t>
      </w:r>
    </w:p>
    <w:p w14:paraId="2E34456D" w14:textId="16922737" w:rsidR="003046C5" w:rsidRDefault="00BA54B3" w:rsidP="00094DD9">
      <w:pPr>
        <w:snapToGrid w:val="0"/>
        <w:rPr>
          <w:sz w:val="24"/>
          <w:szCs w:val="24"/>
        </w:rPr>
      </w:pPr>
      <w:r>
        <w:rPr>
          <w:sz w:val="24"/>
          <w:szCs w:val="24"/>
        </w:rPr>
        <w:t>The results of this study showed that the NAS score and dyspareunia score of the observation group were significantly lower than those of the control group at the end of treatment and 1 month after treatment, and the total effective rate was higher than that of the control group (</w:t>
      </w:r>
      <w:r w:rsidR="00EC2277">
        <w:rPr>
          <w:i/>
          <w:iCs/>
          <w:sz w:val="24"/>
          <w:szCs w:val="24"/>
        </w:rPr>
        <w:t>p</w:t>
      </w:r>
      <w:r w:rsidR="00EC2277">
        <w:rPr>
          <w:rFonts w:hint="eastAsia"/>
          <w:i/>
          <w:iCs/>
          <w:sz w:val="24"/>
          <w:szCs w:val="24"/>
          <w:lang w:val="en-US"/>
        </w:rPr>
        <w:t xml:space="preserve"> </w:t>
      </w:r>
      <w:r>
        <w:rPr>
          <w:sz w:val="24"/>
          <w:szCs w:val="24"/>
        </w:rPr>
        <w:t>&lt;</w:t>
      </w:r>
      <w:r>
        <w:rPr>
          <w:rFonts w:hint="eastAsia"/>
          <w:sz w:val="24"/>
          <w:szCs w:val="24"/>
          <w:lang w:val="en-US"/>
        </w:rPr>
        <w:t xml:space="preserve"> </w:t>
      </w:r>
      <w:r>
        <w:rPr>
          <w:sz w:val="24"/>
          <w:szCs w:val="24"/>
        </w:rPr>
        <w:t>0.05), which is consistent with the results of relevant studies at home and abroad</w:t>
      </w:r>
      <w:r w:rsidRPr="00094DD9">
        <w:rPr>
          <w:sz w:val="24"/>
          <w:szCs w:val="24"/>
        </w:rPr>
        <w:t xml:space="preserve"> </w:t>
      </w:r>
      <w:r>
        <w:rPr>
          <w:sz w:val="24"/>
          <w:szCs w:val="24"/>
          <w:vertAlign w:val="superscript"/>
        </w:rPr>
        <w:t>[12</w:t>
      </w:r>
      <w:r w:rsidR="00EC2277">
        <w:rPr>
          <w:sz w:val="24"/>
          <w:szCs w:val="24"/>
          <w:vertAlign w:val="superscript"/>
        </w:rPr>
        <w:t>–</w:t>
      </w:r>
      <w:r>
        <w:rPr>
          <w:sz w:val="24"/>
          <w:szCs w:val="24"/>
          <w:vertAlign w:val="superscript"/>
        </w:rPr>
        <w:t>14]</w:t>
      </w:r>
      <w:r>
        <w:rPr>
          <w:sz w:val="24"/>
          <w:szCs w:val="24"/>
        </w:rPr>
        <w:t xml:space="preserve">. Analysis of the reasons: The core pathological change of MPPS is that the long-term overactivity of the pelvic floor muscles leads to continuous contraction of muscle fibers, local ischemia and hypoxia and the formation of MTRPs </w:t>
      </w:r>
      <w:r>
        <w:rPr>
          <w:sz w:val="24"/>
          <w:szCs w:val="24"/>
          <w:vertAlign w:val="superscript"/>
        </w:rPr>
        <w:t>[2]</w:t>
      </w:r>
      <w:r>
        <w:rPr>
          <w:sz w:val="24"/>
          <w:szCs w:val="24"/>
        </w:rPr>
        <w:t xml:space="preserve">. Myofascial release can directly destroy the tension band, relieve muscle spasm, promote local blood circulation and clear pain substances by accurately locating the trigger point through the vagina and applying ischemic pressure; electrical stimulation activates Aβ nerve fibers through the gate control mechanism, inhibits the transmission of pain signals and promotes the release of endogenous opioid peptides </w:t>
      </w:r>
      <w:r>
        <w:rPr>
          <w:sz w:val="24"/>
          <w:szCs w:val="24"/>
          <w:vertAlign w:val="superscript"/>
        </w:rPr>
        <w:t>[7]</w:t>
      </w:r>
      <w:r>
        <w:rPr>
          <w:sz w:val="24"/>
          <w:szCs w:val="24"/>
        </w:rPr>
        <w:t xml:space="preserve">; magnetic stimulation uses pulsed magnetic field to non-invasively regulate the sacral nerve and reduce the excitability of the sympathetic nerve. The three combined with breathing relaxation and biofeedback form a synergistic analgesic effect of </w:t>
      </w:r>
      <w:r>
        <w:rPr>
          <w:sz w:val="24"/>
          <w:szCs w:val="24"/>
          <w:lang w:val="en-US"/>
        </w:rPr>
        <w:t>“</w:t>
      </w:r>
      <w:r>
        <w:rPr>
          <w:sz w:val="24"/>
          <w:szCs w:val="24"/>
        </w:rPr>
        <w:t>peripheral release</w:t>
      </w:r>
      <w:r w:rsidR="00EC2277">
        <w:rPr>
          <w:sz w:val="24"/>
          <w:szCs w:val="24"/>
        </w:rPr>
        <w:t>–</w:t>
      </w:r>
      <w:r>
        <w:rPr>
          <w:sz w:val="24"/>
          <w:szCs w:val="24"/>
        </w:rPr>
        <w:t>neural regulation</w:t>
      </w:r>
      <w:r w:rsidR="00EC2277">
        <w:rPr>
          <w:sz w:val="24"/>
          <w:szCs w:val="24"/>
        </w:rPr>
        <w:t>–</w:t>
      </w:r>
      <w:r>
        <w:rPr>
          <w:sz w:val="24"/>
          <w:szCs w:val="24"/>
        </w:rPr>
        <w:t>central re-education</w:t>
      </w:r>
      <w:r>
        <w:rPr>
          <w:sz w:val="24"/>
          <w:szCs w:val="24"/>
          <w:lang w:val="en-US"/>
        </w:rPr>
        <w:t>”</w:t>
      </w:r>
      <w:r>
        <w:rPr>
          <w:sz w:val="24"/>
          <w:szCs w:val="24"/>
        </w:rPr>
        <w:t>, so the analgesic effect is better than that of simple electrical stimulation.</w:t>
      </w:r>
    </w:p>
    <w:p w14:paraId="2E34456E" w14:textId="77777777" w:rsidR="003046C5" w:rsidRDefault="003046C5" w:rsidP="00094DD9">
      <w:pPr>
        <w:pStyle w:val="Heading2"/>
        <w:keepNext/>
        <w:snapToGrid w:val="0"/>
        <w:spacing w:before="0" w:after="0"/>
        <w:jc w:val="both"/>
        <w:rPr>
          <w:i/>
          <w:iCs/>
          <w:sz w:val="24"/>
          <w:szCs w:val="24"/>
        </w:rPr>
      </w:pPr>
    </w:p>
    <w:p w14:paraId="2E34456F" w14:textId="77777777" w:rsidR="003046C5" w:rsidRDefault="00BA54B3" w:rsidP="00094DD9">
      <w:pPr>
        <w:pStyle w:val="Heading2"/>
        <w:keepNext/>
        <w:snapToGrid w:val="0"/>
        <w:spacing w:before="0" w:after="0"/>
        <w:jc w:val="both"/>
        <w:rPr>
          <w:sz w:val="24"/>
          <w:szCs w:val="24"/>
        </w:rPr>
      </w:pPr>
      <w:r>
        <w:rPr>
          <w:rFonts w:hint="eastAsia"/>
          <w:sz w:val="24"/>
          <w:szCs w:val="24"/>
          <w:lang w:val="en-US"/>
        </w:rPr>
        <w:t>4</w:t>
      </w:r>
      <w:r>
        <w:rPr>
          <w:sz w:val="24"/>
          <w:szCs w:val="24"/>
        </w:rPr>
        <w:t>.2</w:t>
      </w:r>
      <w:r>
        <w:rPr>
          <w:rFonts w:hint="eastAsia"/>
          <w:sz w:val="24"/>
          <w:szCs w:val="24"/>
          <w:lang w:val="en-US"/>
        </w:rPr>
        <w:t>.</w:t>
      </w:r>
      <w:r>
        <w:rPr>
          <w:sz w:val="24"/>
          <w:szCs w:val="24"/>
        </w:rPr>
        <w:t xml:space="preserve"> Comprehensive pelvic floor rehabilitation therapy can improve the electrophysiological function of pelvic floor muscles.</w:t>
      </w:r>
    </w:p>
    <w:p w14:paraId="2E344570" w14:textId="0BC5DC1A" w:rsidR="003046C5" w:rsidRDefault="00BA54B3" w:rsidP="00094DD9">
      <w:pPr>
        <w:snapToGrid w:val="0"/>
        <w:rPr>
          <w:sz w:val="24"/>
          <w:szCs w:val="24"/>
        </w:rPr>
      </w:pPr>
      <w:r>
        <w:rPr>
          <w:sz w:val="24"/>
          <w:szCs w:val="24"/>
        </w:rPr>
        <w:t>Glazer surface electromyography assessment is an objective indicator for quantifying pelvic floor muscle function. The pre- and post-resting potentials and coefficient of variation reflect the hypertonic state and relaxation ability of the pelvic floor muscles, while the contraction amplitude reflects the strength and endurance of fast and slow muscles. In this study, the resting potentials and coefficient of variation of the observation group were significantly reduced and the contraction amplitudes of eac</w:t>
      </w:r>
      <w:r>
        <w:rPr>
          <w:sz w:val="24"/>
          <w:szCs w:val="24"/>
        </w:rPr>
        <w:t>h muscle were significantly increased after treatment (</w:t>
      </w:r>
      <w:r w:rsidR="00EC2277">
        <w:rPr>
          <w:i/>
          <w:iCs/>
          <w:sz w:val="24"/>
          <w:szCs w:val="24"/>
        </w:rPr>
        <w:t>p</w:t>
      </w:r>
      <w:r w:rsidR="00EC2277">
        <w:rPr>
          <w:rFonts w:hint="eastAsia"/>
          <w:i/>
          <w:iCs/>
          <w:sz w:val="24"/>
          <w:szCs w:val="24"/>
          <w:lang w:val="en-US"/>
        </w:rPr>
        <w:t xml:space="preserve"> </w:t>
      </w:r>
      <w:r>
        <w:rPr>
          <w:sz w:val="24"/>
          <w:szCs w:val="24"/>
        </w:rPr>
        <w:t>&lt;</w:t>
      </w:r>
      <w:r>
        <w:rPr>
          <w:rFonts w:hint="eastAsia"/>
          <w:sz w:val="24"/>
          <w:szCs w:val="24"/>
          <w:lang w:val="en-US"/>
        </w:rPr>
        <w:t xml:space="preserve"> </w:t>
      </w:r>
      <w:r>
        <w:rPr>
          <w:sz w:val="24"/>
          <w:szCs w:val="24"/>
        </w:rPr>
        <w:t xml:space="preserve">0.05), suggesting that comprehensive treatment not only reduced the abnormal hypertonicity of the pelvic floor muscles but also enhanced the contraction strength, endurance and coordination of the pelvic floor muscles. This is consistent with the report by Yang Zhijuan et al. </w:t>
      </w:r>
      <w:r>
        <w:rPr>
          <w:sz w:val="24"/>
          <w:szCs w:val="24"/>
        </w:rPr>
        <w:t xml:space="preserve">on how electrical-stimulation biofeedback combined with manual massage can improve the electromyographic indicators of pelvic floor muscles </w:t>
      </w:r>
      <w:r>
        <w:rPr>
          <w:sz w:val="24"/>
          <w:szCs w:val="24"/>
        </w:rPr>
        <w:lastRenderedPageBreak/>
        <w:t>in MPPS patients</w:t>
      </w:r>
      <w:r w:rsidR="00EC2277">
        <w:rPr>
          <w:sz w:val="24"/>
          <w:szCs w:val="24"/>
        </w:rPr>
        <w:t xml:space="preserve"> </w:t>
      </w:r>
      <w:r w:rsidR="00EC2277">
        <w:rPr>
          <w:sz w:val="24"/>
          <w:szCs w:val="24"/>
          <w:vertAlign w:val="superscript"/>
        </w:rPr>
        <w:t>[15]</w:t>
      </w:r>
      <w:r>
        <w:rPr>
          <w:sz w:val="24"/>
          <w:szCs w:val="24"/>
        </w:rPr>
        <w:t xml:space="preserve">. Biofeedback helps patients establish a conditioned reflex between the brain and pelvic floor muscles through sound and image signals, correcting the pattern of </w:t>
      </w:r>
      <w:r>
        <w:rPr>
          <w:sz w:val="24"/>
          <w:szCs w:val="24"/>
          <w:lang w:val="en-US"/>
        </w:rPr>
        <w:t>“</w:t>
      </w:r>
      <w:r>
        <w:rPr>
          <w:sz w:val="24"/>
          <w:szCs w:val="24"/>
        </w:rPr>
        <w:t>not being able to relax and contracting incorrectly</w:t>
      </w:r>
      <w:r>
        <w:rPr>
          <w:sz w:val="24"/>
          <w:szCs w:val="24"/>
          <w:lang w:val="en-US"/>
        </w:rPr>
        <w:t>”</w:t>
      </w:r>
      <w:r>
        <w:rPr>
          <w:sz w:val="24"/>
          <w:szCs w:val="24"/>
        </w:rPr>
        <w:t xml:space="preserve">; abdominal breathing reduces the excitability of the sympathetic nerves and relieves the excessive activity of the bladder detrusor muscle, thereby improving the fatigue and spasm state of the pelvic floor muscles </w:t>
      </w:r>
      <w:r>
        <w:rPr>
          <w:sz w:val="24"/>
          <w:szCs w:val="24"/>
          <w:vertAlign w:val="superscript"/>
        </w:rPr>
        <w:t>[8]</w:t>
      </w:r>
      <w:r>
        <w:rPr>
          <w:sz w:val="24"/>
          <w:szCs w:val="24"/>
        </w:rPr>
        <w:t>.</w:t>
      </w:r>
    </w:p>
    <w:p w14:paraId="2E344571" w14:textId="77777777" w:rsidR="003046C5" w:rsidRDefault="003046C5" w:rsidP="00094DD9">
      <w:pPr>
        <w:pStyle w:val="Heading2"/>
        <w:keepNext/>
        <w:snapToGrid w:val="0"/>
        <w:spacing w:before="0" w:after="0"/>
        <w:jc w:val="both"/>
        <w:rPr>
          <w:i/>
          <w:iCs/>
          <w:sz w:val="24"/>
          <w:szCs w:val="24"/>
        </w:rPr>
      </w:pPr>
    </w:p>
    <w:p w14:paraId="2E344572" w14:textId="77777777" w:rsidR="003046C5" w:rsidRDefault="00BA54B3" w:rsidP="00094DD9">
      <w:pPr>
        <w:pStyle w:val="Heading2"/>
        <w:keepNext/>
        <w:snapToGrid w:val="0"/>
        <w:spacing w:before="0" w:after="0"/>
        <w:jc w:val="both"/>
        <w:rPr>
          <w:sz w:val="24"/>
          <w:szCs w:val="24"/>
        </w:rPr>
      </w:pPr>
      <w:r>
        <w:rPr>
          <w:rFonts w:hint="eastAsia"/>
          <w:sz w:val="24"/>
          <w:szCs w:val="24"/>
          <w:lang w:val="en-US"/>
        </w:rPr>
        <w:t>4</w:t>
      </w:r>
      <w:r>
        <w:rPr>
          <w:sz w:val="24"/>
          <w:szCs w:val="24"/>
        </w:rPr>
        <w:t>.3</w:t>
      </w:r>
      <w:r>
        <w:rPr>
          <w:rFonts w:hint="eastAsia"/>
          <w:sz w:val="24"/>
          <w:szCs w:val="24"/>
          <w:lang w:val="en-US"/>
        </w:rPr>
        <w:t>.</w:t>
      </w:r>
      <w:r>
        <w:rPr>
          <w:sz w:val="24"/>
          <w:szCs w:val="24"/>
        </w:rPr>
        <w:t xml:space="preserve"> Comprehensive pelvic floor rehabilitation therapy can improve patients</w:t>
      </w:r>
      <w:r>
        <w:rPr>
          <w:sz w:val="24"/>
          <w:szCs w:val="24"/>
          <w:lang w:val="en-US"/>
        </w:rPr>
        <w:t>’</w:t>
      </w:r>
      <w:r>
        <w:rPr>
          <w:sz w:val="24"/>
          <w:szCs w:val="24"/>
        </w:rPr>
        <w:t xml:space="preserve"> health-related quality of life.</w:t>
      </w:r>
    </w:p>
    <w:p w14:paraId="2E344573" w14:textId="5CC6A0D1" w:rsidR="003046C5" w:rsidRDefault="00BA54B3" w:rsidP="00094DD9">
      <w:pPr>
        <w:snapToGrid w:val="0"/>
        <w:rPr>
          <w:sz w:val="24"/>
          <w:szCs w:val="24"/>
        </w:rPr>
      </w:pPr>
      <w:r>
        <w:rPr>
          <w:sz w:val="24"/>
          <w:szCs w:val="24"/>
        </w:rPr>
        <w:t xml:space="preserve">Patients with MPPS suffer from chronic pain, dyspareunia, and abnormal urination and defecation, often leading to secondary anxiety, depression, and sleep disorders, significantly impacting their social and family life </w:t>
      </w:r>
      <w:r>
        <w:rPr>
          <w:sz w:val="24"/>
          <w:szCs w:val="24"/>
          <w:vertAlign w:val="superscript"/>
        </w:rPr>
        <w:t>[3</w:t>
      </w:r>
      <w:r w:rsidR="00EC2277">
        <w:rPr>
          <w:sz w:val="24"/>
          <w:szCs w:val="24"/>
          <w:vertAlign w:val="superscript"/>
        </w:rPr>
        <w:t>,</w:t>
      </w:r>
      <w:r>
        <w:rPr>
          <w:sz w:val="24"/>
          <w:szCs w:val="24"/>
          <w:vertAlign w:val="superscript"/>
        </w:rPr>
        <w:t>4]</w:t>
      </w:r>
      <w:r>
        <w:rPr>
          <w:sz w:val="24"/>
          <w:szCs w:val="24"/>
        </w:rPr>
        <w:t>. In this study, the observation group showed greater improvement in NHP pain, energy, sleep, and emotional response scores compared to the control group after treatment (</w:t>
      </w:r>
      <w:r w:rsidR="00EC2277">
        <w:rPr>
          <w:i/>
          <w:iCs/>
          <w:sz w:val="24"/>
          <w:szCs w:val="24"/>
        </w:rPr>
        <w:t xml:space="preserve">p </w:t>
      </w:r>
      <w:r>
        <w:rPr>
          <w:sz w:val="24"/>
          <w:szCs w:val="24"/>
        </w:rPr>
        <w:t>&lt;</w:t>
      </w:r>
      <w:r w:rsidR="00EC2277">
        <w:rPr>
          <w:sz w:val="24"/>
          <w:szCs w:val="24"/>
        </w:rPr>
        <w:t xml:space="preserve"> </w:t>
      </w:r>
      <w:r>
        <w:rPr>
          <w:sz w:val="24"/>
          <w:szCs w:val="24"/>
        </w:rPr>
        <w:t>0.05), indicating that with pain relief and improved pelvic floor function, patients</w:t>
      </w:r>
      <w:r>
        <w:rPr>
          <w:sz w:val="24"/>
          <w:szCs w:val="24"/>
          <w:lang w:val="en-US"/>
        </w:rPr>
        <w:t>’</w:t>
      </w:r>
      <w:r>
        <w:rPr>
          <w:rFonts w:hint="eastAsia"/>
          <w:sz w:val="24"/>
          <w:szCs w:val="24"/>
          <w:lang w:val="en-US"/>
        </w:rPr>
        <w:t xml:space="preserve"> </w:t>
      </w:r>
      <w:r>
        <w:rPr>
          <w:sz w:val="24"/>
          <w:szCs w:val="24"/>
        </w:rPr>
        <w:t>overall physical and mental well-being and daily activities are enhanced. The comprehensive approach combines nursing assessment, health education, treatment implementation, and home training guidance, emphasizing patient participation and long-term adherence management, reflecting a patient-centered holistic nursing philosophy.</w:t>
      </w:r>
    </w:p>
    <w:p w14:paraId="2E344574" w14:textId="77777777" w:rsidR="003046C5" w:rsidRDefault="003046C5" w:rsidP="00094DD9">
      <w:pPr>
        <w:pStyle w:val="Heading2"/>
        <w:keepNext/>
        <w:snapToGrid w:val="0"/>
        <w:spacing w:before="0" w:after="0"/>
        <w:jc w:val="both"/>
        <w:rPr>
          <w:i/>
          <w:iCs/>
          <w:sz w:val="24"/>
          <w:szCs w:val="24"/>
        </w:rPr>
      </w:pPr>
    </w:p>
    <w:p w14:paraId="2E344575" w14:textId="77777777" w:rsidR="003046C5" w:rsidRDefault="00BA54B3" w:rsidP="00094DD9">
      <w:pPr>
        <w:pStyle w:val="Heading2"/>
        <w:keepNext/>
        <w:snapToGrid w:val="0"/>
        <w:spacing w:before="0" w:after="0"/>
        <w:jc w:val="both"/>
        <w:rPr>
          <w:sz w:val="24"/>
          <w:szCs w:val="24"/>
        </w:rPr>
      </w:pPr>
      <w:r>
        <w:rPr>
          <w:rFonts w:hint="eastAsia"/>
          <w:sz w:val="24"/>
          <w:szCs w:val="24"/>
          <w:lang w:val="en-US"/>
        </w:rPr>
        <w:t>4</w:t>
      </w:r>
      <w:r>
        <w:rPr>
          <w:sz w:val="24"/>
          <w:szCs w:val="24"/>
        </w:rPr>
        <w:t>.4</w:t>
      </w:r>
      <w:r>
        <w:rPr>
          <w:rFonts w:hint="eastAsia"/>
          <w:sz w:val="24"/>
          <w:szCs w:val="24"/>
          <w:lang w:val="en-US"/>
        </w:rPr>
        <w:t>.</w:t>
      </w:r>
      <w:r>
        <w:rPr>
          <w:sz w:val="24"/>
          <w:szCs w:val="24"/>
        </w:rPr>
        <w:t xml:space="preserve"> Nursing </w:t>
      </w:r>
      <w:r>
        <w:rPr>
          <w:rFonts w:hint="eastAsia"/>
          <w:sz w:val="24"/>
          <w:szCs w:val="24"/>
          <w:lang w:val="en-US"/>
        </w:rPr>
        <w:t>k</w:t>
      </w:r>
      <w:r>
        <w:rPr>
          <w:sz w:val="24"/>
          <w:szCs w:val="24"/>
        </w:rPr>
        <w:t xml:space="preserve">ey </w:t>
      </w:r>
      <w:r>
        <w:rPr>
          <w:rFonts w:hint="eastAsia"/>
          <w:sz w:val="24"/>
          <w:szCs w:val="24"/>
          <w:lang w:val="en-US"/>
        </w:rPr>
        <w:t>p</w:t>
      </w:r>
      <w:r>
        <w:rPr>
          <w:sz w:val="24"/>
          <w:szCs w:val="24"/>
        </w:rPr>
        <w:t xml:space="preserve">oints and </w:t>
      </w:r>
      <w:r>
        <w:rPr>
          <w:rFonts w:hint="eastAsia"/>
          <w:sz w:val="24"/>
          <w:szCs w:val="24"/>
          <w:lang w:val="en-US"/>
        </w:rPr>
        <w:t>c</w:t>
      </w:r>
      <w:r>
        <w:rPr>
          <w:sz w:val="24"/>
          <w:szCs w:val="24"/>
        </w:rPr>
        <w:t xml:space="preserve">ompliance </w:t>
      </w:r>
      <w:r>
        <w:rPr>
          <w:rFonts w:hint="eastAsia"/>
          <w:sz w:val="24"/>
          <w:szCs w:val="24"/>
          <w:lang w:val="en-US"/>
        </w:rPr>
        <w:t>m</w:t>
      </w:r>
      <w:r>
        <w:rPr>
          <w:sz w:val="24"/>
          <w:szCs w:val="24"/>
        </w:rPr>
        <w:t>anagement</w:t>
      </w:r>
    </w:p>
    <w:p w14:paraId="2E344576" w14:textId="77777777" w:rsidR="003046C5" w:rsidRDefault="00BA54B3" w:rsidP="00094DD9">
      <w:pPr>
        <w:snapToGrid w:val="0"/>
        <w:rPr>
          <w:sz w:val="24"/>
          <w:szCs w:val="24"/>
        </w:rPr>
      </w:pPr>
      <w:r>
        <w:rPr>
          <w:sz w:val="24"/>
          <w:szCs w:val="24"/>
        </w:rPr>
        <w:t xml:space="preserve">MPPS treatment has a relatively long cycle (15 sessions over 5 weeks), and most patients are working women. Because it involves transvaginal procedures, patients are prone to feelings of embarrassment and dislodgement. Nursing care should include: </w:t>
      </w:r>
    </w:p>
    <w:p w14:paraId="519B4FF6" w14:textId="5A359AC0" w:rsidR="00EC2277" w:rsidRDefault="00BA54B3" w:rsidP="00094DD9">
      <w:pPr>
        <w:snapToGrid w:val="0"/>
        <w:ind w:left="709" w:hanging="709"/>
        <w:rPr>
          <w:sz w:val="24"/>
          <w:szCs w:val="24"/>
        </w:rPr>
      </w:pPr>
      <w:r>
        <w:rPr>
          <w:rFonts w:hint="eastAsia"/>
          <w:sz w:val="24"/>
          <w:szCs w:val="24"/>
          <w:lang w:val="en-US"/>
        </w:rPr>
        <w:t>(1)</w:t>
      </w:r>
      <w:r>
        <w:rPr>
          <w:sz w:val="24"/>
          <w:szCs w:val="24"/>
        </w:rPr>
        <w:t xml:space="preserve"> </w:t>
      </w:r>
      <w:r w:rsidR="00EC2277">
        <w:rPr>
          <w:sz w:val="24"/>
          <w:szCs w:val="24"/>
        </w:rPr>
        <w:tab/>
      </w:r>
      <w:r>
        <w:rPr>
          <w:sz w:val="24"/>
          <w:szCs w:val="24"/>
        </w:rPr>
        <w:t xml:space="preserve">Thoroughly explaining pelvic floor anatomy and treatment principles before treatment to protect patient privacy and alleviate anxiety; </w:t>
      </w:r>
    </w:p>
    <w:p w14:paraId="2B03115C" w14:textId="25C66B3B" w:rsidR="00EC2277" w:rsidRDefault="00BA54B3" w:rsidP="00094DD9">
      <w:pPr>
        <w:snapToGrid w:val="0"/>
        <w:ind w:left="709" w:hanging="709"/>
        <w:rPr>
          <w:sz w:val="24"/>
          <w:szCs w:val="24"/>
        </w:rPr>
      </w:pPr>
      <w:r>
        <w:rPr>
          <w:rFonts w:hint="eastAsia"/>
          <w:sz w:val="24"/>
          <w:szCs w:val="24"/>
          <w:lang w:val="en-US"/>
        </w:rPr>
        <w:t>(2)</w:t>
      </w:r>
      <w:r>
        <w:rPr>
          <w:sz w:val="24"/>
          <w:szCs w:val="24"/>
        </w:rPr>
        <w:t xml:space="preserve"> </w:t>
      </w:r>
      <w:r w:rsidR="00EC2277">
        <w:rPr>
          <w:sz w:val="24"/>
          <w:szCs w:val="24"/>
        </w:rPr>
        <w:tab/>
      </w:r>
      <w:r>
        <w:rPr>
          <w:sz w:val="24"/>
          <w:szCs w:val="24"/>
        </w:rPr>
        <w:t xml:space="preserve">Gradually increasing the intensity of manual techniques and electrical stimulation to a level tolerable to the patient; </w:t>
      </w:r>
    </w:p>
    <w:p w14:paraId="11293D82" w14:textId="44E9C7C2" w:rsidR="00EC2277" w:rsidRDefault="00BA54B3" w:rsidP="00094DD9">
      <w:pPr>
        <w:snapToGrid w:val="0"/>
        <w:ind w:left="709" w:hanging="709"/>
        <w:rPr>
          <w:sz w:val="24"/>
          <w:szCs w:val="24"/>
        </w:rPr>
      </w:pPr>
      <w:r>
        <w:rPr>
          <w:rFonts w:hint="eastAsia"/>
          <w:sz w:val="24"/>
          <w:szCs w:val="24"/>
          <w:lang w:val="en-US"/>
        </w:rPr>
        <w:t>(3)</w:t>
      </w:r>
      <w:r>
        <w:rPr>
          <w:sz w:val="24"/>
          <w:szCs w:val="24"/>
        </w:rPr>
        <w:t xml:space="preserve"> </w:t>
      </w:r>
      <w:r w:rsidR="00EC2277">
        <w:rPr>
          <w:sz w:val="24"/>
          <w:szCs w:val="24"/>
        </w:rPr>
        <w:tab/>
      </w:r>
      <w:r>
        <w:rPr>
          <w:sz w:val="24"/>
          <w:szCs w:val="24"/>
        </w:rPr>
        <w:t xml:space="preserve">Establishing a WeChat follow-up group to remind patients of treatment times and supervise home Kegel exercises to minimize interruptions due to menstruation or work conflicts; </w:t>
      </w:r>
    </w:p>
    <w:p w14:paraId="2E34457A" w14:textId="2B27F61D" w:rsidR="003046C5" w:rsidRDefault="00BA54B3" w:rsidP="00094DD9">
      <w:pPr>
        <w:snapToGrid w:val="0"/>
        <w:ind w:left="709" w:hanging="709"/>
        <w:rPr>
          <w:sz w:val="24"/>
          <w:szCs w:val="24"/>
        </w:rPr>
      </w:pPr>
      <w:r>
        <w:rPr>
          <w:rFonts w:hint="eastAsia"/>
          <w:sz w:val="24"/>
          <w:szCs w:val="24"/>
          <w:lang w:val="en-US"/>
        </w:rPr>
        <w:t>(</w:t>
      </w:r>
      <w:r>
        <w:rPr>
          <w:rFonts w:hint="eastAsia"/>
          <w:sz w:val="24"/>
          <w:szCs w:val="24"/>
          <w:lang w:val="en-US"/>
        </w:rPr>
        <w:t>4)</w:t>
      </w:r>
      <w:r>
        <w:rPr>
          <w:sz w:val="24"/>
          <w:szCs w:val="24"/>
        </w:rPr>
        <w:t xml:space="preserve"> </w:t>
      </w:r>
      <w:r w:rsidR="00EC2277">
        <w:rPr>
          <w:sz w:val="24"/>
          <w:szCs w:val="24"/>
        </w:rPr>
        <w:tab/>
      </w:r>
      <w:r>
        <w:rPr>
          <w:sz w:val="24"/>
          <w:szCs w:val="24"/>
        </w:rPr>
        <w:t>Having a designated nurse perform treatment and assessments to ensure consistency and data reliability.</w:t>
      </w:r>
    </w:p>
    <w:p w14:paraId="2E34457B" w14:textId="77777777" w:rsidR="003046C5" w:rsidRDefault="003046C5" w:rsidP="00094DD9">
      <w:pPr>
        <w:snapToGrid w:val="0"/>
        <w:ind w:firstLine="420"/>
        <w:rPr>
          <w:sz w:val="24"/>
          <w:szCs w:val="24"/>
        </w:rPr>
      </w:pPr>
    </w:p>
    <w:p w14:paraId="2E34457C" w14:textId="77777777" w:rsidR="003046C5" w:rsidRDefault="00BA54B3" w:rsidP="00094DD9">
      <w:pPr>
        <w:pStyle w:val="Heading1"/>
        <w:keepNext/>
        <w:snapToGrid w:val="0"/>
        <w:spacing w:before="0" w:after="0"/>
        <w:jc w:val="both"/>
        <w:rPr>
          <w:sz w:val="24"/>
          <w:szCs w:val="24"/>
        </w:rPr>
      </w:pPr>
      <w:r>
        <w:rPr>
          <w:rFonts w:hint="eastAsia"/>
          <w:sz w:val="24"/>
          <w:szCs w:val="24"/>
          <w:lang w:val="en-US"/>
        </w:rPr>
        <w:t>5</w:t>
      </w:r>
      <w:r>
        <w:rPr>
          <w:sz w:val="24"/>
          <w:szCs w:val="24"/>
        </w:rPr>
        <w:t>.</w:t>
      </w:r>
      <w:r>
        <w:rPr>
          <w:rFonts w:hint="eastAsia"/>
          <w:sz w:val="24"/>
          <w:szCs w:val="24"/>
          <w:lang w:val="en-US"/>
        </w:rPr>
        <w:t xml:space="preserve"> </w:t>
      </w:r>
      <w:r>
        <w:rPr>
          <w:sz w:val="24"/>
          <w:szCs w:val="24"/>
          <w:lang w:val="en-US"/>
        </w:rPr>
        <w:t>C</w:t>
      </w:r>
      <w:r>
        <w:rPr>
          <w:sz w:val="24"/>
          <w:szCs w:val="24"/>
        </w:rPr>
        <w:t>onclusion</w:t>
      </w:r>
    </w:p>
    <w:p w14:paraId="2E34457D" w14:textId="77777777" w:rsidR="003046C5" w:rsidRDefault="00BA54B3" w:rsidP="00094DD9">
      <w:pPr>
        <w:snapToGrid w:val="0"/>
        <w:rPr>
          <w:sz w:val="24"/>
          <w:szCs w:val="24"/>
        </w:rPr>
      </w:pPr>
      <w:r>
        <w:rPr>
          <w:sz w:val="24"/>
          <w:szCs w:val="24"/>
        </w:rPr>
        <w:t>Comprehensive pelvic floor rehabilitation therapy integrates myofascial manipulation, breathing exercises, electrical stimulation, biofeedback, magnetic stimulation, and home training. It can effectively relieve pelvic floor pain in patients with pelvic floor muscle hypertonia, reduce pelvic floor muscle hypertonia, improve pelvic floor muscle electrophysiological function, and enhance health-related quality of life. Its short-term efficacy is superior to simple electrical stimulation therapy, and it has go</w:t>
      </w:r>
      <w:r>
        <w:rPr>
          <w:sz w:val="24"/>
          <w:szCs w:val="24"/>
        </w:rPr>
        <w:t>od safety profiles, making it worthy of widespread application in gynecological pelvic floor rehabilitation nursing. However, this study was a single-center study with a limited sample size, short follow-up period, and the inability to implement assessor blinding, thus limiting the extrapolation of its conclusions. Future research should include multi-center, large-sample, randomized controlled trials with long-term follow-up and sham stimulation controls to further validate its long-term efficacy and explo</w:t>
      </w:r>
      <w:r>
        <w:rPr>
          <w:sz w:val="24"/>
          <w:szCs w:val="24"/>
        </w:rPr>
        <w:t>re standardized operating procedures.</w:t>
      </w:r>
    </w:p>
    <w:p w14:paraId="2E34457E" w14:textId="77777777" w:rsidR="003046C5" w:rsidRDefault="003046C5" w:rsidP="00094DD9">
      <w:pPr>
        <w:snapToGrid w:val="0"/>
        <w:rPr>
          <w:sz w:val="24"/>
          <w:szCs w:val="24"/>
        </w:rPr>
      </w:pPr>
    </w:p>
    <w:p w14:paraId="2E34457F" w14:textId="77777777" w:rsidR="003046C5" w:rsidRDefault="00BA54B3" w:rsidP="00094DD9">
      <w:pPr>
        <w:snapToGrid w:val="0"/>
        <w:rPr>
          <w:b/>
          <w:bCs/>
          <w:sz w:val="24"/>
          <w:szCs w:val="24"/>
        </w:rPr>
      </w:pPr>
      <w:r>
        <w:rPr>
          <w:b/>
          <w:bCs/>
          <w:sz w:val="24"/>
          <w:szCs w:val="24"/>
        </w:rPr>
        <w:t>Funding</w:t>
      </w:r>
    </w:p>
    <w:p w14:paraId="2E344580" w14:textId="58BF291A" w:rsidR="003046C5" w:rsidRDefault="00BA54B3" w:rsidP="00094DD9">
      <w:pPr>
        <w:widowControl/>
        <w:snapToGrid w:val="0"/>
        <w:rPr>
          <w:rFonts w:eastAsia="Helvetica Neue"/>
          <w:bCs/>
          <w:sz w:val="24"/>
          <w:szCs w:val="24"/>
          <w:shd w:val="clear" w:color="auto" w:fill="FFFFFF"/>
          <w:lang w:val="en-US" w:bidi="ar"/>
        </w:rPr>
      </w:pPr>
      <w:r>
        <w:rPr>
          <w:rFonts w:eastAsia="Helvetica Neue"/>
          <w:bCs/>
          <w:sz w:val="24"/>
          <w:szCs w:val="24"/>
          <w:shd w:val="clear" w:color="auto" w:fill="FFFFFF"/>
          <w:lang w:val="en-US" w:bidi="ar"/>
        </w:rPr>
        <w:t>Science and Technology Development Incubation Fund of Shaanxi Provincial People’s Hospital (</w:t>
      </w:r>
      <w:r w:rsidR="00544E79">
        <w:rPr>
          <w:rFonts w:eastAsia="Helvetica Neue"/>
          <w:bCs/>
          <w:sz w:val="24"/>
          <w:szCs w:val="24"/>
          <w:shd w:val="clear" w:color="auto" w:fill="FFFFFF"/>
          <w:lang w:val="en-US" w:bidi="ar"/>
        </w:rPr>
        <w:t>Project</w:t>
      </w:r>
      <w:r>
        <w:rPr>
          <w:rFonts w:eastAsia="Helvetica Neue"/>
          <w:bCs/>
          <w:sz w:val="24"/>
          <w:szCs w:val="24"/>
          <w:shd w:val="clear" w:color="auto" w:fill="FFFFFF"/>
          <w:lang w:val="en-US" w:bidi="ar"/>
        </w:rPr>
        <w:t xml:space="preserve"> No.</w:t>
      </w:r>
      <w:r w:rsidR="00544E79">
        <w:rPr>
          <w:rFonts w:eastAsia="Helvetica Neue"/>
          <w:bCs/>
          <w:sz w:val="24"/>
          <w:szCs w:val="24"/>
          <w:shd w:val="clear" w:color="auto" w:fill="FFFFFF"/>
          <w:lang w:val="en-US" w:bidi="ar"/>
        </w:rPr>
        <w:t>:</w:t>
      </w:r>
      <w:r>
        <w:rPr>
          <w:rFonts w:eastAsia="Helvetica Neue"/>
          <w:bCs/>
          <w:sz w:val="24"/>
          <w:szCs w:val="24"/>
          <w:shd w:val="clear" w:color="auto" w:fill="FFFFFF"/>
          <w:lang w:val="en-US" w:bidi="ar"/>
        </w:rPr>
        <w:t xml:space="preserve"> 2023HL-29)</w:t>
      </w:r>
    </w:p>
    <w:p w14:paraId="2E344581" w14:textId="77777777" w:rsidR="003046C5" w:rsidRDefault="003046C5" w:rsidP="00094DD9">
      <w:pPr>
        <w:widowControl/>
        <w:snapToGrid w:val="0"/>
        <w:jc w:val="left"/>
        <w:rPr>
          <w:rFonts w:eastAsia="Helvetica Neue"/>
          <w:bCs/>
          <w:sz w:val="24"/>
          <w:szCs w:val="24"/>
          <w:shd w:val="clear" w:color="auto" w:fill="FFFFFF"/>
          <w:lang w:val="en-US" w:bidi="ar"/>
        </w:rPr>
      </w:pPr>
    </w:p>
    <w:p w14:paraId="2E344582" w14:textId="77777777" w:rsidR="003046C5" w:rsidRDefault="00BA54B3" w:rsidP="00094DD9">
      <w:pPr>
        <w:snapToGrid w:val="0"/>
        <w:rPr>
          <w:b/>
          <w:bCs/>
          <w:sz w:val="24"/>
        </w:rPr>
      </w:pPr>
      <w:bookmarkStart w:id="0" w:name="_Hlk181689731"/>
      <w:r>
        <w:rPr>
          <w:b/>
          <w:bCs/>
          <w:sz w:val="24"/>
        </w:rPr>
        <w:t>Disclosure statement</w:t>
      </w:r>
    </w:p>
    <w:p w14:paraId="2E344583" w14:textId="77777777" w:rsidR="003046C5" w:rsidRDefault="00BA54B3" w:rsidP="00094DD9">
      <w:pPr>
        <w:snapToGrid w:val="0"/>
        <w:rPr>
          <w:sz w:val="24"/>
        </w:rPr>
      </w:pPr>
      <w:r>
        <w:rPr>
          <w:sz w:val="24"/>
        </w:rPr>
        <w:t>The author declare</w:t>
      </w:r>
      <w:r>
        <w:rPr>
          <w:rFonts w:hint="eastAsia"/>
          <w:sz w:val="24"/>
          <w:lang w:val="en-US"/>
        </w:rPr>
        <w:t>s</w:t>
      </w:r>
      <w:r>
        <w:rPr>
          <w:sz w:val="24"/>
        </w:rPr>
        <w:t xml:space="preserve"> no conflict of interest. </w:t>
      </w:r>
    </w:p>
    <w:bookmarkEnd w:id="0"/>
    <w:p w14:paraId="2E344584" w14:textId="77777777" w:rsidR="003046C5" w:rsidRDefault="003046C5" w:rsidP="00094DD9">
      <w:pPr>
        <w:snapToGrid w:val="0"/>
        <w:ind w:firstLine="420"/>
        <w:rPr>
          <w:sz w:val="24"/>
          <w:szCs w:val="24"/>
        </w:rPr>
      </w:pPr>
    </w:p>
    <w:p w14:paraId="2E344585" w14:textId="77777777" w:rsidR="003046C5" w:rsidRDefault="00BA54B3" w:rsidP="00094DD9">
      <w:pPr>
        <w:pStyle w:val="Heading1"/>
        <w:keepNext/>
        <w:snapToGrid w:val="0"/>
        <w:spacing w:before="0" w:after="0"/>
        <w:jc w:val="both"/>
        <w:rPr>
          <w:sz w:val="24"/>
          <w:szCs w:val="24"/>
        </w:rPr>
      </w:pPr>
      <w:r>
        <w:rPr>
          <w:sz w:val="24"/>
          <w:szCs w:val="24"/>
        </w:rPr>
        <w:lastRenderedPageBreak/>
        <w:t>References</w:t>
      </w:r>
    </w:p>
    <w:p w14:paraId="0859FA74" w14:textId="5A4E6589" w:rsidR="00ED1106" w:rsidRDefault="00ED1106" w:rsidP="00ED1106">
      <w:pPr>
        <w:snapToGrid w:val="0"/>
        <w:ind w:left="709" w:hanging="709"/>
        <w:rPr>
          <w:sz w:val="24"/>
          <w:szCs w:val="24"/>
          <w:lang w:val="en-MY"/>
        </w:rPr>
      </w:pPr>
      <w:r w:rsidRPr="00ED1106">
        <w:rPr>
          <w:sz w:val="24"/>
          <w:szCs w:val="24"/>
          <w:lang w:val="en-MY"/>
        </w:rPr>
        <w:t xml:space="preserve">[1] </w:t>
      </w:r>
      <w:r>
        <w:rPr>
          <w:sz w:val="24"/>
          <w:szCs w:val="24"/>
          <w:lang w:val="en-MY"/>
        </w:rPr>
        <w:tab/>
      </w:r>
      <w:r w:rsidRPr="00ED1106">
        <w:rPr>
          <w:sz w:val="24"/>
          <w:szCs w:val="24"/>
          <w:lang w:val="en-MY"/>
        </w:rPr>
        <w:t>Yu H, Gao G, Li J, et al., 2022, Research Progress in Physical Therapy for Female Pelvic Floor Myofascial Pain Syndrome. Chinese Journal of Medical Aesthetics, 12(8): 93–96.</w:t>
      </w:r>
    </w:p>
    <w:p w14:paraId="30EC9635" w14:textId="77777777" w:rsidR="00ED1106" w:rsidRDefault="00ED1106" w:rsidP="00ED1106">
      <w:pPr>
        <w:snapToGrid w:val="0"/>
        <w:ind w:left="709" w:hanging="709"/>
        <w:rPr>
          <w:sz w:val="24"/>
          <w:szCs w:val="24"/>
          <w:lang w:val="en-MY"/>
        </w:rPr>
      </w:pPr>
      <w:r w:rsidRPr="00ED1106">
        <w:rPr>
          <w:sz w:val="24"/>
          <w:szCs w:val="24"/>
          <w:lang w:val="en-MY"/>
        </w:rPr>
        <w:t xml:space="preserve">[2] </w:t>
      </w:r>
      <w:r>
        <w:rPr>
          <w:sz w:val="24"/>
          <w:szCs w:val="24"/>
          <w:lang w:val="en-MY"/>
        </w:rPr>
        <w:tab/>
      </w:r>
      <w:r w:rsidRPr="00ED1106">
        <w:rPr>
          <w:sz w:val="24"/>
          <w:szCs w:val="24"/>
          <w:lang w:val="en-MY"/>
        </w:rPr>
        <w:t>Yao S, Shen Y, 2020, New Advances in the Treatment of Pelvic Myofascial Pain. Modern Obstetrics and Gynecology Progress, 29(5): 389–391.</w:t>
      </w:r>
    </w:p>
    <w:p w14:paraId="463339A3" w14:textId="77777777" w:rsidR="00ED1106" w:rsidRDefault="00ED1106" w:rsidP="00ED1106">
      <w:pPr>
        <w:snapToGrid w:val="0"/>
        <w:ind w:left="709" w:hanging="709"/>
        <w:rPr>
          <w:sz w:val="24"/>
          <w:szCs w:val="24"/>
          <w:lang w:val="en-MY"/>
        </w:rPr>
      </w:pPr>
      <w:r w:rsidRPr="00ED1106">
        <w:rPr>
          <w:sz w:val="24"/>
          <w:szCs w:val="24"/>
          <w:lang w:val="en-MY"/>
        </w:rPr>
        <w:t xml:space="preserve">[3] </w:t>
      </w:r>
      <w:r>
        <w:rPr>
          <w:sz w:val="24"/>
          <w:szCs w:val="24"/>
          <w:lang w:val="en-MY"/>
        </w:rPr>
        <w:tab/>
      </w:r>
      <w:r w:rsidRPr="00ED1106">
        <w:rPr>
          <w:sz w:val="24"/>
          <w:szCs w:val="24"/>
          <w:lang w:val="en-MY"/>
        </w:rPr>
        <w:t>Abreu-Mendes P, Baranowski A, Berghmans B, et al., 2023, Myofascial Pelvic Pain: Best Orientation and Clinical Practice-Position of the European Association of Urology Guidelines Panel on Chronic Pelvic Pain. European Urology Focus, 9(3): 533–544.</w:t>
      </w:r>
    </w:p>
    <w:p w14:paraId="7808E701" w14:textId="77777777" w:rsidR="00ED1106" w:rsidRDefault="00ED1106" w:rsidP="00ED1106">
      <w:pPr>
        <w:snapToGrid w:val="0"/>
        <w:ind w:left="709" w:hanging="709"/>
        <w:rPr>
          <w:sz w:val="24"/>
          <w:szCs w:val="24"/>
          <w:lang w:val="en-MY"/>
        </w:rPr>
      </w:pPr>
      <w:r w:rsidRPr="00ED1106">
        <w:rPr>
          <w:sz w:val="24"/>
          <w:szCs w:val="24"/>
          <w:lang w:val="en-MY"/>
        </w:rPr>
        <w:t xml:space="preserve">[4] </w:t>
      </w:r>
      <w:r>
        <w:rPr>
          <w:sz w:val="24"/>
          <w:szCs w:val="24"/>
          <w:lang w:val="en-MY"/>
        </w:rPr>
        <w:tab/>
      </w:r>
      <w:r w:rsidRPr="00ED1106">
        <w:rPr>
          <w:sz w:val="24"/>
          <w:szCs w:val="24"/>
          <w:lang w:val="en-MY"/>
        </w:rPr>
        <w:t>Shandong Pain Medicine Association, Liu Y, Zhang S, et al., 2021, Expert Consensus on Clinical Management of Chronic Pelvic Pain in Women (2021 Edition). Beijing Medical Journal, 43(7): 650–659.</w:t>
      </w:r>
    </w:p>
    <w:p w14:paraId="5BE808BD" w14:textId="77777777" w:rsidR="00ED1106" w:rsidRDefault="00ED1106" w:rsidP="00ED1106">
      <w:pPr>
        <w:snapToGrid w:val="0"/>
        <w:ind w:left="709" w:hanging="709"/>
        <w:rPr>
          <w:sz w:val="24"/>
          <w:szCs w:val="24"/>
          <w:lang w:val="en-MY"/>
        </w:rPr>
      </w:pPr>
      <w:r w:rsidRPr="00ED1106">
        <w:rPr>
          <w:sz w:val="24"/>
          <w:szCs w:val="24"/>
          <w:lang w:val="en-MY"/>
        </w:rPr>
        <w:t xml:space="preserve">[5] </w:t>
      </w:r>
      <w:r>
        <w:rPr>
          <w:sz w:val="24"/>
          <w:szCs w:val="24"/>
          <w:lang w:val="en-MY"/>
        </w:rPr>
        <w:tab/>
      </w:r>
      <w:r w:rsidRPr="00ED1106">
        <w:rPr>
          <w:sz w:val="24"/>
          <w:szCs w:val="24"/>
          <w:lang w:val="en-MY"/>
        </w:rPr>
        <w:t>Wang L, Huang H, Chen M, et al., 2024, Study on the Therapeutic Effects of Different Magnetic Stimulation Pelvic Floor Modes on Perimenopausal Pelvic Floor Myofascial Pain Syndrome. Chongqing Medical Journal, 53(5): 712–716.</w:t>
      </w:r>
    </w:p>
    <w:p w14:paraId="2760B6B5" w14:textId="77777777" w:rsidR="00ED1106" w:rsidRDefault="00ED1106" w:rsidP="00ED1106">
      <w:pPr>
        <w:snapToGrid w:val="0"/>
        <w:ind w:left="709" w:hanging="709"/>
        <w:rPr>
          <w:sz w:val="24"/>
          <w:szCs w:val="24"/>
          <w:lang w:val="en-MY"/>
        </w:rPr>
      </w:pPr>
      <w:r w:rsidRPr="00ED1106">
        <w:rPr>
          <w:sz w:val="24"/>
          <w:szCs w:val="24"/>
          <w:lang w:val="en-MY"/>
        </w:rPr>
        <w:t xml:space="preserve">[6] </w:t>
      </w:r>
      <w:r>
        <w:rPr>
          <w:sz w:val="24"/>
          <w:szCs w:val="24"/>
          <w:lang w:val="en-MY"/>
        </w:rPr>
        <w:tab/>
      </w:r>
      <w:r w:rsidRPr="00ED1106">
        <w:rPr>
          <w:sz w:val="24"/>
          <w:szCs w:val="24"/>
          <w:lang w:val="en-MY"/>
        </w:rPr>
        <w:t xml:space="preserve">Yan S, Wang C, Li X, et al., 2022, Observation on the Efficacy of Pelvic Floor Muscle Electrostimulation Combined </w:t>
      </w:r>
      <w:r>
        <w:rPr>
          <w:sz w:val="24"/>
          <w:szCs w:val="24"/>
          <w:lang w:val="en-MY"/>
        </w:rPr>
        <w:t>w</w:t>
      </w:r>
      <w:r w:rsidRPr="00ED1106">
        <w:rPr>
          <w:sz w:val="24"/>
          <w:szCs w:val="24"/>
          <w:lang w:val="en-MY"/>
        </w:rPr>
        <w:t>ith Myofascial Massage in the Treatment of Chronic Pelvic Pain. Beijing Medical Journal, 44(12): 1147–1150.</w:t>
      </w:r>
    </w:p>
    <w:p w14:paraId="622232C6" w14:textId="360E6EF6" w:rsidR="00ED1106" w:rsidRDefault="00ED1106" w:rsidP="00ED1106">
      <w:pPr>
        <w:snapToGrid w:val="0"/>
        <w:ind w:left="709" w:hanging="709"/>
        <w:rPr>
          <w:sz w:val="24"/>
          <w:szCs w:val="24"/>
          <w:lang w:val="en-MY"/>
        </w:rPr>
      </w:pPr>
      <w:r w:rsidRPr="00ED1106">
        <w:rPr>
          <w:sz w:val="24"/>
          <w:szCs w:val="24"/>
          <w:lang w:val="en-MY"/>
        </w:rPr>
        <w:t xml:space="preserve">[7] </w:t>
      </w:r>
      <w:r>
        <w:rPr>
          <w:sz w:val="24"/>
          <w:szCs w:val="24"/>
          <w:lang w:val="en-MY"/>
        </w:rPr>
        <w:tab/>
      </w:r>
      <w:r w:rsidRPr="00ED1106">
        <w:rPr>
          <w:sz w:val="24"/>
          <w:szCs w:val="24"/>
          <w:lang w:val="en-MY"/>
        </w:rPr>
        <w:t xml:space="preserve">Guo H, Fu T, Zou C, et al., 2020, Clinical Efficacy of Electrical Stimulation Combined </w:t>
      </w:r>
      <w:r>
        <w:rPr>
          <w:sz w:val="24"/>
          <w:szCs w:val="24"/>
          <w:lang w:val="en-MY"/>
        </w:rPr>
        <w:t>w</w:t>
      </w:r>
      <w:r w:rsidRPr="00ED1106">
        <w:rPr>
          <w:sz w:val="24"/>
          <w:szCs w:val="24"/>
          <w:lang w:val="en-MY"/>
        </w:rPr>
        <w:t>ith Manual Massage in the Treatment of Pelvic Floor Myofascial Pain Syndrome. Chinese Journal of Physical Medicine and Rehabilitation, 42(1): 55–59.</w:t>
      </w:r>
    </w:p>
    <w:p w14:paraId="4FE621B4" w14:textId="77777777" w:rsidR="00ED1106" w:rsidRDefault="00ED1106" w:rsidP="00ED1106">
      <w:pPr>
        <w:snapToGrid w:val="0"/>
        <w:ind w:left="709" w:hanging="709"/>
        <w:rPr>
          <w:sz w:val="24"/>
          <w:szCs w:val="24"/>
          <w:lang w:val="en-MY"/>
        </w:rPr>
      </w:pPr>
      <w:r w:rsidRPr="00ED1106">
        <w:rPr>
          <w:sz w:val="24"/>
          <w:szCs w:val="24"/>
          <w:lang w:val="en-MY"/>
        </w:rPr>
        <w:t xml:space="preserve">[8] </w:t>
      </w:r>
      <w:r>
        <w:rPr>
          <w:sz w:val="24"/>
          <w:szCs w:val="24"/>
          <w:lang w:val="en-MY"/>
        </w:rPr>
        <w:tab/>
      </w:r>
      <w:r w:rsidRPr="00ED1106">
        <w:rPr>
          <w:sz w:val="24"/>
          <w:szCs w:val="24"/>
          <w:lang w:val="en-MY"/>
        </w:rPr>
        <w:t xml:space="preserve">Jiao Z, Wang N, Qiu J, et al., 2022, Intervention Effect of Abdominal Breathing Combined </w:t>
      </w:r>
      <w:r>
        <w:rPr>
          <w:sz w:val="24"/>
          <w:szCs w:val="24"/>
          <w:lang w:val="en-MY"/>
        </w:rPr>
        <w:t>w</w:t>
      </w:r>
      <w:r w:rsidRPr="00ED1106">
        <w:rPr>
          <w:sz w:val="24"/>
          <w:szCs w:val="24"/>
          <w:lang w:val="en-MY"/>
        </w:rPr>
        <w:t>ith Electrical Stimulation and Biofeedback on Postpartum Pelvic Myofascial Pain. Journal of Nursing, 37(2): 29–31.</w:t>
      </w:r>
    </w:p>
    <w:p w14:paraId="431D93AD" w14:textId="77777777" w:rsidR="00ED1106" w:rsidRDefault="00ED1106" w:rsidP="00ED1106">
      <w:pPr>
        <w:snapToGrid w:val="0"/>
        <w:ind w:left="709" w:hanging="709"/>
        <w:rPr>
          <w:sz w:val="24"/>
          <w:szCs w:val="24"/>
          <w:lang w:val="en-MY"/>
        </w:rPr>
      </w:pPr>
      <w:r w:rsidRPr="00ED1106">
        <w:rPr>
          <w:sz w:val="24"/>
          <w:szCs w:val="24"/>
          <w:lang w:val="en-MY"/>
        </w:rPr>
        <w:t xml:space="preserve">[9] </w:t>
      </w:r>
      <w:r>
        <w:rPr>
          <w:sz w:val="24"/>
          <w:szCs w:val="24"/>
          <w:lang w:val="en-MY"/>
        </w:rPr>
        <w:tab/>
      </w:r>
      <w:r w:rsidRPr="00ED1106">
        <w:rPr>
          <w:sz w:val="24"/>
          <w:szCs w:val="24"/>
          <w:lang w:val="en-MY"/>
        </w:rPr>
        <w:t xml:space="preserve">Zhou X, Zhang L, Su A, 2023, Observation on the Effect of Sacral Nerve Magnetic Stimulation Combined </w:t>
      </w:r>
      <w:r>
        <w:rPr>
          <w:sz w:val="24"/>
          <w:szCs w:val="24"/>
          <w:lang w:val="en-MY"/>
        </w:rPr>
        <w:t>w</w:t>
      </w:r>
      <w:r w:rsidRPr="00ED1106">
        <w:rPr>
          <w:sz w:val="24"/>
          <w:szCs w:val="24"/>
          <w:lang w:val="en-MY"/>
        </w:rPr>
        <w:t>ith Pelvic Floor Muscle Rehabilitation Training in the Treatment of Chronic Pelvic Pain in Women. Chinese Journal of General Practice, 21(11): 1894–1897.</w:t>
      </w:r>
    </w:p>
    <w:p w14:paraId="559A6D13" w14:textId="77777777" w:rsidR="00ED1106" w:rsidRDefault="00ED1106" w:rsidP="00ED1106">
      <w:pPr>
        <w:snapToGrid w:val="0"/>
        <w:ind w:left="709" w:hanging="709"/>
        <w:rPr>
          <w:sz w:val="24"/>
          <w:szCs w:val="24"/>
          <w:lang w:val="en-MY"/>
        </w:rPr>
      </w:pPr>
      <w:r w:rsidRPr="00ED1106">
        <w:rPr>
          <w:sz w:val="24"/>
          <w:szCs w:val="24"/>
          <w:lang w:val="en-MY"/>
        </w:rPr>
        <w:t xml:space="preserve">[10] </w:t>
      </w:r>
      <w:r>
        <w:rPr>
          <w:sz w:val="24"/>
          <w:szCs w:val="24"/>
          <w:lang w:val="en-MY"/>
        </w:rPr>
        <w:tab/>
      </w:r>
      <w:r w:rsidRPr="00ED1106">
        <w:rPr>
          <w:sz w:val="24"/>
          <w:szCs w:val="24"/>
          <w:lang w:val="en-MY"/>
        </w:rPr>
        <w:t>Stecco L, 2018, Myofascial Manipulation for Musculoskeletal Pain. Translated by Guan L. Beijing: People’s Medical Publishing House: 86–102.</w:t>
      </w:r>
    </w:p>
    <w:p w14:paraId="2F0BCD0C" w14:textId="77777777" w:rsidR="00ED1106" w:rsidRDefault="00ED1106" w:rsidP="00ED1106">
      <w:pPr>
        <w:snapToGrid w:val="0"/>
        <w:ind w:left="709" w:hanging="709"/>
        <w:rPr>
          <w:sz w:val="24"/>
          <w:szCs w:val="24"/>
          <w:lang w:val="en-MY"/>
        </w:rPr>
      </w:pPr>
      <w:r w:rsidRPr="00ED1106">
        <w:rPr>
          <w:sz w:val="24"/>
          <w:szCs w:val="24"/>
          <w:lang w:val="en-MY"/>
        </w:rPr>
        <w:t xml:space="preserve">[11] </w:t>
      </w:r>
      <w:r>
        <w:rPr>
          <w:sz w:val="24"/>
          <w:szCs w:val="24"/>
          <w:lang w:val="en-MY"/>
        </w:rPr>
        <w:tab/>
      </w:r>
      <w:r w:rsidRPr="00ED1106">
        <w:rPr>
          <w:sz w:val="24"/>
          <w:szCs w:val="24"/>
          <w:lang w:val="en-MY"/>
        </w:rPr>
        <w:t>Hunt S, McEwen J, 1980, The Development of a Subjective Health Indicator. Sociology of Health &amp; Illness, 2(3): 231–246.</w:t>
      </w:r>
    </w:p>
    <w:p w14:paraId="0EDD1ACD" w14:textId="77777777" w:rsidR="00ED1106" w:rsidRDefault="00ED1106" w:rsidP="00ED1106">
      <w:pPr>
        <w:snapToGrid w:val="0"/>
        <w:ind w:left="709" w:hanging="709"/>
        <w:rPr>
          <w:sz w:val="24"/>
          <w:szCs w:val="24"/>
          <w:lang w:val="en-MY"/>
        </w:rPr>
      </w:pPr>
      <w:r w:rsidRPr="00ED1106">
        <w:rPr>
          <w:sz w:val="24"/>
          <w:szCs w:val="24"/>
          <w:lang w:val="en-MY"/>
        </w:rPr>
        <w:t xml:space="preserve">[12] </w:t>
      </w:r>
      <w:r>
        <w:rPr>
          <w:sz w:val="24"/>
          <w:szCs w:val="24"/>
          <w:lang w:val="en-MY"/>
        </w:rPr>
        <w:tab/>
      </w:r>
      <w:r w:rsidRPr="00ED1106">
        <w:rPr>
          <w:sz w:val="24"/>
          <w:szCs w:val="24"/>
          <w:lang w:val="en-MY"/>
        </w:rPr>
        <w:t>Ashtiani E, Shokouhi N, Mohseni M, et al., 2023, A Novel Radiofrequency Modulation Therapy Versus Routine Physiotherapy Modalities in Treatment of Myofascial Pelvic Pain Syndrome: A Pilot Randomized Trial. Obstetrics &amp; Gynecology Science, 66(3): 230–240.</w:t>
      </w:r>
    </w:p>
    <w:p w14:paraId="1E38A461" w14:textId="77777777" w:rsidR="00ED1106" w:rsidRDefault="00ED1106" w:rsidP="00ED1106">
      <w:pPr>
        <w:snapToGrid w:val="0"/>
        <w:ind w:left="709" w:hanging="709"/>
        <w:rPr>
          <w:sz w:val="24"/>
          <w:szCs w:val="24"/>
          <w:lang w:val="en-MY"/>
        </w:rPr>
      </w:pPr>
      <w:r w:rsidRPr="00ED1106">
        <w:rPr>
          <w:sz w:val="24"/>
          <w:szCs w:val="24"/>
          <w:lang w:val="en-MY"/>
        </w:rPr>
        <w:t xml:space="preserve">[13] </w:t>
      </w:r>
      <w:r>
        <w:rPr>
          <w:sz w:val="24"/>
          <w:szCs w:val="24"/>
          <w:lang w:val="en-MY"/>
        </w:rPr>
        <w:tab/>
      </w:r>
      <w:r w:rsidRPr="00ED1106">
        <w:rPr>
          <w:sz w:val="24"/>
          <w:szCs w:val="24"/>
          <w:lang w:val="en-MY"/>
        </w:rPr>
        <w:t xml:space="preserve">Zhu M, Huang F, Xu J, et al., 2024, Efficacy and Factors of Myofascial Release Therapy Combined </w:t>
      </w:r>
      <w:r>
        <w:rPr>
          <w:sz w:val="24"/>
          <w:szCs w:val="24"/>
          <w:lang w:val="en-MY"/>
        </w:rPr>
        <w:t>w</w:t>
      </w:r>
      <w:r w:rsidRPr="00ED1106">
        <w:rPr>
          <w:sz w:val="24"/>
          <w:szCs w:val="24"/>
          <w:lang w:val="en-MY"/>
        </w:rPr>
        <w:t>ith Electrical and Magnetic Stimulation in the Treatment of Chronic Pelvic Pain Syndrome. Open Medicine, 19(1): 20240936.</w:t>
      </w:r>
    </w:p>
    <w:p w14:paraId="51DC6382" w14:textId="77777777" w:rsidR="00ED1106" w:rsidRDefault="00ED1106" w:rsidP="00ED1106">
      <w:pPr>
        <w:snapToGrid w:val="0"/>
        <w:ind w:left="709" w:hanging="709"/>
        <w:rPr>
          <w:sz w:val="24"/>
          <w:szCs w:val="24"/>
          <w:lang w:val="en-MY"/>
        </w:rPr>
      </w:pPr>
      <w:r w:rsidRPr="00ED1106">
        <w:rPr>
          <w:sz w:val="24"/>
          <w:szCs w:val="24"/>
          <w:lang w:val="en-MY"/>
        </w:rPr>
        <w:t xml:space="preserve">[14] </w:t>
      </w:r>
      <w:r>
        <w:rPr>
          <w:sz w:val="24"/>
          <w:szCs w:val="24"/>
          <w:lang w:val="en-MY"/>
        </w:rPr>
        <w:tab/>
      </w:r>
      <w:r w:rsidRPr="00ED1106">
        <w:rPr>
          <w:sz w:val="24"/>
          <w:szCs w:val="24"/>
          <w:lang w:val="en-MY"/>
        </w:rPr>
        <w:t xml:space="preserve">Fitzgerald M, Payne C, Lukacz E, et al., 2012, Randomized Multicenter Clinical Trial of Myofascial Physical Therapy in Women </w:t>
      </w:r>
      <w:r>
        <w:rPr>
          <w:sz w:val="24"/>
          <w:szCs w:val="24"/>
          <w:lang w:val="en-MY"/>
        </w:rPr>
        <w:t>w</w:t>
      </w:r>
      <w:r w:rsidRPr="00ED1106">
        <w:rPr>
          <w:sz w:val="24"/>
          <w:szCs w:val="24"/>
          <w:lang w:val="en-MY"/>
        </w:rPr>
        <w:t>ith Interstitial Cystitis/Bladder Pain Syndrome and Pelvic Floor Tenderness. Journal of Urology, 187(6): 2113–2118.</w:t>
      </w:r>
    </w:p>
    <w:p w14:paraId="19EEB59D" w14:textId="1124D63B" w:rsidR="00ED1106" w:rsidRPr="00ED1106" w:rsidRDefault="00ED1106" w:rsidP="00094DD9">
      <w:pPr>
        <w:snapToGrid w:val="0"/>
        <w:ind w:left="709" w:hanging="709"/>
        <w:rPr>
          <w:sz w:val="24"/>
          <w:szCs w:val="24"/>
          <w:lang w:val="en-MY"/>
        </w:rPr>
      </w:pPr>
      <w:r w:rsidRPr="00ED1106">
        <w:rPr>
          <w:sz w:val="24"/>
          <w:szCs w:val="24"/>
          <w:lang w:val="en-MY"/>
        </w:rPr>
        <w:t xml:space="preserve">[15] </w:t>
      </w:r>
      <w:r>
        <w:rPr>
          <w:sz w:val="24"/>
          <w:szCs w:val="24"/>
          <w:lang w:val="en-MY"/>
        </w:rPr>
        <w:tab/>
      </w:r>
      <w:r w:rsidRPr="00ED1106">
        <w:rPr>
          <w:sz w:val="24"/>
          <w:szCs w:val="24"/>
          <w:lang w:val="en-MY"/>
        </w:rPr>
        <w:t xml:space="preserve">Yang Z, Zhang W, Li X, et al., 2021, Clinical Analysis of the Treatment of Pelvic Floor Myofascial Pain Syndrome by Electrostimulation Biofeedback Combined </w:t>
      </w:r>
      <w:r>
        <w:rPr>
          <w:sz w:val="24"/>
          <w:szCs w:val="24"/>
          <w:lang w:val="en-MY"/>
        </w:rPr>
        <w:t>w</w:t>
      </w:r>
      <w:r w:rsidRPr="00ED1106">
        <w:rPr>
          <w:sz w:val="24"/>
          <w:szCs w:val="24"/>
          <w:lang w:val="en-MY"/>
        </w:rPr>
        <w:t>ith Manual Massage. Ningxia Medical Journal, 43(7): 598–600.</w:t>
      </w:r>
    </w:p>
    <w:p w14:paraId="3C5E4E1A" w14:textId="77777777" w:rsidR="00544E79" w:rsidRDefault="00544E79" w:rsidP="00544E79">
      <w:pPr>
        <w:snapToGrid w:val="0"/>
        <w:ind w:left="360" w:hanging="360"/>
        <w:rPr>
          <w:sz w:val="24"/>
          <w:szCs w:val="24"/>
        </w:rPr>
      </w:pPr>
    </w:p>
    <w:p w14:paraId="72E08349" w14:textId="77777777" w:rsidR="00544E79" w:rsidRPr="00094DD9" w:rsidRDefault="00544E79" w:rsidP="00544E79">
      <w:pPr>
        <w:snapToGrid w:val="0"/>
        <w:ind w:left="360" w:hanging="360"/>
        <w:rPr>
          <w:b/>
          <w:bCs/>
          <w:sz w:val="20"/>
          <w:szCs w:val="20"/>
          <w:lang w:val="en-MY"/>
        </w:rPr>
      </w:pPr>
      <w:r w:rsidRPr="00094DD9">
        <w:rPr>
          <w:b/>
          <w:bCs/>
          <w:sz w:val="20"/>
          <w:szCs w:val="20"/>
          <w:lang w:val="en-MY"/>
        </w:rPr>
        <w:t>Publisher</w:t>
      </w:r>
      <w:r w:rsidRPr="00094DD9">
        <w:rPr>
          <w:b/>
          <w:bCs/>
          <w:sz w:val="20"/>
          <w:szCs w:val="20"/>
          <w:lang w:val="en-US"/>
        </w:rPr>
        <w:t>’</w:t>
      </w:r>
      <w:r w:rsidRPr="00094DD9">
        <w:rPr>
          <w:b/>
          <w:bCs/>
          <w:sz w:val="20"/>
          <w:szCs w:val="20"/>
          <w:lang w:val="en-MY"/>
        </w:rPr>
        <w:t>s note</w:t>
      </w:r>
    </w:p>
    <w:p w14:paraId="2A197D29" w14:textId="77777777" w:rsidR="00544E79" w:rsidRPr="00094DD9" w:rsidRDefault="00544E79" w:rsidP="00094DD9">
      <w:pPr>
        <w:snapToGrid w:val="0"/>
        <w:rPr>
          <w:sz w:val="20"/>
          <w:szCs w:val="20"/>
          <w:lang w:val="en-MY"/>
        </w:rPr>
      </w:pPr>
      <w:r w:rsidRPr="00094DD9">
        <w:rPr>
          <w:sz w:val="20"/>
          <w:szCs w:val="20"/>
          <w:lang w:val="en-MY"/>
        </w:rPr>
        <w:t xml:space="preserve">Bio-Byword Scientific Publishing remains neutral with regard to jurisdictional claims in published maps and institutional affiliations. </w:t>
      </w:r>
    </w:p>
    <w:p w14:paraId="7EB2F1E7" w14:textId="77777777" w:rsidR="00544E79" w:rsidRPr="00094DD9" w:rsidRDefault="00544E79" w:rsidP="00094DD9">
      <w:pPr>
        <w:snapToGrid w:val="0"/>
        <w:ind w:left="360" w:hanging="360"/>
        <w:rPr>
          <w:sz w:val="24"/>
          <w:szCs w:val="24"/>
          <w:lang w:val="en-MY"/>
        </w:rPr>
      </w:pPr>
    </w:p>
    <w:sectPr w:rsidR="00544E79" w:rsidRPr="00094DD9" w:rsidSect="00094DD9">
      <w:pgSz w:w="11906" w:h="16838"/>
      <w:pgMar w:top="1134" w:right="1134" w:bottom="1134" w:left="1134"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Helvetica Neue">
    <w:altName w:val="Times New Roman"/>
    <w:charset w:val="00"/>
    <w:family w:val="auto"/>
    <w:pitch w:val="default"/>
    <w:sig w:usb0="00000000" w:usb1="00000000" w:usb2="00000010" w:usb3="00000000" w:csb0="00000000" w:csb1="00000000"/>
    <w:embedRegular r:id="rId1" w:fontKey="{A0321CEA-522C-42CD-85EC-B4D1EDC8307F}"/>
    <w:embedBold r:id="rId2" w:fontKey="{81A9BCB0-C740-4AF6-B7F9-7BF7FBAD8F27}"/>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grammar="clean"/>
  <w:defaultTabStop w:val="42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29B"/>
    <w:rsid w:val="000209D3"/>
    <w:rsid w:val="00094DD9"/>
    <w:rsid w:val="003046C5"/>
    <w:rsid w:val="004B73EF"/>
    <w:rsid w:val="00544E79"/>
    <w:rsid w:val="00B4029B"/>
    <w:rsid w:val="00BA54B3"/>
    <w:rsid w:val="00BC6D5A"/>
    <w:rsid w:val="00D361F5"/>
    <w:rsid w:val="00E648BD"/>
    <w:rsid w:val="00EB6340"/>
    <w:rsid w:val="00EC2277"/>
    <w:rsid w:val="00ED1106"/>
    <w:rsid w:val="05113804"/>
    <w:rsid w:val="50C251FD"/>
    <w:rsid w:val="7ECE81E1"/>
    <w:rsid w:val="BFF74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44468"/>
  <w15:docId w15:val="{7D344F79-27E7-4380-B59F-49E8928D5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color w:val="000000"/>
      <w:sz w:val="21"/>
      <w:szCs w:val="21"/>
      <w:lang w:val="en"/>
    </w:rPr>
  </w:style>
  <w:style w:type="paragraph" w:styleId="Heading1">
    <w:name w:val="heading 1"/>
    <w:uiPriority w:val="9"/>
    <w:qFormat/>
    <w:pPr>
      <w:spacing w:before="200" w:after="100"/>
      <w:outlineLvl w:val="0"/>
    </w:pPr>
    <w:rPr>
      <w:rFonts w:eastAsia="SimHei"/>
      <w:b/>
      <w:bCs/>
      <w:color w:val="000000"/>
      <w:sz w:val="22"/>
      <w:szCs w:val="22"/>
      <w:lang w:val="en"/>
    </w:rPr>
  </w:style>
  <w:style w:type="paragraph" w:styleId="Heading2">
    <w:name w:val="heading 2"/>
    <w:uiPriority w:val="9"/>
    <w:unhideWhenUsed/>
    <w:qFormat/>
    <w:pPr>
      <w:spacing w:before="140" w:after="80"/>
      <w:outlineLvl w:val="1"/>
    </w:pPr>
    <w:rPr>
      <w:rFonts w:eastAsia="SimHei"/>
      <w:b/>
      <w:bCs/>
      <w:color w:val="000000"/>
      <w:sz w:val="21"/>
      <w:szCs w:val="21"/>
      <w:lang w:val="en"/>
    </w:rPr>
  </w:style>
  <w:style w:type="paragraph" w:styleId="Heading3">
    <w:name w:val="heading 3"/>
    <w:uiPriority w:val="9"/>
    <w:semiHidden/>
    <w:unhideWhenUsed/>
    <w:qFormat/>
    <w:pPr>
      <w:outlineLvl w:val="2"/>
    </w:pPr>
    <w:rPr>
      <w:color w:val="1F4D78"/>
      <w:sz w:val="24"/>
      <w:szCs w:val="24"/>
      <w:lang w:val="en"/>
    </w:rPr>
  </w:style>
  <w:style w:type="paragraph" w:styleId="Heading4">
    <w:name w:val="heading 4"/>
    <w:uiPriority w:val="9"/>
    <w:semiHidden/>
    <w:unhideWhenUsed/>
    <w:qFormat/>
    <w:pPr>
      <w:outlineLvl w:val="3"/>
    </w:pPr>
    <w:rPr>
      <w:i/>
      <w:iCs/>
      <w:color w:val="2E74B5"/>
      <w:sz w:val="21"/>
      <w:szCs w:val="21"/>
      <w:lang w:val="en"/>
    </w:rPr>
  </w:style>
  <w:style w:type="paragraph" w:styleId="Heading5">
    <w:name w:val="heading 5"/>
    <w:uiPriority w:val="9"/>
    <w:semiHidden/>
    <w:unhideWhenUsed/>
    <w:qFormat/>
    <w:pPr>
      <w:outlineLvl w:val="4"/>
    </w:pPr>
    <w:rPr>
      <w:color w:val="2E74B5"/>
      <w:sz w:val="21"/>
      <w:szCs w:val="21"/>
      <w:lang w:val="en"/>
    </w:rPr>
  </w:style>
  <w:style w:type="paragraph" w:styleId="Heading6">
    <w:name w:val="heading 6"/>
    <w:uiPriority w:val="9"/>
    <w:semiHidden/>
    <w:unhideWhenUsed/>
    <w:qFormat/>
    <w:pPr>
      <w:outlineLvl w:val="5"/>
    </w:pPr>
    <w:rPr>
      <w:color w:val="1F4D78"/>
      <w:sz w:val="21"/>
      <w:szCs w:val="21"/>
      <w:lang w:val="e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link w:val="EndnoteTextChar"/>
    <w:uiPriority w:val="99"/>
    <w:semiHidden/>
    <w:unhideWhenUsed/>
    <w:qFormat/>
    <w:rPr>
      <w:color w:val="000000"/>
      <w:lang w:val="en"/>
    </w:rPr>
  </w:style>
  <w:style w:type="paragraph" w:styleId="Header">
    <w:name w:val="header"/>
    <w:basedOn w:val="Normal"/>
    <w:uiPriority w:val="99"/>
    <w:semiHidden/>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noteText">
    <w:name w:val="footnote text"/>
    <w:link w:val="FootnoteTextChar"/>
    <w:uiPriority w:val="99"/>
    <w:semiHidden/>
    <w:unhideWhenUsed/>
    <w:qFormat/>
    <w:rPr>
      <w:color w:val="000000"/>
      <w:lang w:val="en"/>
    </w:rPr>
  </w:style>
  <w:style w:type="paragraph" w:styleId="Title">
    <w:name w:val="Title"/>
    <w:uiPriority w:val="10"/>
    <w:qFormat/>
    <w:rPr>
      <w:color w:val="000000"/>
      <w:sz w:val="56"/>
      <w:szCs w:val="56"/>
      <w:lang w:val="en"/>
    </w:rPr>
  </w:style>
  <w:style w:type="character" w:styleId="EndnoteReference">
    <w:name w:val="endnote reference"/>
    <w:uiPriority w:val="99"/>
    <w:semiHidden/>
    <w:unhideWhenUsed/>
    <w:qFormat/>
    <w:rPr>
      <w:vertAlign w:val="superscript"/>
    </w:rPr>
  </w:style>
  <w:style w:type="character" w:styleId="Hyperlink">
    <w:name w:val="Hyperlink"/>
    <w:uiPriority w:val="99"/>
    <w:unhideWhenUsed/>
    <w:qFormat/>
    <w:rPr>
      <w:color w:val="0563C1"/>
      <w:u w:val="single"/>
    </w:rPr>
  </w:style>
  <w:style w:type="character" w:styleId="FootnoteReference">
    <w:name w:val="footnote reference"/>
    <w:uiPriority w:val="99"/>
    <w:semiHidden/>
    <w:unhideWhenUsed/>
    <w:qFormat/>
    <w:rPr>
      <w:vertAlign w:val="superscript"/>
    </w:rPr>
  </w:style>
  <w:style w:type="paragraph" w:customStyle="1" w:styleId="1">
    <w:name w:val="要点1"/>
    <w:qFormat/>
    <w:rPr>
      <w:b/>
      <w:bCs/>
      <w:color w:val="000000"/>
      <w:sz w:val="21"/>
      <w:szCs w:val="21"/>
      <w:lang w:val="en"/>
    </w:rPr>
  </w:style>
  <w:style w:type="paragraph" w:styleId="ListParagraph">
    <w:name w:val="List Paragraph"/>
    <w:qFormat/>
    <w:rPr>
      <w:color w:val="000000"/>
      <w:sz w:val="21"/>
      <w:szCs w:val="21"/>
      <w:lang w:val="en"/>
    </w:rPr>
  </w:style>
  <w:style w:type="character" w:customStyle="1" w:styleId="FootnoteTextChar">
    <w:name w:val="Footnote Text Char"/>
    <w:link w:val="FootnoteText"/>
    <w:uiPriority w:val="99"/>
    <w:semiHidden/>
    <w:unhideWhenUsed/>
    <w:qFormat/>
    <w:rPr>
      <w:sz w:val="20"/>
      <w:szCs w:val="20"/>
    </w:rPr>
  </w:style>
  <w:style w:type="character" w:customStyle="1" w:styleId="EndnoteTextChar">
    <w:name w:val="Endnote Text Char"/>
    <w:link w:val="EndnoteText"/>
    <w:uiPriority w:val="99"/>
    <w:semiHidden/>
    <w:unhideWhenUsed/>
    <w:qFormat/>
    <w:rPr>
      <w:sz w:val="20"/>
      <w:szCs w:val="20"/>
    </w:rPr>
  </w:style>
  <w:style w:type="paragraph" w:styleId="Revision">
    <w:name w:val="Revision"/>
    <w:hidden/>
    <w:uiPriority w:val="99"/>
    <w:unhideWhenUsed/>
    <w:rsid w:val="00BC6D5A"/>
    <w:rPr>
      <w:color w:val="000000"/>
      <w:sz w:val="21"/>
      <w:szCs w:val="21"/>
      <w:lang w:val="en"/>
    </w:rPr>
  </w:style>
  <w:style w:type="table" w:styleId="TableGrid">
    <w:name w:val="Table Grid"/>
    <w:basedOn w:val="TableNormal"/>
    <w:uiPriority w:val="39"/>
    <w:rsid w:val="004B73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oleObject" Target="embeddings/oleObject4.bin"/><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3.bin"/><Relationship Id="rId12" Type="http://schemas.openxmlformats.org/officeDocument/2006/relationships/oleObject" Target="embeddings/oleObject8.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2.bin"/><Relationship Id="rId11" Type="http://schemas.openxmlformats.org/officeDocument/2006/relationships/oleObject" Target="embeddings/oleObject7.bin"/><Relationship Id="rId5" Type="http://schemas.openxmlformats.org/officeDocument/2006/relationships/oleObject" Target="embeddings/oleObject1.bin"/><Relationship Id="rId10" Type="http://schemas.openxmlformats.org/officeDocument/2006/relationships/oleObject" Target="embeddings/oleObject6.bin"/><Relationship Id="rId4" Type="http://schemas.openxmlformats.org/officeDocument/2006/relationships/image" Target="media/image1.wmf"/><Relationship Id="rId9" Type="http://schemas.openxmlformats.org/officeDocument/2006/relationships/oleObject" Target="embeddings/oleObject5.bin"/><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4129</Words>
  <Characters>23539</Characters>
  <Application>Microsoft Office Word</Application>
  <DocSecurity>0</DocSecurity>
  <Lines>196</Lines>
  <Paragraphs>55</Paragraphs>
  <ScaleCrop>false</ScaleCrop>
  <Company/>
  <LinksUpToDate>false</LinksUpToDate>
  <CharactersWithSpaces>27613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Acer NB1</cp:lastModifiedBy>
  <cp:revision>2</cp:revision>
  <dcterms:created xsi:type="dcterms:W3CDTF">2026-09-29T04:16:00Z</dcterms:created>
  <dcterms:modified xsi:type="dcterms:W3CDTF">2026-09-29T04:16:00Z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1642024276854860_0-drive/221163285717884460/盆底综合康复论文_英文版_补齐版.docx","ReservedCode1":"","ContentPropagator":"001191110102MACQD9K64028705","PropagateID":"1642024276854860#1789983033159","ReservedCode2":""}</vt:lpwstr>
  </property>
  <property fmtid="{D5CDD505-2E9C-101B-9397-08002B2CF9AE}" pid="3" name="KSOProductBuildVer">
    <vt:lpwstr>2052-12.1.0.28505</vt:lpwstr>
  </property>
  <property fmtid="{D5CDD505-2E9C-101B-9397-08002B2CF9AE}" pid="4" name="ICV">
    <vt:lpwstr>ED6F92E3AFFB44B7AF83C7F3A564A040_13</vt:lpwstr>
  </property>
  <property fmtid="{D5CDD505-2E9C-101B-9397-08002B2CF9AE}" pid="5" name="KSOTemplateDocerSaveRecord">
    <vt:lpwstr>eyJoZGlkIjoiZTBiYjBjMzJlZDA2ZWE2YWNmMzQyN2E2MGVlZTcxZjkiLCJ1c2VySWQiOiI2MTA5NTIyOTYifQ==</vt:lpwstr>
  </property>
</Properties>
</file>