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E548" w14:textId="77777777" w:rsidR="00820E59" w:rsidRDefault="00000000" w:rsidP="00B906ED">
      <w:pPr>
        <w:snapToGrid w:val="0"/>
        <w:jc w:val="left"/>
        <w:rPr>
          <w:rFonts w:ascii="Times New Roman" w:hAnsi="Times New Roman" w:cs="Times New Roman"/>
          <w:sz w:val="44"/>
          <w:szCs w:val="44"/>
        </w:rPr>
      </w:pPr>
      <w:r>
        <w:rPr>
          <w:rFonts w:ascii="Times New Roman" w:hAnsi="Times New Roman" w:cs="Times New Roman"/>
          <w:b/>
          <w:bCs/>
          <w:sz w:val="44"/>
          <w:szCs w:val="44"/>
        </w:rPr>
        <w:t>Effect of Early Fluid Resuscitation on Recovery of Coagulation Function in Acute Traumatic Coagulopathy</w:t>
      </w:r>
    </w:p>
    <w:p w14:paraId="6BE2E549" w14:textId="77777777" w:rsidR="00820E59" w:rsidRDefault="00000000" w:rsidP="00B906ED">
      <w:pPr>
        <w:snapToGrid w:val="0"/>
        <w:rPr>
          <w:rFonts w:ascii="Times New Roman" w:hAnsi="Times New Roman" w:cs="Times New Roman"/>
          <w:b/>
          <w:bCs/>
          <w:sz w:val="24"/>
        </w:rPr>
      </w:pPr>
      <w:proofErr w:type="spellStart"/>
      <w:r>
        <w:rPr>
          <w:rFonts w:ascii="Times New Roman" w:hAnsi="Times New Roman" w:cs="Times New Roman" w:hint="eastAsia"/>
          <w:b/>
          <w:bCs/>
          <w:sz w:val="24"/>
        </w:rPr>
        <w:t>J</w:t>
      </w:r>
      <w:r>
        <w:rPr>
          <w:rFonts w:ascii="Times New Roman" w:hAnsi="Times New Roman" w:cs="Times New Roman"/>
          <w:b/>
          <w:bCs/>
          <w:sz w:val="24"/>
        </w:rPr>
        <w:t>ingyun</w:t>
      </w:r>
      <w:proofErr w:type="spellEnd"/>
      <w:r>
        <w:rPr>
          <w:rFonts w:ascii="Times New Roman" w:hAnsi="Times New Roman" w:cs="Times New Roman" w:hint="eastAsia"/>
          <w:b/>
          <w:bCs/>
          <w:sz w:val="24"/>
        </w:rPr>
        <w:t xml:space="preserve"> </w:t>
      </w:r>
      <w:r>
        <w:rPr>
          <w:rFonts w:ascii="Times New Roman" w:hAnsi="Times New Roman" w:cs="Times New Roman"/>
          <w:b/>
          <w:bCs/>
          <w:sz w:val="24"/>
        </w:rPr>
        <w:t>Feng</w:t>
      </w:r>
      <w:r>
        <w:rPr>
          <w:rFonts w:ascii="Times New Roman" w:hAnsi="Times New Roman" w:cs="Times New Roman" w:hint="eastAsia"/>
          <w:b/>
          <w:bCs/>
          <w:sz w:val="24"/>
          <w:vertAlign w:val="superscript"/>
        </w:rPr>
        <w:t>1</w:t>
      </w:r>
      <w:r>
        <w:rPr>
          <w:rFonts w:ascii="Times New Roman" w:hAnsi="Times New Roman" w:cs="Times New Roman" w:hint="eastAsia"/>
          <w:b/>
          <w:bCs/>
          <w:sz w:val="24"/>
        </w:rPr>
        <w:t xml:space="preserve">, </w:t>
      </w:r>
      <w:r>
        <w:rPr>
          <w:rFonts w:ascii="Times New Roman" w:hAnsi="Times New Roman" w:cs="Times New Roman"/>
          <w:b/>
          <w:bCs/>
          <w:sz w:val="24"/>
        </w:rPr>
        <w:t>Liao</w:t>
      </w:r>
      <w:r>
        <w:rPr>
          <w:rFonts w:ascii="Times New Roman" w:hAnsi="Times New Roman" w:cs="Times New Roman" w:hint="eastAsia"/>
          <w:b/>
          <w:bCs/>
          <w:sz w:val="24"/>
        </w:rPr>
        <w:t xml:space="preserve"> T</w:t>
      </w:r>
      <w:r>
        <w:rPr>
          <w:rFonts w:ascii="Times New Roman" w:hAnsi="Times New Roman" w:cs="Times New Roman"/>
          <w:b/>
          <w:bCs/>
          <w:sz w:val="24"/>
        </w:rPr>
        <w:t>ao¹</w:t>
      </w:r>
      <w:r>
        <w:rPr>
          <w:rFonts w:ascii="Times New Roman" w:hAnsi="Times New Roman" w:cs="Times New Roman" w:hint="eastAsia"/>
          <w:b/>
          <w:bCs/>
          <w:sz w:val="24"/>
        </w:rPr>
        <w:t xml:space="preserve">, </w:t>
      </w:r>
      <w:r>
        <w:rPr>
          <w:rFonts w:ascii="Times New Roman" w:hAnsi="Times New Roman" w:cs="Times New Roman"/>
          <w:b/>
          <w:bCs/>
          <w:sz w:val="24"/>
        </w:rPr>
        <w:t>Teng</w:t>
      </w:r>
      <w:r>
        <w:rPr>
          <w:rFonts w:ascii="Times New Roman" w:hAnsi="Times New Roman" w:cs="Times New Roman" w:hint="eastAsia"/>
          <w:b/>
          <w:bCs/>
          <w:sz w:val="24"/>
        </w:rPr>
        <w:t xml:space="preserve"> L</w:t>
      </w:r>
      <w:r>
        <w:rPr>
          <w:rFonts w:ascii="Times New Roman" w:hAnsi="Times New Roman" w:cs="Times New Roman"/>
          <w:b/>
          <w:bCs/>
          <w:sz w:val="24"/>
        </w:rPr>
        <w:t>in²</w:t>
      </w:r>
      <w:r>
        <w:rPr>
          <w:rFonts w:ascii="Times New Roman" w:hAnsi="Times New Roman" w:cs="Times New Roman" w:hint="eastAsia"/>
          <w:b/>
          <w:bCs/>
          <w:sz w:val="24"/>
        </w:rPr>
        <w:t xml:space="preserve">, </w:t>
      </w:r>
      <w:proofErr w:type="spellStart"/>
      <w:r>
        <w:rPr>
          <w:rFonts w:ascii="Times New Roman" w:hAnsi="Times New Roman" w:cs="Times New Roman" w:hint="eastAsia"/>
          <w:b/>
          <w:bCs/>
          <w:sz w:val="24"/>
        </w:rPr>
        <w:t>K</w:t>
      </w:r>
      <w:r>
        <w:rPr>
          <w:rFonts w:ascii="Times New Roman" w:hAnsi="Times New Roman" w:cs="Times New Roman"/>
          <w:b/>
          <w:bCs/>
          <w:sz w:val="24"/>
        </w:rPr>
        <w:t>eyuan</w:t>
      </w:r>
      <w:proofErr w:type="spellEnd"/>
      <w:r>
        <w:rPr>
          <w:rFonts w:ascii="Times New Roman" w:hAnsi="Times New Roman" w:cs="Times New Roman" w:hint="eastAsia"/>
          <w:b/>
          <w:bCs/>
          <w:sz w:val="24"/>
        </w:rPr>
        <w:t xml:space="preserve"> </w:t>
      </w:r>
      <w:r>
        <w:rPr>
          <w:rFonts w:ascii="Times New Roman" w:hAnsi="Times New Roman" w:cs="Times New Roman"/>
          <w:b/>
          <w:bCs/>
          <w:sz w:val="24"/>
        </w:rPr>
        <w:t>Ding²</w:t>
      </w:r>
      <w:r>
        <w:rPr>
          <w:rFonts w:ascii="Times New Roman" w:hAnsi="Times New Roman" w:cs="Times New Roman" w:hint="eastAsia"/>
          <w:b/>
          <w:bCs/>
          <w:sz w:val="24"/>
        </w:rPr>
        <w:t>, Z</w:t>
      </w:r>
      <w:r>
        <w:rPr>
          <w:rFonts w:ascii="Times New Roman" w:hAnsi="Times New Roman" w:cs="Times New Roman"/>
          <w:b/>
          <w:bCs/>
          <w:sz w:val="24"/>
        </w:rPr>
        <w:t>hou</w:t>
      </w:r>
      <w:r>
        <w:rPr>
          <w:rFonts w:ascii="Times New Roman" w:hAnsi="Times New Roman" w:cs="Times New Roman" w:hint="eastAsia"/>
          <w:b/>
          <w:bCs/>
          <w:sz w:val="24"/>
        </w:rPr>
        <w:t xml:space="preserve"> </w:t>
      </w:r>
      <w:r>
        <w:rPr>
          <w:rFonts w:ascii="Times New Roman" w:hAnsi="Times New Roman" w:cs="Times New Roman"/>
          <w:b/>
          <w:bCs/>
          <w:sz w:val="24"/>
        </w:rPr>
        <w:t>Zhong³</w:t>
      </w:r>
      <w:r>
        <w:rPr>
          <w:rFonts w:ascii="Times New Roman" w:hAnsi="Times New Roman" w:cs="Times New Roman" w:hint="eastAsia"/>
          <w:b/>
          <w:bCs/>
          <w:sz w:val="24"/>
        </w:rPr>
        <w:t>, G</w:t>
      </w:r>
      <w:r>
        <w:rPr>
          <w:rFonts w:ascii="Times New Roman" w:hAnsi="Times New Roman" w:cs="Times New Roman"/>
          <w:b/>
          <w:bCs/>
          <w:sz w:val="24"/>
        </w:rPr>
        <w:t>ang</w:t>
      </w:r>
      <w:r>
        <w:rPr>
          <w:rFonts w:ascii="Times New Roman" w:hAnsi="Times New Roman" w:cs="Times New Roman" w:hint="eastAsia"/>
          <w:b/>
          <w:bCs/>
          <w:sz w:val="24"/>
        </w:rPr>
        <w:t xml:space="preserve"> </w:t>
      </w:r>
      <w:r>
        <w:rPr>
          <w:rFonts w:ascii="Times New Roman" w:hAnsi="Times New Roman" w:cs="Times New Roman"/>
          <w:b/>
          <w:bCs/>
          <w:sz w:val="24"/>
        </w:rPr>
        <w:t>Zhong³*</w:t>
      </w:r>
    </w:p>
    <w:p w14:paraId="6BE2E54A" w14:textId="478FF20F" w:rsidR="00820E59" w:rsidRDefault="00000000" w:rsidP="00B906ED">
      <w:pPr>
        <w:snapToGrid w:val="0"/>
        <w:rPr>
          <w:rFonts w:ascii="Times New Roman" w:hAnsi="Times New Roman" w:cs="Times New Roman"/>
          <w:sz w:val="24"/>
        </w:rPr>
      </w:pPr>
      <w:r>
        <w:rPr>
          <w:rFonts w:ascii="Times New Roman" w:hAnsi="Times New Roman" w:cs="Times New Roman"/>
          <w:sz w:val="24"/>
        </w:rPr>
        <w:t>¹Department of Orthopedics, Lhasa People</w:t>
      </w:r>
      <w:r w:rsidR="00DA16F7">
        <w:rPr>
          <w:rFonts w:ascii="Times New Roman" w:hAnsi="Times New Roman" w:cs="Times New Roman"/>
          <w:sz w:val="24"/>
        </w:rPr>
        <w:t>’</w:t>
      </w:r>
      <w:r>
        <w:rPr>
          <w:rFonts w:ascii="Times New Roman" w:hAnsi="Times New Roman" w:cs="Times New Roman"/>
          <w:sz w:val="24"/>
        </w:rPr>
        <w:t>s Hospital</w:t>
      </w:r>
      <w:r>
        <w:rPr>
          <w:rFonts w:ascii="Times New Roman" w:hAnsi="Times New Roman" w:cs="Times New Roman" w:hint="eastAsia"/>
          <w:sz w:val="24"/>
        </w:rPr>
        <w:t xml:space="preserve">, </w:t>
      </w:r>
      <w:r>
        <w:rPr>
          <w:rFonts w:ascii="Times New Roman" w:hAnsi="Times New Roman" w:cs="Times New Roman"/>
          <w:sz w:val="24"/>
        </w:rPr>
        <w:t>Lhasa</w:t>
      </w:r>
      <w:r>
        <w:rPr>
          <w:rFonts w:ascii="Times New Roman" w:hAnsi="Times New Roman" w:cs="Times New Roman" w:hint="eastAsia"/>
          <w:sz w:val="24"/>
        </w:rPr>
        <w:t xml:space="preserve"> 850000, Xizang Autonomous Region, China</w:t>
      </w:r>
    </w:p>
    <w:p w14:paraId="6BE2E54B" w14:textId="78460BAD"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²Department of </w:t>
      </w:r>
      <w:proofErr w:type="spellStart"/>
      <w:r>
        <w:rPr>
          <w:rFonts w:ascii="Times New Roman" w:hAnsi="Times New Roman" w:cs="Times New Roman"/>
          <w:sz w:val="24"/>
        </w:rPr>
        <w:t>Orthopaedics</w:t>
      </w:r>
      <w:proofErr w:type="spellEnd"/>
      <w:r>
        <w:rPr>
          <w:rFonts w:ascii="Times New Roman" w:hAnsi="Times New Roman" w:cs="Times New Roman"/>
          <w:sz w:val="24"/>
        </w:rPr>
        <w:t>, The First People</w:t>
      </w:r>
      <w:r w:rsidR="00DA16F7">
        <w:rPr>
          <w:rFonts w:ascii="Times New Roman" w:hAnsi="Times New Roman" w:cs="Times New Roman"/>
          <w:sz w:val="24"/>
        </w:rPr>
        <w:t>’</w:t>
      </w:r>
      <w:r>
        <w:rPr>
          <w:rFonts w:ascii="Times New Roman" w:hAnsi="Times New Roman" w:cs="Times New Roman"/>
          <w:sz w:val="24"/>
        </w:rPr>
        <w:t xml:space="preserve">s Hospital in </w:t>
      </w:r>
      <w:proofErr w:type="spellStart"/>
      <w:r>
        <w:rPr>
          <w:rFonts w:ascii="Times New Roman" w:hAnsi="Times New Roman" w:cs="Times New Roman"/>
          <w:sz w:val="24"/>
        </w:rPr>
        <w:t>Shuangliu</w:t>
      </w:r>
      <w:proofErr w:type="spellEnd"/>
      <w:r>
        <w:rPr>
          <w:rFonts w:ascii="Times New Roman" w:hAnsi="Times New Roman" w:cs="Times New Roman"/>
          <w:sz w:val="24"/>
        </w:rPr>
        <w:t xml:space="preserve"> District/West China Airport Hospital, Sichuan University, Chengdu</w:t>
      </w:r>
      <w:r>
        <w:rPr>
          <w:rFonts w:ascii="Times New Roman" w:hAnsi="Times New Roman" w:cs="Times New Roman" w:hint="eastAsia"/>
          <w:sz w:val="24"/>
        </w:rPr>
        <w:t xml:space="preserve"> </w:t>
      </w:r>
      <w:r>
        <w:rPr>
          <w:rFonts w:ascii="Times New Roman" w:hAnsi="Times New Roman" w:cs="Times New Roman"/>
          <w:sz w:val="24"/>
        </w:rPr>
        <w:t>610200, Sichuan, China</w:t>
      </w:r>
    </w:p>
    <w:p w14:paraId="6BE2E54C" w14:textId="77777777" w:rsidR="00820E59" w:rsidRDefault="00000000" w:rsidP="00B906ED">
      <w:pPr>
        <w:snapToGrid w:val="0"/>
        <w:rPr>
          <w:rFonts w:ascii="Times New Roman" w:hAnsi="Times New Roman" w:cs="Times New Roman"/>
          <w:sz w:val="24"/>
        </w:rPr>
      </w:pPr>
      <w:r>
        <w:rPr>
          <w:rFonts w:ascii="Times New Roman" w:hAnsi="Times New Roman" w:cs="Times New Roman"/>
          <w:sz w:val="24"/>
        </w:rPr>
        <w:t>³Department of Orthopedic Surgery/Trauma Center, West China Hospital, Sichuan University, Chengdu</w:t>
      </w:r>
      <w:r>
        <w:rPr>
          <w:rFonts w:ascii="Times New Roman" w:hAnsi="Times New Roman" w:cs="Times New Roman" w:hint="eastAsia"/>
          <w:sz w:val="24"/>
        </w:rPr>
        <w:t xml:space="preserve"> </w:t>
      </w:r>
      <w:r>
        <w:rPr>
          <w:rFonts w:ascii="Times New Roman" w:hAnsi="Times New Roman" w:cs="Times New Roman"/>
          <w:sz w:val="24"/>
        </w:rPr>
        <w:t>610041, Sichuan, China</w:t>
      </w:r>
    </w:p>
    <w:p w14:paraId="6BE2E54D" w14:textId="77777777" w:rsidR="00820E59" w:rsidRDefault="00000000" w:rsidP="00B906ED">
      <w:pPr>
        <w:snapToGrid w:val="0"/>
        <w:rPr>
          <w:rFonts w:ascii="Times New Roman" w:hAnsi="Times New Roman"/>
          <w:b/>
          <w:bCs/>
          <w:i/>
          <w:iCs/>
          <w:sz w:val="24"/>
        </w:rPr>
      </w:pPr>
      <w:r>
        <w:rPr>
          <w:rFonts w:ascii="Times New Roman" w:hAnsi="Times New Roman"/>
          <w:b/>
          <w:bCs/>
          <w:i/>
          <w:iCs/>
          <w:sz w:val="24"/>
        </w:rPr>
        <w:t>*Author to whom correspondence should be addressed.</w:t>
      </w:r>
    </w:p>
    <w:p w14:paraId="6BE2E54E" w14:textId="77777777" w:rsidR="00820E59" w:rsidRDefault="00820E59" w:rsidP="00DA16F7">
      <w:pPr>
        <w:snapToGrid w:val="0"/>
        <w:rPr>
          <w:rFonts w:ascii="Times New Roman" w:hAnsi="Times New Roman" w:cs="Times New Roman"/>
          <w:sz w:val="24"/>
        </w:rPr>
      </w:pPr>
    </w:p>
    <w:p w14:paraId="78BBF466" w14:textId="77777777" w:rsidR="00DA16F7" w:rsidRPr="00B906ED" w:rsidRDefault="00DA16F7" w:rsidP="00DA16F7">
      <w:pPr>
        <w:snapToGrid w:val="0"/>
        <w:rPr>
          <w:rFonts w:ascii="Times New Roman" w:hAnsi="Times New Roman" w:cs="Times New Roman"/>
          <w:b/>
          <w:sz w:val="20"/>
          <w:szCs w:val="20"/>
        </w:rPr>
      </w:pPr>
      <w:r w:rsidRPr="00B906ED">
        <w:rPr>
          <w:rFonts w:ascii="Times New Roman" w:hAnsi="Times New Roman" w:cs="Times New Roman"/>
          <w:b/>
          <w:bCs/>
          <w:sz w:val="20"/>
          <w:szCs w:val="20"/>
        </w:rPr>
        <w:t>Copyright:</w:t>
      </w:r>
      <w:r w:rsidRPr="00B906ED">
        <w:rPr>
          <w:rFonts w:ascii="Times New Roman" w:hAnsi="Times New Roman" w:cs="Times New Roman"/>
          <w:b/>
          <w:sz w:val="20"/>
          <w:szCs w:val="20"/>
        </w:rPr>
        <w:t xml:space="preserve"> </w:t>
      </w:r>
      <w:r w:rsidRPr="00B906ED">
        <w:rPr>
          <w:rFonts w:ascii="Times New Roman" w:hAnsi="Times New Roman" w:cs="Times New Roman"/>
          <w:bCs/>
          <w:sz w:val="20"/>
          <w:szCs w:val="20"/>
        </w:rPr>
        <w:t>© 2026 Author(s). This is an open-access article distributed under the terms of the Creative Commons Attribution License (CC BY 4.0), permitting distribution and reproduction in any medium, provided the original work is cited.</w:t>
      </w:r>
    </w:p>
    <w:p w14:paraId="68772734" w14:textId="77777777" w:rsidR="00DA16F7" w:rsidRDefault="00DA16F7" w:rsidP="00B906ED">
      <w:pPr>
        <w:snapToGrid w:val="0"/>
        <w:rPr>
          <w:rFonts w:ascii="Times New Roman" w:hAnsi="Times New Roman" w:cs="Times New Roman"/>
          <w:sz w:val="24"/>
        </w:rPr>
      </w:pPr>
    </w:p>
    <w:p w14:paraId="6BE2E54F" w14:textId="765925AD" w:rsidR="00820E59" w:rsidRDefault="00000000" w:rsidP="00B906ED">
      <w:pPr>
        <w:snapToGrid w:val="0"/>
        <w:rPr>
          <w:rFonts w:ascii="Times New Roman" w:hAnsi="Times New Roman" w:cs="Times New Roman"/>
          <w:sz w:val="24"/>
        </w:rPr>
      </w:pPr>
      <w:r>
        <w:rPr>
          <w:rFonts w:ascii="Times New Roman" w:hAnsi="Times New Roman" w:cs="Times New Roman"/>
          <w:b/>
          <w:bCs/>
          <w:sz w:val="24"/>
        </w:rPr>
        <w:t>Abstract</w:t>
      </w:r>
      <w:r w:rsidRPr="00B906ED">
        <w:rPr>
          <w:rFonts w:ascii="Times New Roman" w:hAnsi="Times New Roman" w:cs="Times New Roman"/>
          <w:b/>
          <w:bCs/>
          <w:sz w:val="24"/>
        </w:rPr>
        <w:t>:</w:t>
      </w:r>
      <w:r>
        <w:rPr>
          <w:rFonts w:ascii="Times New Roman" w:hAnsi="Times New Roman" w:cs="Times New Roman"/>
          <w:sz w:val="24"/>
        </w:rPr>
        <w:t xml:space="preserve"> </w:t>
      </w:r>
      <w:r>
        <w:rPr>
          <w:rFonts w:ascii="Times New Roman" w:hAnsi="Times New Roman" w:cs="Times New Roman"/>
          <w:i/>
          <w:iCs/>
          <w:sz w:val="24"/>
        </w:rPr>
        <w:t>Objective</w:t>
      </w:r>
      <w:r>
        <w:rPr>
          <w:rFonts w:ascii="Times New Roman" w:hAnsi="Times New Roman" w:cs="Times New Roman"/>
          <w:sz w:val="24"/>
        </w:rPr>
        <w:t xml:space="preserve">: To investigate the actual impact of early fluid resuscitation on the recovery of coagulation function in patients with acute traumatic coagulopathy (ATC). </w:t>
      </w:r>
      <w:r>
        <w:rPr>
          <w:rFonts w:ascii="Times New Roman" w:hAnsi="Times New Roman" w:cs="Times New Roman"/>
          <w:i/>
          <w:iCs/>
          <w:sz w:val="24"/>
        </w:rPr>
        <w:t>Methods</w:t>
      </w:r>
      <w:r>
        <w:rPr>
          <w:rFonts w:ascii="Times New Roman" w:hAnsi="Times New Roman" w:cs="Times New Roman"/>
          <w:sz w:val="24"/>
        </w:rPr>
        <w:t xml:space="preserve">: Fifty patients with acute traumatic coagulopathy admitted to our hospital from June 1, 2025 to June 30, 2026 were selected as study subjects. All patients were divided into two groups using the random number table method, with 25 cases in each group. The control group received conventional fluid resuscitation, while the observation group received early restrictive fluid resuscitation. Coagulation function indicators, blood gas analysis indicators, inflammatory factor indicators, and prognosis-related indicators were compared between the two groups. </w:t>
      </w:r>
      <w:r>
        <w:rPr>
          <w:rFonts w:ascii="Times New Roman" w:hAnsi="Times New Roman" w:cs="Times New Roman"/>
          <w:i/>
          <w:iCs/>
          <w:sz w:val="24"/>
        </w:rPr>
        <w:t>Results</w:t>
      </w:r>
      <w:r>
        <w:rPr>
          <w:rFonts w:ascii="Times New Roman" w:hAnsi="Times New Roman" w:cs="Times New Roman"/>
          <w:sz w:val="24"/>
        </w:rPr>
        <w:t>: At 24</w:t>
      </w:r>
      <w:r w:rsidR="00DA16F7">
        <w:rPr>
          <w:rFonts w:ascii="Times New Roman" w:hAnsi="Times New Roman" w:cs="Times New Roman"/>
          <w:sz w:val="24"/>
        </w:rPr>
        <w:t xml:space="preserve"> </w:t>
      </w:r>
      <w:r>
        <w:rPr>
          <w:rFonts w:ascii="Times New Roman" w:hAnsi="Times New Roman" w:cs="Times New Roman"/>
          <w:sz w:val="24"/>
        </w:rPr>
        <w:t>h after intervention, the observation group had PT (13.25</w:t>
      </w:r>
      <w:r w:rsidR="00DA16F7">
        <w:rPr>
          <w:rFonts w:ascii="Times New Roman" w:hAnsi="Times New Roman" w:cs="Times New Roman"/>
          <w:sz w:val="24"/>
        </w:rPr>
        <w:t xml:space="preserve"> ± </w:t>
      </w:r>
      <w:r>
        <w:rPr>
          <w:rFonts w:ascii="Times New Roman" w:hAnsi="Times New Roman" w:cs="Times New Roman"/>
          <w:sz w:val="24"/>
        </w:rPr>
        <w:t>1.12) s, APTT (32.46</w:t>
      </w:r>
      <w:r w:rsidR="00DA16F7">
        <w:rPr>
          <w:rFonts w:ascii="Times New Roman" w:hAnsi="Times New Roman" w:cs="Times New Roman"/>
          <w:sz w:val="24"/>
        </w:rPr>
        <w:t xml:space="preserve"> ± </w:t>
      </w:r>
      <w:r>
        <w:rPr>
          <w:rFonts w:ascii="Times New Roman" w:hAnsi="Times New Roman" w:cs="Times New Roman"/>
          <w:sz w:val="24"/>
        </w:rPr>
        <w:t>2.31) s, FIB (2.87</w:t>
      </w:r>
      <w:r w:rsidR="00DA16F7">
        <w:rPr>
          <w:rFonts w:ascii="Times New Roman" w:hAnsi="Times New Roman" w:cs="Times New Roman"/>
          <w:sz w:val="24"/>
        </w:rPr>
        <w:t xml:space="preserve"> ± </w:t>
      </w:r>
      <w:r>
        <w:rPr>
          <w:rFonts w:ascii="Times New Roman" w:hAnsi="Times New Roman" w:cs="Times New Roman"/>
          <w:sz w:val="24"/>
        </w:rPr>
        <w:t>0.34) g/L, and D (1.82</w:t>
      </w:r>
      <w:r w:rsidR="00DA16F7">
        <w:rPr>
          <w:rFonts w:ascii="Times New Roman" w:hAnsi="Times New Roman" w:cs="Times New Roman"/>
          <w:sz w:val="24"/>
        </w:rPr>
        <w:t xml:space="preserve"> ± </w:t>
      </w:r>
      <w:r>
        <w:rPr>
          <w:rFonts w:ascii="Times New Roman" w:hAnsi="Times New Roman" w:cs="Times New Roman"/>
          <w:sz w:val="24"/>
        </w:rPr>
        <w:t>0.41) mg/L, while the control group had PT (15.78</w:t>
      </w:r>
      <w:r w:rsidR="00DA16F7">
        <w:rPr>
          <w:rFonts w:ascii="Times New Roman" w:hAnsi="Times New Roman" w:cs="Times New Roman"/>
          <w:sz w:val="24"/>
        </w:rPr>
        <w:t xml:space="preserve"> ± </w:t>
      </w:r>
      <w:r>
        <w:rPr>
          <w:rFonts w:ascii="Times New Roman" w:hAnsi="Times New Roman" w:cs="Times New Roman"/>
          <w:sz w:val="24"/>
        </w:rPr>
        <w:t>1.46) s, APTT (38.72</w:t>
      </w:r>
      <w:r w:rsidR="00DA16F7">
        <w:rPr>
          <w:rFonts w:ascii="Times New Roman" w:hAnsi="Times New Roman" w:cs="Times New Roman"/>
          <w:sz w:val="24"/>
        </w:rPr>
        <w:t xml:space="preserve"> ± </w:t>
      </w:r>
      <w:r>
        <w:rPr>
          <w:rFonts w:ascii="Times New Roman" w:hAnsi="Times New Roman" w:cs="Times New Roman"/>
          <w:sz w:val="24"/>
        </w:rPr>
        <w:t>2.85) s, FIB (2.15</w:t>
      </w:r>
      <w:r w:rsidR="00DA16F7">
        <w:rPr>
          <w:rFonts w:ascii="Times New Roman" w:hAnsi="Times New Roman" w:cs="Times New Roman"/>
          <w:sz w:val="24"/>
        </w:rPr>
        <w:t xml:space="preserve"> ± </w:t>
      </w:r>
      <w:r>
        <w:rPr>
          <w:rFonts w:ascii="Times New Roman" w:hAnsi="Times New Roman" w:cs="Times New Roman"/>
          <w:sz w:val="24"/>
        </w:rPr>
        <w:t>0.28) g/L, and D (3.24</w:t>
      </w:r>
      <w:r w:rsidR="00DA16F7">
        <w:rPr>
          <w:rFonts w:ascii="Times New Roman" w:hAnsi="Times New Roman" w:cs="Times New Roman"/>
          <w:sz w:val="24"/>
        </w:rPr>
        <w:t xml:space="preserve"> ± </w:t>
      </w:r>
      <w:r>
        <w:rPr>
          <w:rFonts w:ascii="Times New Roman" w:hAnsi="Times New Roman" w:cs="Times New Roman"/>
          <w:sz w:val="24"/>
        </w:rPr>
        <w:t>0.57) mg/L. The differences in coagulation function indicators between the two groups were statistically significant (</w:t>
      </w:r>
      <w:r w:rsidR="00DA16F7">
        <w:rPr>
          <w:rFonts w:ascii="Times New Roman" w:hAnsi="Times New Roman" w:cs="Times New Roman"/>
          <w:i/>
          <w:iCs/>
          <w:sz w:val="24"/>
        </w:rPr>
        <w:t xml:space="preserve">p </w:t>
      </w:r>
      <w:r>
        <w:rPr>
          <w:rFonts w:ascii="Times New Roman" w:hAnsi="Times New Roman" w:cs="Times New Roman"/>
          <w:sz w:val="24"/>
        </w:rPr>
        <w:t>&lt;</w:t>
      </w:r>
      <w:r w:rsidR="00DA16F7">
        <w:rPr>
          <w:rFonts w:ascii="Times New Roman" w:hAnsi="Times New Roman" w:cs="Times New Roman"/>
          <w:sz w:val="24"/>
        </w:rPr>
        <w:t xml:space="preserve"> </w:t>
      </w:r>
      <w:r>
        <w:rPr>
          <w:rFonts w:ascii="Times New Roman" w:hAnsi="Times New Roman" w:cs="Times New Roman"/>
          <w:sz w:val="24"/>
        </w:rPr>
        <w:t>0.05). Among blood gas analysis indicators, the observation group had pH (7.38</w:t>
      </w:r>
      <w:r w:rsidR="00DA16F7">
        <w:rPr>
          <w:rFonts w:ascii="Times New Roman" w:hAnsi="Times New Roman" w:cs="Times New Roman"/>
          <w:sz w:val="24"/>
        </w:rPr>
        <w:t xml:space="preserve"> ± </w:t>
      </w:r>
      <w:r>
        <w:rPr>
          <w:rFonts w:ascii="Times New Roman" w:hAnsi="Times New Roman" w:cs="Times New Roman"/>
          <w:sz w:val="24"/>
        </w:rPr>
        <w:t xml:space="preserve">0.03), </w:t>
      </w:r>
      <w:proofErr w:type="spellStart"/>
      <w:r>
        <w:rPr>
          <w:rFonts w:ascii="Times New Roman" w:hAnsi="Times New Roman" w:cs="Times New Roman"/>
          <w:sz w:val="24"/>
        </w:rPr>
        <w:t>PaO</w:t>
      </w:r>
      <w:proofErr w:type="spellEnd"/>
      <w:r>
        <w:rPr>
          <w:rFonts w:ascii="Times New Roman" w:hAnsi="Times New Roman" w:cs="Times New Roman"/>
          <w:sz w:val="24"/>
        </w:rPr>
        <w:t>₂ (87.64</w:t>
      </w:r>
      <w:r w:rsidR="00DA16F7">
        <w:rPr>
          <w:rFonts w:ascii="Times New Roman" w:hAnsi="Times New Roman" w:cs="Times New Roman"/>
          <w:sz w:val="24"/>
        </w:rPr>
        <w:t xml:space="preserve"> ± </w:t>
      </w:r>
      <w:r>
        <w:rPr>
          <w:rFonts w:ascii="Times New Roman" w:hAnsi="Times New Roman" w:cs="Times New Roman"/>
          <w:sz w:val="24"/>
        </w:rPr>
        <w:t>5.21) mmHg, and lactate (2.13</w:t>
      </w:r>
      <w:r w:rsidR="00DA16F7">
        <w:rPr>
          <w:rFonts w:ascii="Times New Roman" w:hAnsi="Times New Roman" w:cs="Times New Roman"/>
          <w:sz w:val="24"/>
        </w:rPr>
        <w:t xml:space="preserve"> ± </w:t>
      </w:r>
      <w:r>
        <w:rPr>
          <w:rFonts w:ascii="Times New Roman" w:hAnsi="Times New Roman" w:cs="Times New Roman"/>
          <w:sz w:val="24"/>
        </w:rPr>
        <w:t>0.36) mmol/L, which were superior to the control group</w:t>
      </w:r>
      <w:r w:rsidR="00DA16F7">
        <w:rPr>
          <w:rFonts w:ascii="Times New Roman" w:hAnsi="Times New Roman" w:cs="Times New Roman"/>
          <w:sz w:val="24"/>
        </w:rPr>
        <w:t>’</w:t>
      </w:r>
      <w:r>
        <w:rPr>
          <w:rFonts w:ascii="Times New Roman" w:hAnsi="Times New Roman" w:cs="Times New Roman"/>
          <w:sz w:val="24"/>
        </w:rPr>
        <w:t>s pH (7.32</w:t>
      </w:r>
      <w:r w:rsidR="00DA16F7">
        <w:rPr>
          <w:rFonts w:ascii="Times New Roman" w:hAnsi="Times New Roman" w:cs="Times New Roman"/>
          <w:sz w:val="24"/>
        </w:rPr>
        <w:t xml:space="preserve"> ± </w:t>
      </w:r>
      <w:r>
        <w:rPr>
          <w:rFonts w:ascii="Times New Roman" w:hAnsi="Times New Roman" w:cs="Times New Roman"/>
          <w:sz w:val="24"/>
        </w:rPr>
        <w:t xml:space="preserve">0.04), </w:t>
      </w:r>
      <w:proofErr w:type="spellStart"/>
      <w:r>
        <w:rPr>
          <w:rFonts w:ascii="Times New Roman" w:hAnsi="Times New Roman" w:cs="Times New Roman"/>
          <w:sz w:val="24"/>
        </w:rPr>
        <w:t>PaO</w:t>
      </w:r>
      <w:proofErr w:type="spellEnd"/>
      <w:r>
        <w:rPr>
          <w:rFonts w:ascii="Times New Roman" w:hAnsi="Times New Roman" w:cs="Times New Roman"/>
          <w:sz w:val="24"/>
        </w:rPr>
        <w:t>₂ (78.53</w:t>
      </w:r>
      <w:r w:rsidR="00DA16F7">
        <w:rPr>
          <w:rFonts w:ascii="Times New Roman" w:hAnsi="Times New Roman" w:cs="Times New Roman"/>
          <w:sz w:val="24"/>
        </w:rPr>
        <w:t xml:space="preserve"> ± </w:t>
      </w:r>
      <w:r>
        <w:rPr>
          <w:rFonts w:ascii="Times New Roman" w:hAnsi="Times New Roman" w:cs="Times New Roman"/>
          <w:sz w:val="24"/>
        </w:rPr>
        <w:t>4.89) mmHg, and lactate (3.47</w:t>
      </w:r>
      <w:r w:rsidR="00DA16F7">
        <w:rPr>
          <w:rFonts w:ascii="Times New Roman" w:hAnsi="Times New Roman" w:cs="Times New Roman"/>
          <w:sz w:val="24"/>
        </w:rPr>
        <w:t xml:space="preserve"> ± </w:t>
      </w:r>
      <w:r>
        <w:rPr>
          <w:rFonts w:ascii="Times New Roman" w:hAnsi="Times New Roman" w:cs="Times New Roman"/>
          <w:sz w:val="24"/>
        </w:rPr>
        <w:t>0.52) mmol/L, with statistically significant differences (</w:t>
      </w:r>
      <w:r w:rsidR="00DA16F7">
        <w:rPr>
          <w:rFonts w:ascii="Times New Roman" w:hAnsi="Times New Roman" w:cs="Times New Roman"/>
          <w:i/>
          <w:iCs/>
          <w:sz w:val="24"/>
        </w:rPr>
        <w:t>p</w:t>
      </w:r>
      <w:r w:rsidR="00DA16F7">
        <w:rPr>
          <w:rFonts w:ascii="Times New Roman" w:hAnsi="Times New Roman" w:cs="Times New Roman" w:hint="eastAsia"/>
          <w:i/>
          <w:iCs/>
          <w:sz w:val="24"/>
        </w:rPr>
        <w:t xml:space="preserve"> </w:t>
      </w:r>
      <w:r>
        <w:rPr>
          <w:rFonts w:ascii="Times New Roman" w:hAnsi="Times New Roman" w:cs="Times New Roman"/>
          <w:sz w:val="24"/>
        </w:rPr>
        <w:t>&lt;</w:t>
      </w:r>
      <w:r>
        <w:rPr>
          <w:rFonts w:ascii="Times New Roman" w:hAnsi="Times New Roman" w:cs="Times New Roman" w:hint="eastAsia"/>
          <w:sz w:val="24"/>
        </w:rPr>
        <w:t xml:space="preserve"> </w:t>
      </w:r>
      <w:r>
        <w:rPr>
          <w:rFonts w:ascii="Times New Roman" w:hAnsi="Times New Roman" w:cs="Times New Roman"/>
          <w:sz w:val="24"/>
        </w:rPr>
        <w:t xml:space="preserve">0.05); there was no statistically significant difference in </w:t>
      </w:r>
      <w:proofErr w:type="spellStart"/>
      <w:r>
        <w:rPr>
          <w:rFonts w:ascii="Times New Roman" w:hAnsi="Times New Roman" w:cs="Times New Roman"/>
          <w:sz w:val="24"/>
        </w:rPr>
        <w:t>PaCO</w:t>
      </w:r>
      <w:proofErr w:type="spellEnd"/>
      <w:r>
        <w:rPr>
          <w:rFonts w:ascii="Times New Roman" w:hAnsi="Times New Roman" w:cs="Times New Roman"/>
          <w:sz w:val="24"/>
        </w:rPr>
        <w:t>₂ between the two groups (</w:t>
      </w:r>
      <w:r w:rsidR="00DA16F7">
        <w:rPr>
          <w:rFonts w:ascii="Times New Roman" w:hAnsi="Times New Roman" w:cs="Times New Roman"/>
          <w:i/>
          <w:iCs/>
          <w:sz w:val="24"/>
        </w:rPr>
        <w:t>p</w:t>
      </w:r>
      <w:r w:rsidR="00DA16F7">
        <w:rPr>
          <w:rFonts w:ascii="Times New Roman" w:hAnsi="Times New Roman" w:cs="Times New Roman" w:hint="eastAsia"/>
          <w:i/>
          <w:iCs/>
          <w:sz w:val="24"/>
        </w:rPr>
        <w:t xml:space="preserve"> </w:t>
      </w:r>
      <w:r>
        <w:rPr>
          <w:rFonts w:ascii="Times New Roman" w:hAnsi="Times New Roman" w:cs="Times New Roman"/>
          <w:sz w:val="24"/>
        </w:rPr>
        <w:t>&gt;</w:t>
      </w:r>
      <w:r>
        <w:rPr>
          <w:rFonts w:ascii="Times New Roman" w:hAnsi="Times New Roman" w:cs="Times New Roman" w:hint="eastAsia"/>
          <w:sz w:val="24"/>
        </w:rPr>
        <w:t xml:space="preserve"> </w:t>
      </w:r>
      <w:r>
        <w:rPr>
          <w:rFonts w:ascii="Times New Roman" w:hAnsi="Times New Roman" w:cs="Times New Roman"/>
          <w:sz w:val="24"/>
        </w:rPr>
        <w:t>0.05). Among inflammatory factor indicators, the observation group had TNF-α (18.52</w:t>
      </w:r>
      <w:r w:rsidR="00DA16F7">
        <w:rPr>
          <w:rFonts w:ascii="Times New Roman" w:hAnsi="Times New Roman" w:cs="Times New Roman"/>
          <w:sz w:val="24"/>
        </w:rPr>
        <w:t xml:space="preserve"> ± </w:t>
      </w:r>
      <w:r>
        <w:rPr>
          <w:rFonts w:ascii="Times New Roman" w:hAnsi="Times New Roman" w:cs="Times New Roman"/>
          <w:sz w:val="24"/>
        </w:rPr>
        <w:t>3.14) ng/L and IL-6 (22.47</w:t>
      </w:r>
      <w:r w:rsidR="00DA16F7">
        <w:rPr>
          <w:rFonts w:ascii="Times New Roman" w:hAnsi="Times New Roman" w:cs="Times New Roman"/>
          <w:sz w:val="24"/>
        </w:rPr>
        <w:t xml:space="preserve"> ± </w:t>
      </w:r>
      <w:r>
        <w:rPr>
          <w:rFonts w:ascii="Times New Roman" w:hAnsi="Times New Roman" w:cs="Times New Roman"/>
          <w:sz w:val="24"/>
        </w:rPr>
        <w:t>3.56) ng/L, which were lower than the control group</w:t>
      </w:r>
      <w:r w:rsidR="00DA16F7">
        <w:rPr>
          <w:rFonts w:ascii="Times New Roman" w:hAnsi="Times New Roman" w:cs="Times New Roman"/>
          <w:sz w:val="24"/>
        </w:rPr>
        <w:t>’</w:t>
      </w:r>
      <w:r>
        <w:rPr>
          <w:rFonts w:ascii="Times New Roman" w:hAnsi="Times New Roman" w:cs="Times New Roman"/>
          <w:sz w:val="24"/>
        </w:rPr>
        <w:t>s TNF-α (32.65</w:t>
      </w:r>
      <w:r w:rsidR="00DA16F7">
        <w:rPr>
          <w:rFonts w:ascii="Times New Roman" w:hAnsi="Times New Roman" w:cs="Times New Roman"/>
          <w:sz w:val="24"/>
        </w:rPr>
        <w:t xml:space="preserve"> ± </w:t>
      </w:r>
      <w:r>
        <w:rPr>
          <w:rFonts w:ascii="Times New Roman" w:hAnsi="Times New Roman" w:cs="Times New Roman"/>
          <w:sz w:val="24"/>
        </w:rPr>
        <w:t>4.72) ng/L and IL-6 (38.79</w:t>
      </w:r>
      <w:r w:rsidR="00DA16F7">
        <w:rPr>
          <w:rFonts w:ascii="Times New Roman" w:hAnsi="Times New Roman" w:cs="Times New Roman"/>
          <w:sz w:val="24"/>
        </w:rPr>
        <w:t xml:space="preserve"> ± </w:t>
      </w:r>
      <w:r>
        <w:rPr>
          <w:rFonts w:ascii="Times New Roman" w:hAnsi="Times New Roman" w:cs="Times New Roman"/>
          <w:sz w:val="24"/>
        </w:rPr>
        <w:t>4.21) ng/L, with statistically significant differences (</w:t>
      </w:r>
      <w:r w:rsidR="00DA16F7">
        <w:rPr>
          <w:rFonts w:ascii="Times New Roman" w:hAnsi="Times New Roman" w:cs="Times New Roman"/>
          <w:i/>
          <w:iCs/>
          <w:sz w:val="24"/>
        </w:rPr>
        <w:t>p</w:t>
      </w:r>
      <w:r w:rsidR="00DA16F7">
        <w:rPr>
          <w:rFonts w:ascii="Times New Roman" w:hAnsi="Times New Roman" w:cs="Times New Roman" w:hint="eastAsia"/>
          <w:i/>
          <w:iCs/>
          <w:sz w:val="24"/>
        </w:rPr>
        <w:t xml:space="preserve"> </w:t>
      </w:r>
      <w:r>
        <w:rPr>
          <w:rFonts w:ascii="Times New Roman" w:hAnsi="Times New Roman" w:cs="Times New Roman"/>
          <w:sz w:val="24"/>
        </w:rPr>
        <w:t>&lt;</w:t>
      </w:r>
      <w:r>
        <w:rPr>
          <w:rFonts w:ascii="Times New Roman" w:hAnsi="Times New Roman" w:cs="Times New Roman" w:hint="eastAsia"/>
          <w:sz w:val="24"/>
        </w:rPr>
        <w:t xml:space="preserve"> </w:t>
      </w:r>
      <w:r>
        <w:rPr>
          <w:rFonts w:ascii="Times New Roman" w:hAnsi="Times New Roman" w:cs="Times New Roman"/>
          <w:sz w:val="24"/>
        </w:rPr>
        <w:t>0.05); there was no statistically significant difference in IL-1β between the two groups (</w:t>
      </w:r>
      <w:r w:rsidR="00DA16F7">
        <w:rPr>
          <w:rFonts w:ascii="Times New Roman" w:hAnsi="Times New Roman" w:cs="Times New Roman"/>
          <w:i/>
          <w:iCs/>
          <w:sz w:val="24"/>
        </w:rPr>
        <w:t>p</w:t>
      </w:r>
      <w:r w:rsidR="00DA16F7">
        <w:rPr>
          <w:rFonts w:ascii="Times New Roman" w:hAnsi="Times New Roman" w:cs="Times New Roman" w:hint="eastAsia"/>
          <w:i/>
          <w:iCs/>
          <w:sz w:val="24"/>
        </w:rPr>
        <w:t xml:space="preserve"> </w:t>
      </w:r>
      <w:r>
        <w:rPr>
          <w:rFonts w:ascii="Times New Roman" w:hAnsi="Times New Roman" w:cs="Times New Roman"/>
          <w:sz w:val="24"/>
        </w:rPr>
        <w:t>&gt;</w:t>
      </w:r>
      <w:r>
        <w:rPr>
          <w:rFonts w:ascii="Times New Roman" w:hAnsi="Times New Roman" w:cs="Times New Roman" w:hint="eastAsia"/>
          <w:sz w:val="24"/>
        </w:rPr>
        <w:t xml:space="preserve"> </w:t>
      </w:r>
      <w:r>
        <w:rPr>
          <w:rFonts w:ascii="Times New Roman" w:hAnsi="Times New Roman" w:cs="Times New Roman"/>
          <w:sz w:val="24"/>
        </w:rPr>
        <w:t>0.05). Among prognosis-related indicators, there were no statistically significant differences in total hospitalization duration, 28-day mortality, or incidence of bleeding-related complications between the two groups (</w:t>
      </w:r>
      <w:r w:rsidR="00DA16F7">
        <w:rPr>
          <w:rFonts w:ascii="Times New Roman" w:hAnsi="Times New Roman" w:cs="Times New Roman"/>
          <w:i/>
          <w:iCs/>
          <w:sz w:val="24"/>
        </w:rPr>
        <w:t>p</w:t>
      </w:r>
      <w:r w:rsidR="00DA16F7">
        <w:rPr>
          <w:rFonts w:ascii="Times New Roman" w:hAnsi="Times New Roman" w:cs="Times New Roman" w:hint="eastAsia"/>
          <w:i/>
          <w:iCs/>
          <w:sz w:val="24"/>
        </w:rPr>
        <w:t xml:space="preserve"> </w:t>
      </w:r>
      <w:r>
        <w:rPr>
          <w:rFonts w:ascii="Times New Roman" w:hAnsi="Times New Roman" w:cs="Times New Roman"/>
          <w:sz w:val="24"/>
        </w:rPr>
        <w:t>&gt;</w:t>
      </w:r>
      <w:r>
        <w:rPr>
          <w:rFonts w:ascii="Times New Roman" w:hAnsi="Times New Roman" w:cs="Times New Roman" w:hint="eastAsia"/>
          <w:sz w:val="24"/>
        </w:rPr>
        <w:t xml:space="preserve"> </w:t>
      </w:r>
      <w:r>
        <w:rPr>
          <w:rFonts w:ascii="Times New Roman" w:hAnsi="Times New Roman" w:cs="Times New Roman"/>
          <w:sz w:val="24"/>
        </w:rPr>
        <w:t xml:space="preserve">0.05). </w:t>
      </w:r>
      <w:r>
        <w:rPr>
          <w:rFonts w:ascii="Times New Roman" w:hAnsi="Times New Roman" w:cs="Times New Roman"/>
          <w:i/>
          <w:iCs/>
          <w:sz w:val="24"/>
        </w:rPr>
        <w:t>Conclusion</w:t>
      </w:r>
      <w:r>
        <w:rPr>
          <w:rFonts w:ascii="Times New Roman" w:hAnsi="Times New Roman" w:cs="Times New Roman"/>
          <w:sz w:val="24"/>
        </w:rPr>
        <w:t>: Early restrictive fluid resuscitation can, to a certain extent, modulate the coagulation status, blood gas levels, and degree of inflammatory response in ATC patients, without bringing additional negative effects on long-term outcomes, and can provide a reference for the formulation of acute-phase intervention protocols for clinical acute trauma patients.</w:t>
      </w:r>
    </w:p>
    <w:p w14:paraId="6BE2E550" w14:textId="77777777" w:rsidR="00820E59" w:rsidRDefault="00000000" w:rsidP="00B906ED">
      <w:pPr>
        <w:snapToGrid w:val="0"/>
        <w:rPr>
          <w:rFonts w:ascii="Times New Roman" w:hAnsi="Times New Roman" w:cs="Times New Roman"/>
          <w:sz w:val="24"/>
        </w:rPr>
      </w:pPr>
      <w:r>
        <w:rPr>
          <w:rFonts w:ascii="Times New Roman" w:hAnsi="Times New Roman" w:cs="Times New Roman"/>
          <w:b/>
          <w:bCs/>
          <w:sz w:val="24"/>
        </w:rPr>
        <w:t>Keywords:</w:t>
      </w:r>
      <w:r>
        <w:rPr>
          <w:rFonts w:ascii="Times New Roman" w:hAnsi="Times New Roman" w:cs="Times New Roman"/>
          <w:sz w:val="24"/>
        </w:rPr>
        <w:t xml:space="preserve"> </w:t>
      </w:r>
      <w:r>
        <w:rPr>
          <w:rFonts w:ascii="Times New Roman" w:hAnsi="Times New Roman" w:cs="Times New Roman" w:hint="eastAsia"/>
          <w:sz w:val="24"/>
        </w:rPr>
        <w:t>A</w:t>
      </w:r>
      <w:r>
        <w:rPr>
          <w:rFonts w:ascii="Times New Roman" w:hAnsi="Times New Roman" w:cs="Times New Roman"/>
          <w:sz w:val="24"/>
        </w:rPr>
        <w:t xml:space="preserve">cute traumatic coagulopathy; </w:t>
      </w:r>
      <w:r>
        <w:rPr>
          <w:rFonts w:ascii="Times New Roman" w:hAnsi="Times New Roman" w:cs="Times New Roman" w:hint="eastAsia"/>
          <w:sz w:val="24"/>
        </w:rPr>
        <w:t>E</w:t>
      </w:r>
      <w:r>
        <w:rPr>
          <w:rFonts w:ascii="Times New Roman" w:hAnsi="Times New Roman" w:cs="Times New Roman"/>
          <w:sz w:val="24"/>
        </w:rPr>
        <w:t xml:space="preserve">arly restrictive fluid resuscitation; </w:t>
      </w:r>
      <w:r>
        <w:rPr>
          <w:rFonts w:ascii="Times New Roman" w:hAnsi="Times New Roman" w:cs="Times New Roman" w:hint="eastAsia"/>
          <w:sz w:val="24"/>
        </w:rPr>
        <w:t>C</w:t>
      </w:r>
      <w:r>
        <w:rPr>
          <w:rFonts w:ascii="Times New Roman" w:hAnsi="Times New Roman" w:cs="Times New Roman"/>
          <w:sz w:val="24"/>
        </w:rPr>
        <w:t xml:space="preserve">oagulation function; </w:t>
      </w:r>
      <w:r>
        <w:rPr>
          <w:rFonts w:ascii="Times New Roman" w:hAnsi="Times New Roman" w:cs="Times New Roman" w:hint="eastAsia"/>
          <w:sz w:val="24"/>
        </w:rPr>
        <w:t>B</w:t>
      </w:r>
      <w:r>
        <w:rPr>
          <w:rFonts w:ascii="Times New Roman" w:hAnsi="Times New Roman" w:cs="Times New Roman"/>
          <w:sz w:val="24"/>
        </w:rPr>
        <w:t xml:space="preserve">lood gas analysis; </w:t>
      </w:r>
      <w:r>
        <w:rPr>
          <w:rFonts w:ascii="Times New Roman" w:hAnsi="Times New Roman" w:cs="Times New Roman" w:hint="eastAsia"/>
          <w:sz w:val="24"/>
        </w:rPr>
        <w:t>I</w:t>
      </w:r>
      <w:r>
        <w:rPr>
          <w:rFonts w:ascii="Times New Roman" w:hAnsi="Times New Roman" w:cs="Times New Roman"/>
          <w:sz w:val="24"/>
        </w:rPr>
        <w:t>nflammatory factors</w:t>
      </w:r>
    </w:p>
    <w:p w14:paraId="6BE2E551" w14:textId="77777777" w:rsidR="00820E59" w:rsidRDefault="00820E59" w:rsidP="00B906ED">
      <w:pPr>
        <w:snapToGrid w:val="0"/>
        <w:rPr>
          <w:rFonts w:ascii="Times New Roman" w:hAnsi="Times New Roman" w:cs="Times New Roman"/>
          <w:sz w:val="24"/>
        </w:rPr>
      </w:pPr>
    </w:p>
    <w:p w14:paraId="6BE2E552" w14:textId="64A9AA09" w:rsidR="00820E59" w:rsidRPr="00B906ED" w:rsidRDefault="00DA16F7" w:rsidP="00DA16F7">
      <w:pPr>
        <w:snapToGrid w:val="0"/>
        <w:rPr>
          <w:rFonts w:ascii="Times New Roman" w:hAnsi="Times New Roman" w:cs="Times New Roman"/>
          <w:b/>
          <w:bCs/>
          <w:sz w:val="24"/>
        </w:rPr>
      </w:pPr>
      <w:r w:rsidRPr="00B906ED">
        <w:rPr>
          <w:rFonts w:ascii="Times New Roman" w:hAnsi="Times New Roman" w:cs="Times New Roman"/>
          <w:b/>
          <w:bCs/>
          <w:sz w:val="24"/>
        </w:rPr>
        <w:t>Online publication:</w:t>
      </w:r>
    </w:p>
    <w:p w14:paraId="5F117CAA" w14:textId="77777777" w:rsidR="00DA16F7" w:rsidRDefault="00DA16F7" w:rsidP="00B906ED">
      <w:pPr>
        <w:snapToGrid w:val="0"/>
        <w:rPr>
          <w:rFonts w:ascii="Times New Roman" w:hAnsi="Times New Roman" w:cs="Times New Roman"/>
          <w:sz w:val="24"/>
        </w:rPr>
      </w:pPr>
    </w:p>
    <w:p w14:paraId="6BE2E553"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 xml:space="preserve">1. </w:t>
      </w:r>
      <w:r>
        <w:rPr>
          <w:rFonts w:ascii="Times New Roman" w:hAnsi="Times New Roman" w:cs="Times New Roman"/>
          <w:b/>
          <w:bCs/>
          <w:sz w:val="24"/>
        </w:rPr>
        <w:t>Introduction</w:t>
      </w:r>
    </w:p>
    <w:p w14:paraId="6BE2E554" w14:textId="14B6013C"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Acute traumatic coagulopathy (ATC) is a relatively common complication in the early stage of severe trauma patients. Recent epidemiological statistics show that the incidence of ATC among hospitalized </w:t>
      </w:r>
      <w:r>
        <w:rPr>
          <w:rFonts w:ascii="Times New Roman" w:hAnsi="Times New Roman" w:cs="Times New Roman"/>
          <w:sz w:val="24"/>
        </w:rPr>
        <w:lastRenderedPageBreak/>
        <w:t>patients with severe trauma is 24–38%. The 28-day mortality risk of trauma patients with ATC is 4–6 times higher than that of trauma patients without ATC, and such deaths account for 32–40% of total early post-trauma deaths. ATC mostly follows high-energy traumatic events such as traffic accidents and falls from height. In the early stage of onset, pathological changes including massive consumption of coagulation factors and abnormal activation of the fibrinolytic system can occur, potentially inducing multi-site active bleeding and peripheral tissue hypoperfusion within a short period, posing considerable obstacles to clinical acute-phase resuscitation.</w:t>
      </w:r>
    </w:p>
    <w:p w14:paraId="6BE2E555" w14:textId="255A1132" w:rsidR="00820E59" w:rsidRDefault="00000000" w:rsidP="00B906ED">
      <w:pPr>
        <w:snapToGrid w:val="0"/>
        <w:ind w:firstLineChars="300" w:firstLine="720"/>
        <w:rPr>
          <w:rFonts w:ascii="Times New Roman" w:hAnsi="Times New Roman" w:cs="Times New Roman"/>
          <w:sz w:val="24"/>
        </w:rPr>
      </w:pPr>
      <w:r>
        <w:rPr>
          <w:rFonts w:ascii="Times New Roman" w:hAnsi="Times New Roman" w:cs="Times New Roman"/>
          <w:sz w:val="24"/>
        </w:rPr>
        <w:t>Previous studies in similar clinical populations have found that the occurrence and progression of ATC are associated with multiple pathophysiological processes, including the degree of tissue injury, hypoperfusion status, and activation of systemic inflammatory responses. Currently, clinical risk assessment of ATC mostly focuses on single coagulation function indicators, and the evaluation dimensions selected by medical institutions in different regions still vary. The guiding value of some indicators for early intervention protocols has not reached a unified consensus, especially regarding the timing of fluid resuscitation strategy selection and the matching standards for infusion volume, which still have considerable room for exploration. Fluid resuscitation is a core measure for correcting hypoperfusion status in the acute phase of trauma. During the use of conventional fluid resuscitation protocols, some patients may experience excessive hemodilution and further decline in coagulation factor concentrations, paradoxically aggravating pre-existing coagulation dysfunction. Related research suggests that early restrictive fluid resuscitation strategies can reduce unnecessary interference with the body</w:t>
      </w:r>
      <w:r w:rsidR="00DA16F7">
        <w:rPr>
          <w:rFonts w:ascii="Times New Roman" w:hAnsi="Times New Roman" w:cs="Times New Roman"/>
          <w:sz w:val="24"/>
        </w:rPr>
        <w:t>’</w:t>
      </w:r>
      <w:r>
        <w:rPr>
          <w:rFonts w:ascii="Times New Roman" w:hAnsi="Times New Roman" w:cs="Times New Roman"/>
          <w:sz w:val="24"/>
        </w:rPr>
        <w:t>s coagulation mechanisms while maintaining basic perfusion of vital organs. However, the specific effect pathways of this protocol on ATC patients, as well as its overall impact on blood gas status and inflammatory levels, have not yet been supported by systematic research data. This study was conducted around this direction to investigate the actual impact of early fluid resuscitation on coagulation function recovery in ATC patients, providing a reference for the formulation of acute-phase intervention protocols for clinical acute trauma patients.</w:t>
      </w:r>
    </w:p>
    <w:p w14:paraId="6BE2E556" w14:textId="77777777" w:rsidR="00820E59" w:rsidRDefault="00820E59" w:rsidP="00B906ED">
      <w:pPr>
        <w:snapToGrid w:val="0"/>
        <w:ind w:firstLineChars="300" w:firstLine="720"/>
        <w:rPr>
          <w:rFonts w:ascii="Times New Roman" w:hAnsi="Times New Roman" w:cs="Times New Roman"/>
          <w:sz w:val="24"/>
        </w:rPr>
      </w:pPr>
    </w:p>
    <w:p w14:paraId="6BE2E557"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 xml:space="preserve">. Materials and </w:t>
      </w:r>
      <w:r>
        <w:rPr>
          <w:rFonts w:ascii="Times New Roman" w:hAnsi="Times New Roman" w:cs="Times New Roman" w:hint="eastAsia"/>
          <w:b/>
          <w:bCs/>
          <w:sz w:val="24"/>
        </w:rPr>
        <w:t>m</w:t>
      </w:r>
      <w:r>
        <w:rPr>
          <w:rFonts w:ascii="Times New Roman" w:hAnsi="Times New Roman" w:cs="Times New Roman"/>
          <w:b/>
          <w:bCs/>
          <w:sz w:val="24"/>
        </w:rPr>
        <w:t>ethods</w:t>
      </w:r>
    </w:p>
    <w:p w14:paraId="6BE2E558"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.1</w:t>
      </w:r>
      <w:r>
        <w:rPr>
          <w:rFonts w:ascii="Times New Roman" w:hAnsi="Times New Roman" w:cs="Times New Roman" w:hint="eastAsia"/>
          <w:b/>
          <w:bCs/>
          <w:sz w:val="24"/>
        </w:rPr>
        <w:t>.</w:t>
      </w:r>
      <w:r>
        <w:rPr>
          <w:rFonts w:ascii="Times New Roman" w:hAnsi="Times New Roman" w:cs="Times New Roman"/>
          <w:b/>
          <w:bCs/>
          <w:sz w:val="24"/>
        </w:rPr>
        <w:t xml:space="preserve"> General </w:t>
      </w:r>
      <w:r>
        <w:rPr>
          <w:rFonts w:ascii="Times New Roman" w:hAnsi="Times New Roman" w:cs="Times New Roman" w:hint="eastAsia"/>
          <w:b/>
          <w:bCs/>
          <w:sz w:val="24"/>
        </w:rPr>
        <w:t>i</w:t>
      </w:r>
      <w:r>
        <w:rPr>
          <w:rFonts w:ascii="Times New Roman" w:hAnsi="Times New Roman" w:cs="Times New Roman"/>
          <w:b/>
          <w:bCs/>
          <w:sz w:val="24"/>
        </w:rPr>
        <w:t>nformation</w:t>
      </w:r>
    </w:p>
    <w:p w14:paraId="6BE2E559" w14:textId="0B528010" w:rsidR="00820E59" w:rsidRDefault="00000000" w:rsidP="00B906ED">
      <w:pPr>
        <w:snapToGrid w:val="0"/>
        <w:rPr>
          <w:rFonts w:ascii="Times New Roman" w:hAnsi="Times New Roman" w:cs="Times New Roman"/>
          <w:sz w:val="24"/>
        </w:rPr>
      </w:pPr>
      <w:r>
        <w:rPr>
          <w:rFonts w:ascii="Times New Roman" w:hAnsi="Times New Roman" w:cs="Times New Roman"/>
          <w:sz w:val="24"/>
        </w:rPr>
        <w:t>Fifty patients with acute traumatic coagulopathy admitted to the Emergency Department of our hospital between June 1, 2025 and June 30, 2026 were enrolled in this study. Using the random number table method, all patients were divided into a control group and an observation group, with 25 cases in each group. In the control group, there were 16 males and 9 females, with an age range of 22–65 years and a mean age of (42.35</w:t>
      </w:r>
      <w:r w:rsidR="00133F78">
        <w:rPr>
          <w:rFonts w:ascii="Times New Roman" w:hAnsi="Times New Roman" w:cs="Times New Roman"/>
          <w:sz w:val="24"/>
        </w:rPr>
        <w:t xml:space="preserve"> </w:t>
      </w:r>
      <w:r>
        <w:rPr>
          <w:rFonts w:ascii="Times New Roman" w:hAnsi="Times New Roman" w:cs="Times New Roman"/>
          <w:sz w:val="24"/>
        </w:rPr>
        <w:t>±</w:t>
      </w:r>
      <w:r w:rsidR="00133F78">
        <w:rPr>
          <w:rFonts w:ascii="Times New Roman" w:hAnsi="Times New Roman" w:cs="Times New Roman"/>
          <w:sz w:val="24"/>
        </w:rPr>
        <w:t xml:space="preserve"> </w:t>
      </w:r>
      <w:r>
        <w:rPr>
          <w:rFonts w:ascii="Times New Roman" w:hAnsi="Times New Roman" w:cs="Times New Roman"/>
          <w:sz w:val="24"/>
        </w:rPr>
        <w:t>8.12) years. In the observation group, there were 15 males and 10 females, with an age range of 21–66 years and a mean age of (43.12</w:t>
      </w:r>
      <w:r w:rsidR="00133F78">
        <w:rPr>
          <w:rFonts w:ascii="Times New Roman" w:hAnsi="Times New Roman" w:cs="Times New Roman"/>
          <w:sz w:val="24"/>
        </w:rPr>
        <w:t xml:space="preserve"> </w:t>
      </w:r>
      <w:r>
        <w:rPr>
          <w:rFonts w:ascii="Times New Roman" w:hAnsi="Times New Roman" w:cs="Times New Roman"/>
          <w:sz w:val="24"/>
        </w:rPr>
        <w:t>±</w:t>
      </w:r>
      <w:r w:rsidR="00133F78">
        <w:rPr>
          <w:rFonts w:ascii="Times New Roman" w:hAnsi="Times New Roman" w:cs="Times New Roman"/>
          <w:sz w:val="24"/>
        </w:rPr>
        <w:t xml:space="preserve"> </w:t>
      </w:r>
      <w:r>
        <w:rPr>
          <w:rFonts w:ascii="Times New Roman" w:hAnsi="Times New Roman" w:cs="Times New Roman"/>
          <w:sz w:val="24"/>
        </w:rPr>
        <w:t>7.89) years. There were no statistically significant differences in general data such as sex composition and age distribution between the two groups (</w:t>
      </w:r>
      <w:r w:rsidR="00545E9D" w:rsidRPr="00B906ED">
        <w:rPr>
          <w:rFonts w:ascii="Times New Roman" w:hAnsi="Times New Roman" w:cs="Times New Roman"/>
          <w:i/>
          <w:iCs/>
          <w:sz w:val="24"/>
        </w:rPr>
        <w:t>p</w:t>
      </w:r>
      <w:r w:rsidR="00545E9D">
        <w:rPr>
          <w:rFonts w:ascii="Times New Roman" w:hAnsi="Times New Roman" w:cs="Times New Roman"/>
          <w:sz w:val="24"/>
        </w:rPr>
        <w:t xml:space="preserve"> </w:t>
      </w:r>
      <w:r>
        <w:rPr>
          <w:rFonts w:ascii="Times New Roman" w:hAnsi="Times New Roman" w:cs="Times New Roman"/>
          <w:sz w:val="24"/>
        </w:rPr>
        <w:t>&gt;</w:t>
      </w:r>
      <w:r w:rsidR="00545E9D">
        <w:rPr>
          <w:rFonts w:ascii="Times New Roman" w:hAnsi="Times New Roman" w:cs="Times New Roman"/>
          <w:sz w:val="24"/>
        </w:rPr>
        <w:t xml:space="preserve"> </w:t>
      </w:r>
      <w:r>
        <w:rPr>
          <w:rFonts w:ascii="Times New Roman" w:hAnsi="Times New Roman" w:cs="Times New Roman"/>
          <w:sz w:val="24"/>
        </w:rPr>
        <w:t>0.05), indicating comparability.</w:t>
      </w:r>
    </w:p>
    <w:p w14:paraId="6BE2E55A" w14:textId="77777777" w:rsidR="00820E59" w:rsidRDefault="00000000" w:rsidP="00B906ED">
      <w:pPr>
        <w:snapToGrid w:val="0"/>
        <w:ind w:firstLineChars="300" w:firstLine="720"/>
        <w:rPr>
          <w:rFonts w:ascii="Times New Roman" w:hAnsi="Times New Roman" w:cs="Times New Roman"/>
          <w:sz w:val="24"/>
        </w:rPr>
      </w:pPr>
      <w:r>
        <w:rPr>
          <w:rFonts w:ascii="Times New Roman" w:hAnsi="Times New Roman" w:cs="Times New Roman"/>
          <w:sz w:val="24"/>
        </w:rPr>
        <w:t>The inclusion criteria were set as follows: (1) meeting the diagnostic criteria for acute traumatic coagulopathy in the Chinese Expert Consensus on Diagnosis and Treatment of Post-Traumatic Coagulation Dysfunction (2023 Edition); (2) time from trauma occurrence to admission not exceeding 6 hours; (3) age between 18 and 65 years; (4) the patient or their authorized family member signed informed consent. Exclusion criteria included: pre-existing congenital or acquired coagulation dysfunction (such as hemophilia, long-term oral warfarin or other anticoagulants); concomitant severe hepatic or renal insufficiency (such as decompensated cirrhosis, uremic stage of chronic renal failure); pre-existing severe infection or systemic inflammatory response syndrome before trauma; women who were pregnant or lactating.</w:t>
      </w:r>
    </w:p>
    <w:p w14:paraId="6BE2E55B" w14:textId="77777777" w:rsidR="00820E59" w:rsidRDefault="00820E59" w:rsidP="00B906ED">
      <w:pPr>
        <w:snapToGrid w:val="0"/>
        <w:rPr>
          <w:rFonts w:ascii="Times New Roman" w:hAnsi="Times New Roman" w:cs="Times New Roman"/>
          <w:sz w:val="24"/>
        </w:rPr>
      </w:pPr>
    </w:p>
    <w:p w14:paraId="6BE2E55C"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.2</w:t>
      </w:r>
      <w:r>
        <w:rPr>
          <w:rFonts w:ascii="Times New Roman" w:hAnsi="Times New Roman" w:cs="Times New Roman" w:hint="eastAsia"/>
          <w:b/>
          <w:bCs/>
          <w:sz w:val="24"/>
        </w:rPr>
        <w:t>.</w:t>
      </w:r>
      <w:r>
        <w:rPr>
          <w:rFonts w:ascii="Times New Roman" w:hAnsi="Times New Roman" w:cs="Times New Roman"/>
          <w:b/>
          <w:bCs/>
          <w:sz w:val="24"/>
        </w:rPr>
        <w:t xml:space="preserve"> Research </w:t>
      </w:r>
      <w:r>
        <w:rPr>
          <w:rFonts w:ascii="Times New Roman" w:hAnsi="Times New Roman" w:cs="Times New Roman" w:hint="eastAsia"/>
          <w:b/>
          <w:bCs/>
          <w:sz w:val="24"/>
        </w:rPr>
        <w:t>m</w:t>
      </w:r>
      <w:r>
        <w:rPr>
          <w:rFonts w:ascii="Times New Roman" w:hAnsi="Times New Roman" w:cs="Times New Roman"/>
          <w:b/>
          <w:bCs/>
          <w:sz w:val="24"/>
        </w:rPr>
        <w:t>ethods</w:t>
      </w:r>
    </w:p>
    <w:p w14:paraId="6BE2E55D"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2</w:t>
      </w:r>
      <w:r>
        <w:rPr>
          <w:rFonts w:ascii="Times New Roman" w:hAnsi="Times New Roman" w:cs="Times New Roman"/>
          <w:b/>
          <w:bCs/>
          <w:sz w:val="24"/>
        </w:rPr>
        <w:t>.2.1</w:t>
      </w:r>
      <w:r>
        <w:rPr>
          <w:rFonts w:ascii="Times New Roman" w:hAnsi="Times New Roman" w:cs="Times New Roman" w:hint="eastAsia"/>
          <w:b/>
          <w:bCs/>
          <w:sz w:val="24"/>
        </w:rPr>
        <w:t>.</w:t>
      </w:r>
      <w:r>
        <w:rPr>
          <w:rFonts w:ascii="Times New Roman" w:hAnsi="Times New Roman" w:cs="Times New Roman"/>
          <w:b/>
          <w:bCs/>
          <w:sz w:val="24"/>
        </w:rPr>
        <w:t xml:space="preserve"> Control </w:t>
      </w:r>
      <w:r>
        <w:rPr>
          <w:rFonts w:ascii="Times New Roman" w:hAnsi="Times New Roman" w:cs="Times New Roman" w:hint="eastAsia"/>
          <w:b/>
          <w:bCs/>
          <w:sz w:val="24"/>
        </w:rPr>
        <w:t>g</w:t>
      </w:r>
      <w:r>
        <w:rPr>
          <w:rFonts w:ascii="Times New Roman" w:hAnsi="Times New Roman" w:cs="Times New Roman"/>
          <w:b/>
          <w:bCs/>
          <w:sz w:val="24"/>
        </w:rPr>
        <w:t xml:space="preserve">roup </w:t>
      </w:r>
      <w:r>
        <w:rPr>
          <w:rFonts w:ascii="Times New Roman" w:hAnsi="Times New Roman" w:cs="Times New Roman" w:hint="eastAsia"/>
          <w:b/>
          <w:bCs/>
          <w:sz w:val="24"/>
        </w:rPr>
        <w:t>r</w:t>
      </w:r>
      <w:r>
        <w:rPr>
          <w:rFonts w:ascii="Times New Roman" w:hAnsi="Times New Roman" w:cs="Times New Roman"/>
          <w:b/>
          <w:bCs/>
          <w:sz w:val="24"/>
        </w:rPr>
        <w:t xml:space="preserve">eceiving </w:t>
      </w:r>
      <w:r>
        <w:rPr>
          <w:rFonts w:ascii="Times New Roman" w:hAnsi="Times New Roman" w:cs="Times New Roman" w:hint="eastAsia"/>
          <w:b/>
          <w:bCs/>
          <w:sz w:val="24"/>
        </w:rPr>
        <w:t>c</w:t>
      </w:r>
      <w:r>
        <w:rPr>
          <w:rFonts w:ascii="Times New Roman" w:hAnsi="Times New Roman" w:cs="Times New Roman"/>
          <w:b/>
          <w:bCs/>
          <w:sz w:val="24"/>
        </w:rPr>
        <w:t xml:space="preserve">onventional </w:t>
      </w:r>
      <w:r>
        <w:rPr>
          <w:rFonts w:ascii="Times New Roman" w:hAnsi="Times New Roman" w:cs="Times New Roman" w:hint="eastAsia"/>
          <w:b/>
          <w:bCs/>
          <w:sz w:val="24"/>
        </w:rPr>
        <w:t>f</w:t>
      </w:r>
      <w:r>
        <w:rPr>
          <w:rFonts w:ascii="Times New Roman" w:hAnsi="Times New Roman" w:cs="Times New Roman"/>
          <w:b/>
          <w:bCs/>
          <w:sz w:val="24"/>
        </w:rPr>
        <w:t xml:space="preserve">luid </w:t>
      </w:r>
      <w:r>
        <w:rPr>
          <w:rFonts w:ascii="Times New Roman" w:hAnsi="Times New Roman" w:cs="Times New Roman" w:hint="eastAsia"/>
          <w:b/>
          <w:bCs/>
          <w:sz w:val="24"/>
        </w:rPr>
        <w:t>r</w:t>
      </w:r>
      <w:r>
        <w:rPr>
          <w:rFonts w:ascii="Times New Roman" w:hAnsi="Times New Roman" w:cs="Times New Roman"/>
          <w:b/>
          <w:bCs/>
          <w:sz w:val="24"/>
        </w:rPr>
        <w:t>esuscitation</w:t>
      </w:r>
    </w:p>
    <w:p w14:paraId="6BE2E55E" w14:textId="77079191" w:rsidR="00820E59" w:rsidRDefault="00000000" w:rsidP="00B906ED">
      <w:pPr>
        <w:snapToGrid w:val="0"/>
        <w:rPr>
          <w:rFonts w:ascii="Times New Roman" w:hAnsi="Times New Roman" w:cs="Times New Roman"/>
          <w:sz w:val="24"/>
        </w:rPr>
      </w:pPr>
      <w:r>
        <w:rPr>
          <w:rFonts w:ascii="Times New Roman" w:hAnsi="Times New Roman" w:cs="Times New Roman"/>
          <w:sz w:val="24"/>
        </w:rPr>
        <w:t>After admission, patients in the control group immediately had peripheral venous access established and received infusions of crystalloids such as normal saline and lactated Ringer</w:t>
      </w:r>
      <w:r w:rsidR="00DA16F7">
        <w:rPr>
          <w:rFonts w:ascii="Times New Roman" w:hAnsi="Times New Roman" w:cs="Times New Roman"/>
          <w:sz w:val="24"/>
        </w:rPr>
        <w:t>’</w:t>
      </w:r>
      <w:r>
        <w:rPr>
          <w:rFonts w:ascii="Times New Roman" w:hAnsi="Times New Roman" w:cs="Times New Roman"/>
          <w:sz w:val="24"/>
        </w:rPr>
        <w:t xml:space="preserve">s solution, and colloids such as hydroxyethyl starch, according to standard clinical operating procedures. The initial fluid infusion rate was dynamically adjusted based on vital signs such as blood pressure and heart </w:t>
      </w:r>
      <w:r>
        <w:rPr>
          <w:rFonts w:ascii="Times New Roman" w:hAnsi="Times New Roman" w:cs="Times New Roman"/>
          <w:sz w:val="24"/>
        </w:rPr>
        <w:lastRenderedPageBreak/>
        <w:t>rate, with the goal of maintaining systolic blood pressure in the 90–110 mmHg range. Coagulation function indicators were measured using a Sysmex CS-5100 fully automated coagulation analyzer, in which prothrombin time and activated partial thromboplastin time were determined by the clotting method, fibrinogen by the Clauss method, and D-dimer by immunoturbidimetry. Blood gas analysis indicators were measured using.</w:t>
      </w:r>
    </w:p>
    <w:p w14:paraId="6BE2E55F" w14:textId="77777777" w:rsidR="00820E59" w:rsidRDefault="00820E59" w:rsidP="00B906ED">
      <w:pPr>
        <w:snapToGrid w:val="0"/>
        <w:rPr>
          <w:rFonts w:ascii="Times New Roman" w:hAnsi="Times New Roman" w:cs="Times New Roman"/>
          <w:sz w:val="24"/>
        </w:rPr>
      </w:pPr>
    </w:p>
    <w:p w14:paraId="6BE2E560"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2</w:t>
      </w:r>
      <w:r>
        <w:rPr>
          <w:rFonts w:ascii="Times New Roman" w:hAnsi="Times New Roman" w:cs="Times New Roman"/>
          <w:b/>
          <w:bCs/>
          <w:sz w:val="24"/>
        </w:rPr>
        <w:t>.2.2</w:t>
      </w:r>
      <w:r>
        <w:rPr>
          <w:rFonts w:ascii="Times New Roman" w:hAnsi="Times New Roman" w:cs="Times New Roman" w:hint="eastAsia"/>
          <w:b/>
          <w:bCs/>
          <w:sz w:val="24"/>
        </w:rPr>
        <w:t>.</w:t>
      </w:r>
      <w:r>
        <w:rPr>
          <w:rFonts w:ascii="Times New Roman" w:hAnsi="Times New Roman" w:cs="Times New Roman"/>
          <w:b/>
          <w:bCs/>
          <w:sz w:val="24"/>
        </w:rPr>
        <w:t xml:space="preserve"> Observation </w:t>
      </w:r>
      <w:r>
        <w:rPr>
          <w:rFonts w:ascii="Times New Roman" w:hAnsi="Times New Roman" w:cs="Times New Roman" w:hint="eastAsia"/>
          <w:b/>
          <w:bCs/>
          <w:sz w:val="24"/>
        </w:rPr>
        <w:t>g</w:t>
      </w:r>
      <w:r>
        <w:rPr>
          <w:rFonts w:ascii="Times New Roman" w:hAnsi="Times New Roman" w:cs="Times New Roman"/>
          <w:b/>
          <w:bCs/>
          <w:sz w:val="24"/>
        </w:rPr>
        <w:t xml:space="preserve">roup </w:t>
      </w:r>
      <w:r>
        <w:rPr>
          <w:rFonts w:ascii="Times New Roman" w:hAnsi="Times New Roman" w:cs="Times New Roman" w:hint="eastAsia"/>
          <w:b/>
          <w:bCs/>
          <w:sz w:val="24"/>
        </w:rPr>
        <w:t>r</w:t>
      </w:r>
      <w:r>
        <w:rPr>
          <w:rFonts w:ascii="Times New Roman" w:hAnsi="Times New Roman" w:cs="Times New Roman"/>
          <w:b/>
          <w:bCs/>
          <w:sz w:val="24"/>
        </w:rPr>
        <w:t xml:space="preserve">eceiving </w:t>
      </w:r>
      <w:r>
        <w:rPr>
          <w:rFonts w:ascii="Times New Roman" w:hAnsi="Times New Roman" w:cs="Times New Roman" w:hint="eastAsia"/>
          <w:b/>
          <w:bCs/>
          <w:sz w:val="24"/>
        </w:rPr>
        <w:t>e</w:t>
      </w:r>
      <w:r>
        <w:rPr>
          <w:rFonts w:ascii="Times New Roman" w:hAnsi="Times New Roman" w:cs="Times New Roman"/>
          <w:b/>
          <w:bCs/>
          <w:sz w:val="24"/>
        </w:rPr>
        <w:t xml:space="preserve">arly </w:t>
      </w:r>
      <w:r>
        <w:rPr>
          <w:rFonts w:ascii="Times New Roman" w:hAnsi="Times New Roman" w:cs="Times New Roman" w:hint="eastAsia"/>
          <w:b/>
          <w:bCs/>
          <w:sz w:val="24"/>
        </w:rPr>
        <w:t>r</w:t>
      </w:r>
      <w:r>
        <w:rPr>
          <w:rFonts w:ascii="Times New Roman" w:hAnsi="Times New Roman" w:cs="Times New Roman"/>
          <w:b/>
          <w:bCs/>
          <w:sz w:val="24"/>
        </w:rPr>
        <w:t xml:space="preserve">estrictive </w:t>
      </w:r>
      <w:r>
        <w:rPr>
          <w:rFonts w:ascii="Times New Roman" w:hAnsi="Times New Roman" w:cs="Times New Roman" w:hint="eastAsia"/>
          <w:b/>
          <w:bCs/>
          <w:sz w:val="24"/>
        </w:rPr>
        <w:t>f</w:t>
      </w:r>
      <w:r>
        <w:rPr>
          <w:rFonts w:ascii="Times New Roman" w:hAnsi="Times New Roman" w:cs="Times New Roman"/>
          <w:b/>
          <w:bCs/>
          <w:sz w:val="24"/>
        </w:rPr>
        <w:t xml:space="preserve">luid </w:t>
      </w:r>
      <w:r>
        <w:rPr>
          <w:rFonts w:ascii="Times New Roman" w:hAnsi="Times New Roman" w:cs="Times New Roman" w:hint="eastAsia"/>
          <w:b/>
          <w:bCs/>
          <w:sz w:val="24"/>
        </w:rPr>
        <w:t>r</w:t>
      </w:r>
      <w:r>
        <w:rPr>
          <w:rFonts w:ascii="Times New Roman" w:hAnsi="Times New Roman" w:cs="Times New Roman"/>
          <w:b/>
          <w:bCs/>
          <w:sz w:val="24"/>
        </w:rPr>
        <w:t>esuscitation</w:t>
      </w:r>
    </w:p>
    <w:p w14:paraId="6BE2E561" w14:textId="6503BD56" w:rsidR="00820E59" w:rsidRDefault="00000000" w:rsidP="00B906ED">
      <w:pPr>
        <w:snapToGrid w:val="0"/>
        <w:rPr>
          <w:rFonts w:ascii="Times New Roman" w:hAnsi="Times New Roman" w:cs="Times New Roman"/>
          <w:sz w:val="24"/>
        </w:rPr>
      </w:pPr>
      <w:r>
        <w:rPr>
          <w:rFonts w:ascii="Times New Roman" w:hAnsi="Times New Roman" w:cs="Times New Roman"/>
          <w:sz w:val="24"/>
        </w:rPr>
        <w:t>Patients in the observation group also had peripheral venous access established after admission, but in the initial phase, the fluid infusion rate and total volume were strictly controlled, with the goal of maintaining systolic blood pressure between 70 and 90 mmHg, until the bleeding site was identified and hemostasis was achieved, after which the fluid infusion volume was gradually adjusted</w:t>
      </w:r>
      <w:r w:rsidR="00545E9D">
        <w:rPr>
          <w:rFonts w:ascii="Times New Roman" w:hAnsi="Times New Roman" w:cs="Times New Roman"/>
          <w:sz w:val="24"/>
        </w:rPr>
        <w:t xml:space="preserve"> </w:t>
      </w:r>
      <w:r>
        <w:rPr>
          <w:rFonts w:ascii="Times New Roman" w:hAnsi="Times New Roman" w:cs="Times New Roman"/>
          <w:sz w:val="24"/>
          <w:vertAlign w:val="superscript"/>
        </w:rPr>
        <w:t>[1]</w:t>
      </w:r>
      <w:r>
        <w:rPr>
          <w:rFonts w:ascii="Times New Roman" w:hAnsi="Times New Roman" w:cs="Times New Roman"/>
          <w:sz w:val="24"/>
        </w:rPr>
        <w:t>. The instruments and methods for coagulation function indicator detection were completely identical to those in the control group; blood gas analysis indicators were detected using the same instruments and methods as the control group; inflammatory factor indicators were also detected by enzyme-linked immunosorbent assay using a Bio-Rad Model 680 microplate reader, with kit sources and operating procedures identical to those in the control group.</w:t>
      </w:r>
    </w:p>
    <w:p w14:paraId="6BE2E562" w14:textId="77777777" w:rsidR="00820E59" w:rsidRDefault="00820E59" w:rsidP="00B906ED">
      <w:pPr>
        <w:snapToGrid w:val="0"/>
        <w:rPr>
          <w:rFonts w:ascii="Times New Roman" w:hAnsi="Times New Roman" w:cs="Times New Roman"/>
          <w:sz w:val="24"/>
        </w:rPr>
      </w:pPr>
    </w:p>
    <w:p w14:paraId="6BE2E563"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.3</w:t>
      </w:r>
      <w:r>
        <w:rPr>
          <w:rFonts w:ascii="Times New Roman" w:hAnsi="Times New Roman" w:cs="Times New Roman" w:hint="eastAsia"/>
          <w:b/>
          <w:bCs/>
          <w:sz w:val="24"/>
        </w:rPr>
        <w:t>.</w:t>
      </w:r>
      <w:r>
        <w:rPr>
          <w:rFonts w:ascii="Times New Roman" w:hAnsi="Times New Roman" w:cs="Times New Roman"/>
          <w:b/>
          <w:bCs/>
          <w:sz w:val="24"/>
        </w:rPr>
        <w:t xml:space="preserve"> Observation </w:t>
      </w:r>
      <w:r>
        <w:rPr>
          <w:rFonts w:ascii="Times New Roman" w:hAnsi="Times New Roman" w:cs="Times New Roman" w:hint="eastAsia"/>
          <w:b/>
          <w:bCs/>
          <w:sz w:val="24"/>
        </w:rPr>
        <w:t>i</w:t>
      </w:r>
      <w:r>
        <w:rPr>
          <w:rFonts w:ascii="Times New Roman" w:hAnsi="Times New Roman" w:cs="Times New Roman"/>
          <w:b/>
          <w:bCs/>
          <w:sz w:val="24"/>
        </w:rPr>
        <w:t>ndicators</w:t>
      </w:r>
    </w:p>
    <w:p w14:paraId="6BE2E564"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.3.1</w:t>
      </w:r>
      <w:r>
        <w:rPr>
          <w:rFonts w:ascii="Times New Roman" w:hAnsi="Times New Roman" w:cs="Times New Roman" w:hint="eastAsia"/>
          <w:b/>
          <w:bCs/>
          <w:sz w:val="24"/>
        </w:rPr>
        <w:t>.</w:t>
      </w:r>
      <w:r>
        <w:rPr>
          <w:rFonts w:ascii="Times New Roman" w:hAnsi="Times New Roman" w:cs="Times New Roman"/>
          <w:b/>
          <w:bCs/>
          <w:sz w:val="24"/>
        </w:rPr>
        <w:t xml:space="preserve"> Coagulation </w:t>
      </w:r>
      <w:r>
        <w:rPr>
          <w:rFonts w:ascii="Times New Roman" w:hAnsi="Times New Roman" w:cs="Times New Roman" w:hint="eastAsia"/>
          <w:b/>
          <w:bCs/>
          <w:sz w:val="24"/>
        </w:rPr>
        <w:t>f</w:t>
      </w:r>
      <w:r>
        <w:rPr>
          <w:rFonts w:ascii="Times New Roman" w:hAnsi="Times New Roman" w:cs="Times New Roman"/>
          <w:b/>
          <w:bCs/>
          <w:sz w:val="24"/>
        </w:rPr>
        <w:t xml:space="preserve">unction and </w:t>
      </w:r>
      <w:r>
        <w:rPr>
          <w:rFonts w:ascii="Times New Roman" w:hAnsi="Times New Roman" w:cs="Times New Roman" w:hint="eastAsia"/>
          <w:b/>
          <w:bCs/>
          <w:sz w:val="24"/>
        </w:rPr>
        <w:t>b</w:t>
      </w:r>
      <w:r>
        <w:rPr>
          <w:rFonts w:ascii="Times New Roman" w:hAnsi="Times New Roman" w:cs="Times New Roman"/>
          <w:b/>
          <w:bCs/>
          <w:sz w:val="24"/>
        </w:rPr>
        <w:t xml:space="preserve">lood </w:t>
      </w:r>
      <w:r>
        <w:rPr>
          <w:rFonts w:ascii="Times New Roman" w:hAnsi="Times New Roman" w:cs="Times New Roman" w:hint="eastAsia"/>
          <w:b/>
          <w:bCs/>
          <w:sz w:val="24"/>
        </w:rPr>
        <w:t>g</w:t>
      </w:r>
      <w:r>
        <w:rPr>
          <w:rFonts w:ascii="Times New Roman" w:hAnsi="Times New Roman" w:cs="Times New Roman"/>
          <w:b/>
          <w:bCs/>
          <w:sz w:val="24"/>
        </w:rPr>
        <w:t xml:space="preserve">as </w:t>
      </w:r>
      <w:r>
        <w:rPr>
          <w:rFonts w:ascii="Times New Roman" w:hAnsi="Times New Roman" w:cs="Times New Roman" w:hint="eastAsia"/>
          <w:b/>
          <w:bCs/>
          <w:sz w:val="24"/>
        </w:rPr>
        <w:t>a</w:t>
      </w:r>
      <w:r>
        <w:rPr>
          <w:rFonts w:ascii="Times New Roman" w:hAnsi="Times New Roman" w:cs="Times New Roman"/>
          <w:b/>
          <w:bCs/>
          <w:sz w:val="24"/>
        </w:rPr>
        <w:t xml:space="preserve">nalysis </w:t>
      </w:r>
      <w:r>
        <w:rPr>
          <w:rFonts w:ascii="Times New Roman" w:hAnsi="Times New Roman" w:cs="Times New Roman" w:hint="eastAsia"/>
          <w:b/>
          <w:bCs/>
          <w:sz w:val="24"/>
        </w:rPr>
        <w:t>i</w:t>
      </w:r>
      <w:r>
        <w:rPr>
          <w:rFonts w:ascii="Times New Roman" w:hAnsi="Times New Roman" w:cs="Times New Roman"/>
          <w:b/>
          <w:bCs/>
          <w:sz w:val="24"/>
        </w:rPr>
        <w:t>ndicators</w:t>
      </w:r>
    </w:p>
    <w:p w14:paraId="6BE2E565" w14:textId="77777777" w:rsidR="00820E59" w:rsidRDefault="00000000" w:rsidP="00B906ED">
      <w:pPr>
        <w:snapToGrid w:val="0"/>
        <w:rPr>
          <w:rFonts w:ascii="Times New Roman" w:hAnsi="Times New Roman" w:cs="Times New Roman"/>
          <w:sz w:val="24"/>
        </w:rPr>
      </w:pPr>
      <w:r>
        <w:rPr>
          <w:rFonts w:ascii="Times New Roman" w:hAnsi="Times New Roman" w:cs="Times New Roman"/>
          <w:sz w:val="24"/>
        </w:rPr>
        <w:t>Within 24 hours after the intervention, cubital venous blood and arterial blood samples were collected from patients in both groups to measure prothrombin time (PT), activated partial thromboplastin time (APTT), fibrinogen (FIB), D-dimer (D-D) levels, as well as pH, arterial partial pressure of oxygen (</w:t>
      </w:r>
      <w:proofErr w:type="spellStart"/>
      <w:r>
        <w:rPr>
          <w:rFonts w:ascii="Times New Roman" w:hAnsi="Times New Roman" w:cs="Times New Roman"/>
          <w:sz w:val="24"/>
        </w:rPr>
        <w:t>PaO</w:t>
      </w:r>
      <w:proofErr w:type="spellEnd"/>
      <w:r>
        <w:rPr>
          <w:rFonts w:ascii="Times New Roman" w:hAnsi="Times New Roman" w:cs="Times New Roman"/>
          <w:sz w:val="24"/>
        </w:rPr>
        <w:t>₂), arterial partial pressure of carbon dioxide (</w:t>
      </w:r>
      <w:proofErr w:type="spellStart"/>
      <w:r>
        <w:rPr>
          <w:rFonts w:ascii="Times New Roman" w:hAnsi="Times New Roman" w:cs="Times New Roman"/>
          <w:sz w:val="24"/>
        </w:rPr>
        <w:t>PaCO</w:t>
      </w:r>
      <w:proofErr w:type="spellEnd"/>
      <w:r>
        <w:rPr>
          <w:rFonts w:ascii="Times New Roman" w:hAnsi="Times New Roman" w:cs="Times New Roman"/>
          <w:sz w:val="24"/>
        </w:rPr>
        <w:t>₂), and lactate levels. All test results were directly subjected to independent samples comparison between groups, with the entire operation performed by the same technician with more than 3 years of testing experience to reduce human bias.</w:t>
      </w:r>
    </w:p>
    <w:p w14:paraId="6BE2E566" w14:textId="77777777" w:rsidR="00820E59" w:rsidRDefault="00820E59" w:rsidP="00B906ED">
      <w:pPr>
        <w:snapToGrid w:val="0"/>
        <w:rPr>
          <w:rFonts w:ascii="Times New Roman" w:hAnsi="Times New Roman" w:cs="Times New Roman"/>
          <w:sz w:val="24"/>
        </w:rPr>
      </w:pPr>
    </w:p>
    <w:p w14:paraId="6BE2E567"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2</w:t>
      </w:r>
      <w:r>
        <w:rPr>
          <w:rFonts w:ascii="Times New Roman" w:hAnsi="Times New Roman" w:cs="Times New Roman"/>
          <w:b/>
          <w:bCs/>
          <w:sz w:val="24"/>
        </w:rPr>
        <w:t>.3.2</w:t>
      </w:r>
      <w:r>
        <w:rPr>
          <w:rFonts w:ascii="Times New Roman" w:hAnsi="Times New Roman" w:cs="Times New Roman" w:hint="eastAsia"/>
          <w:b/>
          <w:bCs/>
          <w:sz w:val="24"/>
        </w:rPr>
        <w:t>.</w:t>
      </w:r>
      <w:r>
        <w:rPr>
          <w:rFonts w:ascii="Times New Roman" w:hAnsi="Times New Roman" w:cs="Times New Roman"/>
          <w:b/>
          <w:bCs/>
          <w:sz w:val="24"/>
        </w:rPr>
        <w:t xml:space="preserve"> Inflammatory </w:t>
      </w:r>
      <w:r>
        <w:rPr>
          <w:rFonts w:ascii="Times New Roman" w:hAnsi="Times New Roman" w:cs="Times New Roman" w:hint="eastAsia"/>
          <w:b/>
          <w:bCs/>
          <w:sz w:val="24"/>
        </w:rPr>
        <w:t>f</w:t>
      </w:r>
      <w:r>
        <w:rPr>
          <w:rFonts w:ascii="Times New Roman" w:hAnsi="Times New Roman" w:cs="Times New Roman"/>
          <w:b/>
          <w:bCs/>
          <w:sz w:val="24"/>
        </w:rPr>
        <w:t xml:space="preserve">actors and </w:t>
      </w:r>
      <w:r>
        <w:rPr>
          <w:rFonts w:ascii="Times New Roman" w:hAnsi="Times New Roman" w:cs="Times New Roman" w:hint="eastAsia"/>
          <w:b/>
          <w:bCs/>
          <w:sz w:val="24"/>
        </w:rPr>
        <w:t>p</w:t>
      </w:r>
      <w:r>
        <w:rPr>
          <w:rFonts w:ascii="Times New Roman" w:hAnsi="Times New Roman" w:cs="Times New Roman"/>
          <w:b/>
          <w:bCs/>
          <w:sz w:val="24"/>
        </w:rPr>
        <w:t>rognosis-</w:t>
      </w:r>
      <w:r>
        <w:rPr>
          <w:rFonts w:ascii="Times New Roman" w:hAnsi="Times New Roman" w:cs="Times New Roman" w:hint="eastAsia"/>
          <w:b/>
          <w:bCs/>
          <w:sz w:val="24"/>
        </w:rPr>
        <w:t>r</w:t>
      </w:r>
      <w:r>
        <w:rPr>
          <w:rFonts w:ascii="Times New Roman" w:hAnsi="Times New Roman" w:cs="Times New Roman"/>
          <w:b/>
          <w:bCs/>
          <w:sz w:val="24"/>
        </w:rPr>
        <w:t xml:space="preserve">elated </w:t>
      </w:r>
      <w:r>
        <w:rPr>
          <w:rFonts w:ascii="Times New Roman" w:hAnsi="Times New Roman" w:cs="Times New Roman" w:hint="eastAsia"/>
          <w:b/>
          <w:bCs/>
          <w:sz w:val="24"/>
        </w:rPr>
        <w:t>i</w:t>
      </w:r>
      <w:r>
        <w:rPr>
          <w:rFonts w:ascii="Times New Roman" w:hAnsi="Times New Roman" w:cs="Times New Roman"/>
          <w:b/>
          <w:bCs/>
          <w:sz w:val="24"/>
        </w:rPr>
        <w:t>ndicators</w:t>
      </w:r>
    </w:p>
    <w:p w14:paraId="6BE2E568" w14:textId="77777777" w:rsidR="00820E59" w:rsidRDefault="00000000" w:rsidP="00B906ED">
      <w:pPr>
        <w:snapToGrid w:val="0"/>
        <w:rPr>
          <w:rFonts w:ascii="Times New Roman" w:hAnsi="Times New Roman" w:cs="Times New Roman"/>
          <w:sz w:val="24"/>
        </w:rPr>
      </w:pPr>
      <w:r>
        <w:rPr>
          <w:rFonts w:ascii="Times New Roman" w:hAnsi="Times New Roman" w:cs="Times New Roman"/>
          <w:sz w:val="24"/>
        </w:rPr>
        <w:t>Venous blood samples were collected during the same period to measure tumor necrosis factor-α (TNF-α), interleukin-6 (IL-6), and interleukin-1β (IL-1β) levels for cross-sectional comparison between the two groups. Prognosis-related indicators included total hospitalization duration, 28-day mortality, and incidence of bleeding-related complications in both groups. All follow-up data were recorded by a dedicated follow-up specialist assigned to the Emergency Department. The follow-up loss rate in this study was 2%, meeting the study design requirements.</w:t>
      </w:r>
    </w:p>
    <w:p w14:paraId="6BE2E569" w14:textId="77777777" w:rsidR="00820E59" w:rsidRDefault="00820E59" w:rsidP="00B906ED">
      <w:pPr>
        <w:snapToGrid w:val="0"/>
        <w:rPr>
          <w:rFonts w:ascii="Times New Roman" w:hAnsi="Times New Roman" w:cs="Times New Roman"/>
          <w:sz w:val="24"/>
        </w:rPr>
      </w:pPr>
    </w:p>
    <w:p w14:paraId="6BE2E56A"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2</w:t>
      </w:r>
      <w:r>
        <w:rPr>
          <w:rFonts w:ascii="Times New Roman" w:hAnsi="Times New Roman" w:cs="Times New Roman"/>
          <w:b/>
          <w:bCs/>
          <w:sz w:val="24"/>
        </w:rPr>
        <w:t>.4</w:t>
      </w:r>
      <w:r>
        <w:rPr>
          <w:rFonts w:ascii="Times New Roman" w:hAnsi="Times New Roman" w:cs="Times New Roman" w:hint="eastAsia"/>
          <w:b/>
          <w:bCs/>
          <w:sz w:val="24"/>
        </w:rPr>
        <w:t>.</w:t>
      </w:r>
      <w:r>
        <w:rPr>
          <w:rFonts w:ascii="Times New Roman" w:hAnsi="Times New Roman" w:cs="Times New Roman"/>
          <w:b/>
          <w:bCs/>
          <w:sz w:val="24"/>
        </w:rPr>
        <w:t xml:space="preserve"> Statistical </w:t>
      </w:r>
      <w:r>
        <w:rPr>
          <w:rFonts w:ascii="Times New Roman" w:hAnsi="Times New Roman" w:cs="Times New Roman" w:hint="eastAsia"/>
          <w:b/>
          <w:bCs/>
          <w:sz w:val="24"/>
        </w:rPr>
        <w:t>a</w:t>
      </w:r>
      <w:r>
        <w:rPr>
          <w:rFonts w:ascii="Times New Roman" w:hAnsi="Times New Roman" w:cs="Times New Roman"/>
          <w:b/>
          <w:bCs/>
          <w:sz w:val="24"/>
        </w:rPr>
        <w:t>nalysis</w:t>
      </w:r>
    </w:p>
    <w:p w14:paraId="6BE2E56B" w14:textId="58D8EF50"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All data in this study were processed using SPSS 26.0 statistical software. Measurement data were expressed as mean ± standard deviation, and between-group comparisons were performed using independent samples </w:t>
      </w:r>
      <w:r w:rsidRPr="00B906ED">
        <w:rPr>
          <w:rFonts w:ascii="Times New Roman" w:hAnsi="Times New Roman" w:cs="Times New Roman"/>
          <w:i/>
          <w:iCs/>
          <w:sz w:val="24"/>
        </w:rPr>
        <w:t>t</w:t>
      </w:r>
      <w:r>
        <w:rPr>
          <w:rFonts w:ascii="Times New Roman" w:hAnsi="Times New Roman" w:cs="Times New Roman"/>
          <w:sz w:val="24"/>
        </w:rPr>
        <w:t xml:space="preserve">-tests. Count data were expressed as case numbers and percentages, and between-group comparisons were performed using chi-square tests. A </w:t>
      </w:r>
      <w:r w:rsidR="00545E9D">
        <w:rPr>
          <w:rFonts w:ascii="Times New Roman" w:hAnsi="Times New Roman" w:cs="Times New Roman"/>
          <w:i/>
          <w:iCs/>
          <w:sz w:val="24"/>
        </w:rPr>
        <w:t>p</w:t>
      </w:r>
      <w:r w:rsidR="00545E9D">
        <w:rPr>
          <w:rFonts w:ascii="Times New Roman" w:hAnsi="Times New Roman" w:cs="Times New Roman" w:hint="eastAsia"/>
          <w:i/>
          <w:iCs/>
          <w:sz w:val="24"/>
        </w:rPr>
        <w:t xml:space="preserve"> </w:t>
      </w:r>
      <w:r>
        <w:rPr>
          <w:rFonts w:ascii="Times New Roman" w:hAnsi="Times New Roman" w:cs="Times New Roman"/>
          <w:sz w:val="24"/>
        </w:rPr>
        <w:t>&lt;</w:t>
      </w:r>
      <w:r>
        <w:rPr>
          <w:rFonts w:ascii="Times New Roman" w:hAnsi="Times New Roman" w:cs="Times New Roman" w:hint="eastAsia"/>
          <w:sz w:val="24"/>
        </w:rPr>
        <w:t xml:space="preserve"> </w:t>
      </w:r>
      <w:r>
        <w:rPr>
          <w:rFonts w:ascii="Times New Roman" w:hAnsi="Times New Roman" w:cs="Times New Roman"/>
          <w:sz w:val="24"/>
        </w:rPr>
        <w:t>0.05 was considered the criterion for determining statistical significance</w:t>
      </w:r>
      <w:r w:rsidR="00545E9D">
        <w:rPr>
          <w:rFonts w:ascii="Times New Roman" w:hAnsi="Times New Roman" w:cs="Times New Roman"/>
          <w:sz w:val="24"/>
        </w:rPr>
        <w:t xml:space="preserve"> </w:t>
      </w:r>
      <w:r>
        <w:rPr>
          <w:rFonts w:ascii="Times New Roman" w:hAnsi="Times New Roman" w:cs="Times New Roman"/>
          <w:sz w:val="24"/>
          <w:vertAlign w:val="superscript"/>
        </w:rPr>
        <w:t>[2]</w:t>
      </w:r>
      <w:r>
        <w:rPr>
          <w:rFonts w:ascii="Times New Roman" w:hAnsi="Times New Roman" w:cs="Times New Roman"/>
          <w:sz w:val="24"/>
        </w:rPr>
        <w:t>.</w:t>
      </w:r>
    </w:p>
    <w:p w14:paraId="6BE2E56C" w14:textId="77777777" w:rsidR="00820E59" w:rsidRDefault="00820E59" w:rsidP="00B906ED">
      <w:pPr>
        <w:snapToGrid w:val="0"/>
        <w:rPr>
          <w:rFonts w:ascii="Times New Roman" w:hAnsi="Times New Roman" w:cs="Times New Roman"/>
          <w:sz w:val="24"/>
        </w:rPr>
      </w:pPr>
    </w:p>
    <w:p w14:paraId="6BE2E56D" w14:textId="77777777" w:rsidR="00820E59" w:rsidRDefault="00000000" w:rsidP="00B906ED">
      <w:pPr>
        <w:snapToGrid w:val="0"/>
        <w:rPr>
          <w:rFonts w:ascii="Times New Roman" w:hAnsi="Times New Roman" w:cs="Times New Roman"/>
          <w:b/>
          <w:bCs/>
          <w:sz w:val="24"/>
        </w:rPr>
      </w:pPr>
      <w:r>
        <w:rPr>
          <w:rFonts w:ascii="Times New Roman" w:hAnsi="Times New Roman" w:cs="Times New Roman" w:hint="eastAsia"/>
          <w:b/>
          <w:bCs/>
          <w:sz w:val="24"/>
        </w:rPr>
        <w:t>3.</w:t>
      </w:r>
      <w:r>
        <w:rPr>
          <w:rFonts w:ascii="Times New Roman" w:hAnsi="Times New Roman" w:cs="Times New Roman"/>
          <w:b/>
          <w:bCs/>
          <w:sz w:val="24"/>
        </w:rPr>
        <w:t xml:space="preserve"> Results</w:t>
      </w:r>
    </w:p>
    <w:p w14:paraId="6BE2E56E"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3</w:t>
      </w:r>
      <w:r>
        <w:rPr>
          <w:rFonts w:ascii="Times New Roman" w:hAnsi="Times New Roman" w:cs="Times New Roman"/>
          <w:b/>
          <w:bCs/>
          <w:sz w:val="24"/>
        </w:rPr>
        <w:t>.1</w:t>
      </w:r>
      <w:r>
        <w:rPr>
          <w:rFonts w:ascii="Times New Roman" w:hAnsi="Times New Roman" w:cs="Times New Roman" w:hint="eastAsia"/>
          <w:b/>
          <w:bCs/>
          <w:sz w:val="24"/>
        </w:rPr>
        <w:t>.</w:t>
      </w:r>
      <w:r>
        <w:rPr>
          <w:rFonts w:ascii="Times New Roman" w:hAnsi="Times New Roman" w:cs="Times New Roman"/>
          <w:b/>
          <w:bCs/>
          <w:sz w:val="24"/>
        </w:rPr>
        <w:t xml:space="preserve"> Comparison of </w:t>
      </w:r>
      <w:r>
        <w:rPr>
          <w:rFonts w:ascii="Times New Roman" w:hAnsi="Times New Roman" w:cs="Times New Roman" w:hint="eastAsia"/>
          <w:b/>
          <w:bCs/>
          <w:sz w:val="24"/>
        </w:rPr>
        <w:t>c</w:t>
      </w:r>
      <w:r>
        <w:rPr>
          <w:rFonts w:ascii="Times New Roman" w:hAnsi="Times New Roman" w:cs="Times New Roman"/>
          <w:b/>
          <w:bCs/>
          <w:sz w:val="24"/>
        </w:rPr>
        <w:t xml:space="preserve">oagulation </w:t>
      </w:r>
      <w:r>
        <w:rPr>
          <w:rFonts w:ascii="Times New Roman" w:hAnsi="Times New Roman" w:cs="Times New Roman" w:hint="eastAsia"/>
          <w:b/>
          <w:bCs/>
          <w:sz w:val="24"/>
        </w:rPr>
        <w:t>f</w:t>
      </w:r>
      <w:r>
        <w:rPr>
          <w:rFonts w:ascii="Times New Roman" w:hAnsi="Times New Roman" w:cs="Times New Roman"/>
          <w:b/>
          <w:bCs/>
          <w:sz w:val="24"/>
        </w:rPr>
        <w:t xml:space="preserve">unction </w:t>
      </w:r>
      <w:r>
        <w:rPr>
          <w:rFonts w:ascii="Times New Roman" w:hAnsi="Times New Roman" w:cs="Times New Roman" w:hint="eastAsia"/>
          <w:b/>
          <w:bCs/>
          <w:sz w:val="24"/>
        </w:rPr>
        <w:t>i</w:t>
      </w:r>
      <w:r>
        <w:rPr>
          <w:rFonts w:ascii="Times New Roman" w:hAnsi="Times New Roman" w:cs="Times New Roman"/>
          <w:b/>
          <w:bCs/>
          <w:sz w:val="24"/>
        </w:rPr>
        <w:t xml:space="preserve">ndicators </w:t>
      </w:r>
      <w:r>
        <w:rPr>
          <w:rFonts w:ascii="Times New Roman" w:hAnsi="Times New Roman" w:cs="Times New Roman" w:hint="eastAsia"/>
          <w:b/>
          <w:bCs/>
          <w:sz w:val="24"/>
        </w:rPr>
        <w:t>b</w:t>
      </w:r>
      <w:r>
        <w:rPr>
          <w:rFonts w:ascii="Times New Roman" w:hAnsi="Times New Roman" w:cs="Times New Roman"/>
          <w:b/>
          <w:bCs/>
          <w:sz w:val="24"/>
        </w:rPr>
        <w:t xml:space="preserve">etween the </w:t>
      </w:r>
      <w:r>
        <w:rPr>
          <w:rFonts w:ascii="Times New Roman" w:hAnsi="Times New Roman" w:cs="Times New Roman" w:hint="eastAsia"/>
          <w:b/>
          <w:bCs/>
          <w:sz w:val="24"/>
        </w:rPr>
        <w:t>t</w:t>
      </w:r>
      <w:r>
        <w:rPr>
          <w:rFonts w:ascii="Times New Roman" w:hAnsi="Times New Roman" w:cs="Times New Roman"/>
          <w:b/>
          <w:bCs/>
          <w:sz w:val="24"/>
        </w:rPr>
        <w:t xml:space="preserve">wo </w:t>
      </w:r>
      <w:r>
        <w:rPr>
          <w:rFonts w:ascii="Times New Roman" w:hAnsi="Times New Roman" w:cs="Times New Roman" w:hint="eastAsia"/>
          <w:b/>
          <w:bCs/>
          <w:sz w:val="24"/>
        </w:rPr>
        <w:t>g</w:t>
      </w:r>
      <w:r>
        <w:rPr>
          <w:rFonts w:ascii="Times New Roman" w:hAnsi="Times New Roman" w:cs="Times New Roman"/>
          <w:b/>
          <w:bCs/>
          <w:sz w:val="24"/>
        </w:rPr>
        <w:t>roups</w:t>
      </w:r>
    </w:p>
    <w:p w14:paraId="6BE2E56F" w14:textId="3ACEE8DE" w:rsidR="00820E59" w:rsidRDefault="00000000" w:rsidP="00B906ED">
      <w:pPr>
        <w:snapToGrid w:val="0"/>
        <w:rPr>
          <w:rFonts w:ascii="Times New Roman" w:hAnsi="Times New Roman" w:cs="Times New Roman"/>
          <w:sz w:val="24"/>
        </w:rPr>
      </w:pPr>
      <w:r>
        <w:rPr>
          <w:rFonts w:ascii="Times New Roman" w:hAnsi="Times New Roman" w:cs="Times New Roman"/>
          <w:sz w:val="24"/>
        </w:rPr>
        <w:t>At 24</w:t>
      </w:r>
      <w:r w:rsidR="00545E9D">
        <w:rPr>
          <w:rFonts w:ascii="Times New Roman" w:hAnsi="Times New Roman" w:cs="Times New Roman"/>
          <w:sz w:val="24"/>
        </w:rPr>
        <w:t xml:space="preserve"> </w:t>
      </w:r>
      <w:r>
        <w:rPr>
          <w:rFonts w:ascii="Times New Roman" w:hAnsi="Times New Roman" w:cs="Times New Roman"/>
          <w:sz w:val="24"/>
        </w:rPr>
        <w:t xml:space="preserve">h after intervention, cubital venous blood was collected from patients in both groups for detection of coagulation function-related indicators. Verified by independent samples </w:t>
      </w:r>
      <w:r>
        <w:rPr>
          <w:rFonts w:ascii="Times New Roman" w:hAnsi="Times New Roman" w:cs="Times New Roman"/>
          <w:i/>
          <w:iCs/>
          <w:sz w:val="24"/>
        </w:rPr>
        <w:t>t</w:t>
      </w:r>
      <w:r>
        <w:rPr>
          <w:rFonts w:ascii="Times New Roman" w:hAnsi="Times New Roman" w:cs="Times New Roman"/>
          <w:sz w:val="24"/>
        </w:rPr>
        <w:t>-test, the differences in all indicators between groups were statistically significant, with the observation group showing better recovery of coagulation function indicators than the control group.</w:t>
      </w:r>
      <w:r w:rsidR="00545E9D">
        <w:rPr>
          <w:rFonts w:ascii="Times New Roman" w:hAnsi="Times New Roman" w:cs="Times New Roman"/>
          <w:sz w:val="24"/>
        </w:rPr>
        <w:t xml:space="preserve"> (</w:t>
      </w:r>
      <w:r w:rsidR="00545E9D" w:rsidRPr="00B906ED">
        <w:rPr>
          <w:rFonts w:ascii="Times New Roman" w:hAnsi="Times New Roman" w:cs="Times New Roman"/>
          <w:b/>
          <w:bCs/>
          <w:sz w:val="24"/>
        </w:rPr>
        <w:t>Table 1</w:t>
      </w:r>
      <w:r w:rsidR="00545E9D">
        <w:rPr>
          <w:rFonts w:ascii="Times New Roman" w:hAnsi="Times New Roman" w:cs="Times New Roman"/>
          <w:sz w:val="24"/>
        </w:rPr>
        <w:t>)</w:t>
      </w:r>
    </w:p>
    <w:p w14:paraId="6BE2E570" w14:textId="77777777" w:rsidR="00820E59" w:rsidRDefault="00820E59" w:rsidP="00B906ED">
      <w:pPr>
        <w:snapToGrid w:val="0"/>
        <w:rPr>
          <w:rFonts w:ascii="Times New Roman" w:hAnsi="Times New Roman" w:cs="Times New Roman"/>
          <w:sz w:val="24"/>
        </w:rPr>
      </w:pPr>
    </w:p>
    <w:p w14:paraId="6BE2E571" w14:textId="77777777" w:rsidR="00820E59" w:rsidRDefault="00000000" w:rsidP="00DA16F7">
      <w:pPr>
        <w:snapToGrid w:val="0"/>
        <w:rPr>
          <w:rFonts w:ascii="Times New Roman" w:hAnsi="Times New Roman" w:cs="Times New Roman"/>
          <w:sz w:val="24"/>
        </w:rPr>
      </w:pPr>
      <w:r>
        <w:rPr>
          <w:rFonts w:ascii="Times New Roman" w:hAnsi="Times New Roman" w:cs="Times New Roman"/>
          <w:b/>
          <w:bCs/>
          <w:sz w:val="24"/>
        </w:rPr>
        <w:t xml:space="preserve">Table 1. </w:t>
      </w:r>
      <w:r>
        <w:rPr>
          <w:rFonts w:ascii="Times New Roman" w:hAnsi="Times New Roman" w:cs="Times New Roman"/>
          <w:sz w:val="24"/>
        </w:rPr>
        <w:t xml:space="preserve">Comparison of </w:t>
      </w:r>
      <w:r>
        <w:rPr>
          <w:rFonts w:ascii="Times New Roman" w:hAnsi="Times New Roman" w:cs="Times New Roman" w:hint="eastAsia"/>
          <w:sz w:val="24"/>
        </w:rPr>
        <w:t>c</w:t>
      </w:r>
      <w:r>
        <w:rPr>
          <w:rFonts w:ascii="Times New Roman" w:hAnsi="Times New Roman" w:cs="Times New Roman"/>
          <w:sz w:val="24"/>
        </w:rPr>
        <w:t xml:space="preserve">oagulation </w:t>
      </w:r>
      <w:r>
        <w:rPr>
          <w:rFonts w:ascii="Times New Roman" w:hAnsi="Times New Roman" w:cs="Times New Roman" w:hint="eastAsia"/>
          <w:sz w:val="24"/>
        </w:rPr>
        <w:t>f</w:t>
      </w:r>
      <w:r>
        <w:rPr>
          <w:rFonts w:ascii="Times New Roman" w:hAnsi="Times New Roman" w:cs="Times New Roman"/>
          <w:sz w:val="24"/>
        </w:rPr>
        <w:t xml:space="preserve">unction </w:t>
      </w:r>
      <w:r>
        <w:rPr>
          <w:rFonts w:ascii="Times New Roman" w:hAnsi="Times New Roman" w:cs="Times New Roman" w:hint="eastAsia"/>
          <w:sz w:val="24"/>
        </w:rPr>
        <w:t>i</w:t>
      </w:r>
      <w:r>
        <w:rPr>
          <w:rFonts w:ascii="Times New Roman" w:hAnsi="Times New Roman" w:cs="Times New Roman"/>
          <w:sz w:val="24"/>
        </w:rPr>
        <w:t xml:space="preserve">ndicators </w:t>
      </w:r>
      <w:r>
        <w:rPr>
          <w:rFonts w:ascii="Times New Roman" w:hAnsi="Times New Roman" w:cs="Times New Roman" w:hint="eastAsia"/>
          <w:sz w:val="24"/>
        </w:rPr>
        <w:t>b</w:t>
      </w:r>
      <w:r>
        <w:rPr>
          <w:rFonts w:ascii="Times New Roman" w:hAnsi="Times New Roman" w:cs="Times New Roman"/>
          <w:sz w:val="24"/>
        </w:rPr>
        <w:t xml:space="preserve">etween the </w:t>
      </w:r>
      <w:r>
        <w:rPr>
          <w:rFonts w:ascii="Times New Roman" w:hAnsi="Times New Roman" w:cs="Times New Roman" w:hint="eastAsia"/>
          <w:sz w:val="24"/>
        </w:rPr>
        <w:t>t</w:t>
      </w:r>
      <w:r>
        <w:rPr>
          <w:rFonts w:ascii="Times New Roman" w:hAnsi="Times New Roman" w:cs="Times New Roman"/>
          <w:sz w:val="24"/>
        </w:rPr>
        <w:t xml:space="preserve">wo </w:t>
      </w:r>
      <w:r>
        <w:rPr>
          <w:rFonts w:ascii="Times New Roman" w:hAnsi="Times New Roman" w:cs="Times New Roman" w:hint="eastAsia"/>
          <w:sz w:val="24"/>
        </w:rPr>
        <w:t>g</w:t>
      </w:r>
      <w:r>
        <w:rPr>
          <w:rFonts w:ascii="Times New Roman" w:hAnsi="Times New Roman" w:cs="Times New Roman"/>
          <w:sz w:val="24"/>
        </w:rPr>
        <w:t>roups (</w:t>
      </w:r>
      <w:r>
        <w:rPr>
          <w:rFonts w:ascii="Times New Roman" w:eastAsia="SimSun" w:hAnsi="Times New Roman" w:cs="Times New Roman"/>
          <w:color w:val="0000FF"/>
          <w:position w:val="-6"/>
          <w:sz w:val="24"/>
        </w:rPr>
        <w:object w:dxaOrig="220" w:dyaOrig="270" w14:anchorId="6BE2E6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4" o:title=""/>
          </v:shape>
          <o:OLEObject Type="Embed" ProgID="Equation.DSMT4" ShapeID="_x0000_i1025" DrawAspect="Content" ObjectID="_1853337506" r:id="rId5"/>
        </w:object>
      </w:r>
      <w:r>
        <w:rPr>
          <w:rFonts w:ascii="Times New Roman" w:hAnsi="Times New Roman"/>
          <w:sz w:val="24"/>
        </w:rPr>
        <w:t>± s</w:t>
      </w:r>
      <w:r>
        <w:rPr>
          <w:rFonts w:ascii="Times New Roman" w:hAnsi="Times New Roman"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4"/>
        <w:gridCol w:w="1525"/>
        <w:gridCol w:w="1530"/>
        <w:gridCol w:w="1390"/>
        <w:gridCol w:w="1499"/>
      </w:tblGrid>
      <w:tr w:rsidR="00545E9D" w14:paraId="7BDE8A2C" w14:textId="77777777" w:rsidTr="00B906ED">
        <w:tc>
          <w:tcPr>
            <w:tcW w:w="3794" w:type="dxa"/>
            <w:tcBorders>
              <w:top w:val="single" w:sz="4" w:space="0" w:color="auto"/>
              <w:bottom w:val="single" w:sz="4" w:space="0" w:color="auto"/>
            </w:tcBorders>
            <w:vAlign w:val="center"/>
          </w:tcPr>
          <w:p w14:paraId="76AB370F" w14:textId="0D66302B" w:rsidR="00545E9D" w:rsidRDefault="00545E9D" w:rsidP="00B906ED">
            <w:pPr>
              <w:snapToGrid w:val="0"/>
              <w:jc w:val="left"/>
              <w:rPr>
                <w:rFonts w:ascii="Times New Roman" w:hAnsi="Times New Roman" w:cs="Times New Roman"/>
                <w:sz w:val="24"/>
              </w:rPr>
            </w:pPr>
            <w:r>
              <w:rPr>
                <w:rFonts w:ascii="Times New Roman" w:hAnsi="Times New Roman" w:cs="Times New Roman"/>
                <w:b/>
                <w:sz w:val="24"/>
              </w:rPr>
              <w:t>Group</w:t>
            </w:r>
          </w:p>
        </w:tc>
        <w:tc>
          <w:tcPr>
            <w:tcW w:w="1559" w:type="dxa"/>
            <w:tcBorders>
              <w:top w:val="single" w:sz="4" w:space="0" w:color="auto"/>
              <w:bottom w:val="single" w:sz="4" w:space="0" w:color="auto"/>
            </w:tcBorders>
            <w:vAlign w:val="center"/>
          </w:tcPr>
          <w:p w14:paraId="216C3123" w14:textId="088F4EA5" w:rsidR="00545E9D" w:rsidRDefault="00545E9D" w:rsidP="00B906ED">
            <w:pPr>
              <w:snapToGrid w:val="0"/>
              <w:jc w:val="center"/>
              <w:rPr>
                <w:rFonts w:ascii="Times New Roman" w:hAnsi="Times New Roman" w:cs="Times New Roman"/>
                <w:sz w:val="24"/>
              </w:rPr>
            </w:pPr>
            <w:r>
              <w:rPr>
                <w:rFonts w:ascii="Times New Roman" w:hAnsi="Times New Roman" w:cs="Times New Roman"/>
                <w:b/>
                <w:sz w:val="24"/>
              </w:rPr>
              <w:t>PT</w:t>
            </w:r>
            <w:r>
              <w:rPr>
                <w:rFonts w:ascii="Times New Roman" w:hAnsi="Times New Roman" w:cs="Times New Roman"/>
                <w:b/>
                <w:sz w:val="24"/>
              </w:rPr>
              <w:t xml:space="preserve"> (</w:t>
            </w:r>
            <w:r>
              <w:rPr>
                <w:rFonts w:ascii="Times New Roman" w:hAnsi="Times New Roman" w:cs="Times New Roman"/>
                <w:b/>
                <w:sz w:val="24"/>
              </w:rPr>
              <w:t>s</w:t>
            </w:r>
            <w:r>
              <w:rPr>
                <w:rFonts w:ascii="Times New Roman" w:hAnsi="Times New Roman" w:cs="Times New Roman"/>
                <w:b/>
                <w:sz w:val="24"/>
              </w:rPr>
              <w:t>)</w:t>
            </w:r>
          </w:p>
        </w:tc>
        <w:tc>
          <w:tcPr>
            <w:tcW w:w="1559" w:type="dxa"/>
            <w:tcBorders>
              <w:top w:val="single" w:sz="4" w:space="0" w:color="auto"/>
              <w:bottom w:val="single" w:sz="4" w:space="0" w:color="auto"/>
            </w:tcBorders>
            <w:vAlign w:val="center"/>
          </w:tcPr>
          <w:p w14:paraId="4EA5DAC3" w14:textId="150DD3EA" w:rsidR="00545E9D" w:rsidRDefault="00545E9D" w:rsidP="00B906ED">
            <w:pPr>
              <w:snapToGrid w:val="0"/>
              <w:jc w:val="center"/>
              <w:rPr>
                <w:rFonts w:ascii="Times New Roman" w:hAnsi="Times New Roman" w:cs="Times New Roman"/>
                <w:sz w:val="24"/>
              </w:rPr>
            </w:pPr>
            <w:r>
              <w:rPr>
                <w:rFonts w:ascii="Times New Roman" w:hAnsi="Times New Roman" w:cs="Times New Roman"/>
                <w:b/>
                <w:sz w:val="24"/>
              </w:rPr>
              <w:t>APTT</w:t>
            </w:r>
            <w:r>
              <w:rPr>
                <w:rFonts w:ascii="Times New Roman" w:hAnsi="Times New Roman" w:cs="Times New Roman"/>
                <w:b/>
                <w:sz w:val="24"/>
              </w:rPr>
              <w:t xml:space="preserve"> (</w:t>
            </w:r>
            <w:r>
              <w:rPr>
                <w:rFonts w:ascii="Times New Roman" w:hAnsi="Times New Roman" w:cs="Times New Roman"/>
                <w:b/>
                <w:sz w:val="24"/>
              </w:rPr>
              <w:t>s</w:t>
            </w:r>
            <w:r>
              <w:rPr>
                <w:rFonts w:ascii="Times New Roman" w:hAnsi="Times New Roman" w:cs="Times New Roman"/>
                <w:b/>
                <w:sz w:val="24"/>
              </w:rPr>
              <w:t>)</w:t>
            </w:r>
          </w:p>
        </w:tc>
        <w:tc>
          <w:tcPr>
            <w:tcW w:w="1418" w:type="dxa"/>
            <w:tcBorders>
              <w:top w:val="single" w:sz="4" w:space="0" w:color="auto"/>
              <w:bottom w:val="single" w:sz="4" w:space="0" w:color="auto"/>
            </w:tcBorders>
            <w:vAlign w:val="center"/>
          </w:tcPr>
          <w:p w14:paraId="4BC65CE1" w14:textId="407525D9" w:rsidR="00545E9D" w:rsidRDefault="00545E9D" w:rsidP="00B906ED">
            <w:pPr>
              <w:snapToGrid w:val="0"/>
              <w:jc w:val="center"/>
              <w:rPr>
                <w:rFonts w:ascii="Times New Roman" w:hAnsi="Times New Roman" w:cs="Times New Roman"/>
                <w:sz w:val="24"/>
              </w:rPr>
            </w:pPr>
            <w:r>
              <w:rPr>
                <w:rFonts w:ascii="Times New Roman" w:hAnsi="Times New Roman" w:cs="Times New Roman"/>
                <w:b/>
                <w:sz w:val="24"/>
              </w:rPr>
              <w:t>FIB</w:t>
            </w:r>
            <w:r>
              <w:rPr>
                <w:rFonts w:ascii="Times New Roman" w:hAnsi="Times New Roman" w:cs="Times New Roman"/>
                <w:b/>
                <w:sz w:val="24"/>
              </w:rPr>
              <w:t xml:space="preserve"> (</w:t>
            </w:r>
            <w:r>
              <w:rPr>
                <w:rFonts w:ascii="Times New Roman" w:hAnsi="Times New Roman" w:cs="Times New Roman"/>
                <w:b/>
                <w:sz w:val="24"/>
              </w:rPr>
              <w:t>g/L</w:t>
            </w:r>
            <w:r>
              <w:rPr>
                <w:rFonts w:ascii="Times New Roman" w:hAnsi="Times New Roman" w:cs="Times New Roman"/>
                <w:b/>
                <w:sz w:val="24"/>
              </w:rPr>
              <w:t>)</w:t>
            </w:r>
          </w:p>
        </w:tc>
        <w:tc>
          <w:tcPr>
            <w:tcW w:w="1524" w:type="dxa"/>
            <w:tcBorders>
              <w:top w:val="single" w:sz="4" w:space="0" w:color="auto"/>
              <w:bottom w:val="single" w:sz="4" w:space="0" w:color="auto"/>
            </w:tcBorders>
            <w:vAlign w:val="center"/>
          </w:tcPr>
          <w:p w14:paraId="13E60F1D" w14:textId="416C4552" w:rsidR="00545E9D" w:rsidRDefault="00545E9D" w:rsidP="00B906ED">
            <w:pPr>
              <w:snapToGrid w:val="0"/>
              <w:jc w:val="center"/>
              <w:rPr>
                <w:rFonts w:ascii="Times New Roman" w:hAnsi="Times New Roman" w:cs="Times New Roman"/>
                <w:sz w:val="24"/>
              </w:rPr>
            </w:pPr>
            <w:r>
              <w:rPr>
                <w:rFonts w:ascii="Times New Roman" w:hAnsi="Times New Roman" w:cs="Times New Roman"/>
                <w:b/>
                <w:sz w:val="24"/>
              </w:rPr>
              <w:t>D-D</w:t>
            </w:r>
            <w:r>
              <w:rPr>
                <w:rFonts w:ascii="Times New Roman" w:hAnsi="Times New Roman" w:cs="Times New Roman"/>
                <w:b/>
                <w:sz w:val="24"/>
              </w:rPr>
              <w:t xml:space="preserve"> (</w:t>
            </w:r>
            <w:r>
              <w:rPr>
                <w:rFonts w:ascii="Times New Roman" w:hAnsi="Times New Roman" w:cs="Times New Roman"/>
                <w:b/>
                <w:sz w:val="24"/>
              </w:rPr>
              <w:t>mg/L</w:t>
            </w:r>
            <w:r>
              <w:rPr>
                <w:rFonts w:ascii="Times New Roman" w:hAnsi="Times New Roman" w:cs="Times New Roman"/>
                <w:b/>
                <w:sz w:val="24"/>
              </w:rPr>
              <w:t>)</w:t>
            </w:r>
          </w:p>
        </w:tc>
      </w:tr>
      <w:tr w:rsidR="00545E9D" w14:paraId="16038DED" w14:textId="77777777" w:rsidTr="00B906ED">
        <w:tc>
          <w:tcPr>
            <w:tcW w:w="3794" w:type="dxa"/>
            <w:tcBorders>
              <w:top w:val="single" w:sz="4" w:space="0" w:color="auto"/>
            </w:tcBorders>
            <w:vAlign w:val="center"/>
          </w:tcPr>
          <w:p w14:paraId="2367B47F" w14:textId="25C6D71E" w:rsidR="00545E9D" w:rsidRDefault="00545E9D" w:rsidP="00B906ED">
            <w:pPr>
              <w:snapToGrid w:val="0"/>
              <w:jc w:val="left"/>
              <w:rPr>
                <w:rFonts w:ascii="Times New Roman" w:hAnsi="Times New Roman" w:cs="Times New Roman"/>
                <w:sz w:val="24"/>
              </w:rPr>
            </w:pPr>
            <w:r>
              <w:rPr>
                <w:rFonts w:ascii="Times New Roman" w:hAnsi="Times New Roman" w:cs="Times New Roman"/>
                <w:sz w:val="24"/>
              </w:rPr>
              <w:t>Observation group</w:t>
            </w:r>
            <w:r>
              <w:rPr>
                <w:rFonts w:ascii="Times New Roman" w:hAnsi="Times New Roman" w:cs="Times New Roman"/>
                <w:sz w:val="24"/>
              </w:rPr>
              <w:t xml:space="preserve"> (</w:t>
            </w:r>
            <w:r>
              <w:rPr>
                <w:rFonts w:ascii="Times New Roman" w:hAnsi="Times New Roman" w:cs="Times New Roman"/>
                <w:sz w:val="24"/>
              </w:rPr>
              <w:t>n</w:t>
            </w:r>
            <w:r>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25</w:t>
            </w:r>
            <w:r>
              <w:rPr>
                <w:rFonts w:ascii="Times New Roman" w:hAnsi="Times New Roman" w:cs="Times New Roman"/>
                <w:sz w:val="24"/>
              </w:rPr>
              <w:t>)</w:t>
            </w:r>
          </w:p>
        </w:tc>
        <w:tc>
          <w:tcPr>
            <w:tcW w:w="1559" w:type="dxa"/>
            <w:tcBorders>
              <w:top w:val="single" w:sz="4" w:space="0" w:color="auto"/>
            </w:tcBorders>
            <w:vAlign w:val="center"/>
          </w:tcPr>
          <w:p w14:paraId="5C841F03" w14:textId="14AE45A3"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13.25</w:t>
            </w:r>
            <w:r>
              <w:rPr>
                <w:rFonts w:ascii="Times New Roman" w:hAnsi="Times New Roman" w:cs="Times New Roman"/>
                <w:sz w:val="24"/>
              </w:rPr>
              <w:t xml:space="preserve"> ± </w:t>
            </w:r>
            <w:r>
              <w:rPr>
                <w:rFonts w:ascii="Times New Roman" w:hAnsi="Times New Roman" w:cs="Times New Roman"/>
                <w:sz w:val="24"/>
              </w:rPr>
              <w:t>1.12</w:t>
            </w:r>
          </w:p>
        </w:tc>
        <w:tc>
          <w:tcPr>
            <w:tcW w:w="1559" w:type="dxa"/>
            <w:tcBorders>
              <w:top w:val="single" w:sz="4" w:space="0" w:color="auto"/>
            </w:tcBorders>
            <w:vAlign w:val="center"/>
          </w:tcPr>
          <w:p w14:paraId="53A69CBE" w14:textId="5E763EF3"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32.46</w:t>
            </w:r>
            <w:r>
              <w:rPr>
                <w:rFonts w:ascii="Times New Roman" w:hAnsi="Times New Roman" w:cs="Times New Roman"/>
                <w:sz w:val="24"/>
              </w:rPr>
              <w:t xml:space="preserve"> ± </w:t>
            </w:r>
            <w:r>
              <w:rPr>
                <w:rFonts w:ascii="Times New Roman" w:hAnsi="Times New Roman" w:cs="Times New Roman"/>
                <w:sz w:val="24"/>
              </w:rPr>
              <w:t>2.31</w:t>
            </w:r>
          </w:p>
        </w:tc>
        <w:tc>
          <w:tcPr>
            <w:tcW w:w="1418" w:type="dxa"/>
            <w:tcBorders>
              <w:top w:val="single" w:sz="4" w:space="0" w:color="auto"/>
            </w:tcBorders>
            <w:vAlign w:val="center"/>
          </w:tcPr>
          <w:p w14:paraId="39D7F905" w14:textId="070197AD"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2.87</w:t>
            </w:r>
            <w:r>
              <w:rPr>
                <w:rFonts w:ascii="Times New Roman" w:hAnsi="Times New Roman" w:cs="Times New Roman"/>
                <w:sz w:val="24"/>
              </w:rPr>
              <w:t xml:space="preserve"> ± </w:t>
            </w:r>
            <w:r>
              <w:rPr>
                <w:rFonts w:ascii="Times New Roman" w:hAnsi="Times New Roman" w:cs="Times New Roman"/>
                <w:sz w:val="24"/>
              </w:rPr>
              <w:t>0.34</w:t>
            </w:r>
          </w:p>
        </w:tc>
        <w:tc>
          <w:tcPr>
            <w:tcW w:w="1524" w:type="dxa"/>
            <w:tcBorders>
              <w:top w:val="single" w:sz="4" w:space="0" w:color="auto"/>
            </w:tcBorders>
            <w:vAlign w:val="center"/>
          </w:tcPr>
          <w:p w14:paraId="2D79000C" w14:textId="0796881B"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1.82</w:t>
            </w:r>
            <w:r>
              <w:rPr>
                <w:rFonts w:ascii="Times New Roman" w:hAnsi="Times New Roman" w:cs="Times New Roman"/>
                <w:sz w:val="24"/>
              </w:rPr>
              <w:t xml:space="preserve"> ± </w:t>
            </w:r>
            <w:r>
              <w:rPr>
                <w:rFonts w:ascii="Times New Roman" w:hAnsi="Times New Roman" w:cs="Times New Roman"/>
                <w:sz w:val="24"/>
              </w:rPr>
              <w:t>0.41</w:t>
            </w:r>
          </w:p>
        </w:tc>
      </w:tr>
      <w:tr w:rsidR="00545E9D" w14:paraId="7F73812E" w14:textId="77777777" w:rsidTr="00B906ED">
        <w:tc>
          <w:tcPr>
            <w:tcW w:w="3794" w:type="dxa"/>
            <w:vAlign w:val="center"/>
          </w:tcPr>
          <w:p w14:paraId="21686E1A" w14:textId="351E8693" w:rsidR="00545E9D" w:rsidRDefault="00545E9D" w:rsidP="00B906ED">
            <w:pPr>
              <w:snapToGrid w:val="0"/>
              <w:jc w:val="left"/>
              <w:rPr>
                <w:rFonts w:ascii="Times New Roman" w:hAnsi="Times New Roman" w:cs="Times New Roman"/>
                <w:sz w:val="24"/>
              </w:rPr>
            </w:pPr>
            <w:r>
              <w:rPr>
                <w:rFonts w:ascii="Times New Roman" w:hAnsi="Times New Roman" w:cs="Times New Roman"/>
                <w:sz w:val="24"/>
              </w:rPr>
              <w:t>Control grou</w:t>
            </w:r>
            <w:r>
              <w:rPr>
                <w:rFonts w:ascii="Times New Roman" w:hAnsi="Times New Roman" w:cs="Times New Roman"/>
                <w:sz w:val="24"/>
              </w:rPr>
              <w:t>p (</w:t>
            </w:r>
            <w:r>
              <w:rPr>
                <w:rFonts w:ascii="Times New Roman" w:hAnsi="Times New Roman" w:cs="Times New Roman"/>
                <w:sz w:val="24"/>
              </w:rPr>
              <w:t>n</w:t>
            </w:r>
            <w:r>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25</w:t>
            </w:r>
            <w:r>
              <w:rPr>
                <w:rFonts w:ascii="Times New Roman" w:hAnsi="Times New Roman" w:cs="Times New Roman"/>
                <w:sz w:val="24"/>
              </w:rPr>
              <w:t>)</w:t>
            </w:r>
          </w:p>
        </w:tc>
        <w:tc>
          <w:tcPr>
            <w:tcW w:w="1559" w:type="dxa"/>
            <w:vAlign w:val="center"/>
          </w:tcPr>
          <w:p w14:paraId="3E54AD58" w14:textId="7DFD17B8"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15.78</w:t>
            </w:r>
            <w:r>
              <w:rPr>
                <w:rFonts w:ascii="Times New Roman" w:hAnsi="Times New Roman" w:cs="Times New Roman"/>
                <w:sz w:val="24"/>
              </w:rPr>
              <w:t xml:space="preserve"> ± </w:t>
            </w:r>
            <w:r>
              <w:rPr>
                <w:rFonts w:ascii="Times New Roman" w:hAnsi="Times New Roman" w:cs="Times New Roman"/>
                <w:sz w:val="24"/>
              </w:rPr>
              <w:t>1.46</w:t>
            </w:r>
          </w:p>
        </w:tc>
        <w:tc>
          <w:tcPr>
            <w:tcW w:w="1559" w:type="dxa"/>
            <w:vAlign w:val="center"/>
          </w:tcPr>
          <w:p w14:paraId="518AD0E6" w14:textId="6E3609C2"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38.72</w:t>
            </w:r>
            <w:r>
              <w:rPr>
                <w:rFonts w:ascii="Times New Roman" w:hAnsi="Times New Roman" w:cs="Times New Roman"/>
                <w:sz w:val="24"/>
              </w:rPr>
              <w:t xml:space="preserve"> ± </w:t>
            </w:r>
            <w:r>
              <w:rPr>
                <w:rFonts w:ascii="Times New Roman" w:hAnsi="Times New Roman" w:cs="Times New Roman"/>
                <w:sz w:val="24"/>
              </w:rPr>
              <w:t>2.85</w:t>
            </w:r>
          </w:p>
        </w:tc>
        <w:tc>
          <w:tcPr>
            <w:tcW w:w="1418" w:type="dxa"/>
            <w:vAlign w:val="center"/>
          </w:tcPr>
          <w:p w14:paraId="557CEFC7" w14:textId="59C09BE4"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2.15</w:t>
            </w:r>
            <w:r>
              <w:rPr>
                <w:rFonts w:ascii="Times New Roman" w:hAnsi="Times New Roman" w:cs="Times New Roman"/>
                <w:sz w:val="24"/>
              </w:rPr>
              <w:t xml:space="preserve"> ± </w:t>
            </w:r>
            <w:r>
              <w:rPr>
                <w:rFonts w:ascii="Times New Roman" w:hAnsi="Times New Roman" w:cs="Times New Roman"/>
                <w:sz w:val="24"/>
              </w:rPr>
              <w:t>0.28</w:t>
            </w:r>
          </w:p>
        </w:tc>
        <w:tc>
          <w:tcPr>
            <w:tcW w:w="1524" w:type="dxa"/>
            <w:vAlign w:val="center"/>
          </w:tcPr>
          <w:p w14:paraId="35079889" w14:textId="47A0A017"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3.24</w:t>
            </w:r>
            <w:r>
              <w:rPr>
                <w:rFonts w:ascii="Times New Roman" w:hAnsi="Times New Roman" w:cs="Times New Roman"/>
                <w:sz w:val="24"/>
              </w:rPr>
              <w:t xml:space="preserve"> ± </w:t>
            </w:r>
            <w:r>
              <w:rPr>
                <w:rFonts w:ascii="Times New Roman" w:hAnsi="Times New Roman" w:cs="Times New Roman"/>
                <w:sz w:val="24"/>
              </w:rPr>
              <w:t>0.57</w:t>
            </w:r>
          </w:p>
        </w:tc>
      </w:tr>
      <w:tr w:rsidR="00545E9D" w14:paraId="4917E9E8" w14:textId="77777777" w:rsidTr="00B906ED">
        <w:tc>
          <w:tcPr>
            <w:tcW w:w="3794" w:type="dxa"/>
            <w:vAlign w:val="center"/>
          </w:tcPr>
          <w:p w14:paraId="0D2FB182" w14:textId="33CA1C6B" w:rsidR="00545E9D" w:rsidRDefault="00545E9D" w:rsidP="00B906ED">
            <w:pPr>
              <w:snapToGrid w:val="0"/>
              <w:jc w:val="left"/>
              <w:rPr>
                <w:rFonts w:ascii="Times New Roman" w:hAnsi="Times New Roman" w:cs="Times New Roman"/>
                <w:sz w:val="24"/>
              </w:rPr>
            </w:pPr>
            <w:r>
              <w:rPr>
                <w:rFonts w:ascii="Times New Roman" w:hAnsi="Times New Roman" w:cs="Times New Roman"/>
                <w:i/>
                <w:iCs/>
                <w:sz w:val="24"/>
              </w:rPr>
              <w:lastRenderedPageBreak/>
              <w:t>t</w:t>
            </w:r>
          </w:p>
        </w:tc>
        <w:tc>
          <w:tcPr>
            <w:tcW w:w="1559" w:type="dxa"/>
            <w:vAlign w:val="center"/>
          </w:tcPr>
          <w:p w14:paraId="79B97C00" w14:textId="6BB1105B"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6.874</w:t>
            </w:r>
          </w:p>
        </w:tc>
        <w:tc>
          <w:tcPr>
            <w:tcW w:w="1559" w:type="dxa"/>
            <w:vAlign w:val="center"/>
          </w:tcPr>
          <w:p w14:paraId="5BD6F98B" w14:textId="02CD6AF3"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8.651</w:t>
            </w:r>
          </w:p>
        </w:tc>
        <w:tc>
          <w:tcPr>
            <w:tcW w:w="1418" w:type="dxa"/>
            <w:vAlign w:val="center"/>
          </w:tcPr>
          <w:p w14:paraId="613038EA" w14:textId="1D8C915F"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8.127</w:t>
            </w:r>
          </w:p>
        </w:tc>
        <w:tc>
          <w:tcPr>
            <w:tcW w:w="1524" w:type="dxa"/>
            <w:vAlign w:val="center"/>
          </w:tcPr>
          <w:p w14:paraId="120446AC" w14:textId="34B1999E"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9.864</w:t>
            </w:r>
          </w:p>
        </w:tc>
      </w:tr>
      <w:tr w:rsidR="00545E9D" w14:paraId="2319C6F0" w14:textId="77777777" w:rsidTr="00B906ED">
        <w:tc>
          <w:tcPr>
            <w:tcW w:w="3794" w:type="dxa"/>
            <w:tcBorders>
              <w:bottom w:val="single" w:sz="4" w:space="0" w:color="auto"/>
            </w:tcBorders>
            <w:vAlign w:val="center"/>
          </w:tcPr>
          <w:p w14:paraId="357556AD" w14:textId="55886FF9" w:rsidR="00545E9D" w:rsidRDefault="00545E9D" w:rsidP="00B906ED">
            <w:pPr>
              <w:snapToGrid w:val="0"/>
              <w:jc w:val="left"/>
              <w:rPr>
                <w:rFonts w:ascii="Times New Roman" w:hAnsi="Times New Roman" w:cs="Times New Roman"/>
                <w:sz w:val="24"/>
              </w:rPr>
            </w:pPr>
            <w:r>
              <w:rPr>
                <w:rFonts w:ascii="Times New Roman" w:hAnsi="Times New Roman" w:cs="Times New Roman"/>
                <w:i/>
                <w:iCs/>
                <w:sz w:val="24"/>
              </w:rPr>
              <w:t>p</w:t>
            </w:r>
          </w:p>
        </w:tc>
        <w:tc>
          <w:tcPr>
            <w:tcW w:w="1559" w:type="dxa"/>
            <w:tcBorders>
              <w:bottom w:val="single" w:sz="4" w:space="0" w:color="auto"/>
            </w:tcBorders>
            <w:vAlign w:val="center"/>
          </w:tcPr>
          <w:p w14:paraId="718B0C2D" w14:textId="2BE47B01"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&lt;</w:t>
            </w:r>
            <w:r>
              <w:rPr>
                <w:rFonts w:ascii="Times New Roman" w:hAnsi="Times New Roman" w:cs="Times New Roman"/>
                <w:sz w:val="24"/>
              </w:rPr>
              <w:t xml:space="preserve"> </w:t>
            </w:r>
            <w:r>
              <w:rPr>
                <w:rFonts w:ascii="Times New Roman" w:hAnsi="Times New Roman" w:cs="Times New Roman"/>
                <w:sz w:val="24"/>
              </w:rPr>
              <w:t>0.001</w:t>
            </w:r>
          </w:p>
        </w:tc>
        <w:tc>
          <w:tcPr>
            <w:tcW w:w="1559" w:type="dxa"/>
            <w:tcBorders>
              <w:bottom w:val="single" w:sz="4" w:space="0" w:color="auto"/>
            </w:tcBorders>
            <w:vAlign w:val="center"/>
          </w:tcPr>
          <w:p w14:paraId="7E5F18AC" w14:textId="66C5BC58"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&lt;</w:t>
            </w:r>
            <w:r>
              <w:rPr>
                <w:rFonts w:ascii="Times New Roman" w:hAnsi="Times New Roman" w:cs="Times New Roman"/>
                <w:sz w:val="24"/>
              </w:rPr>
              <w:t xml:space="preserve"> </w:t>
            </w:r>
            <w:r>
              <w:rPr>
                <w:rFonts w:ascii="Times New Roman" w:hAnsi="Times New Roman" w:cs="Times New Roman"/>
                <w:sz w:val="24"/>
              </w:rPr>
              <w:t>0.001</w:t>
            </w:r>
          </w:p>
        </w:tc>
        <w:tc>
          <w:tcPr>
            <w:tcW w:w="1418" w:type="dxa"/>
            <w:tcBorders>
              <w:bottom w:val="single" w:sz="4" w:space="0" w:color="auto"/>
            </w:tcBorders>
            <w:vAlign w:val="center"/>
          </w:tcPr>
          <w:p w14:paraId="21428848" w14:textId="0E0E91B5"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&lt;</w:t>
            </w:r>
            <w:r>
              <w:rPr>
                <w:rFonts w:ascii="Times New Roman" w:hAnsi="Times New Roman" w:cs="Times New Roman"/>
                <w:sz w:val="24"/>
              </w:rPr>
              <w:t xml:space="preserve"> </w:t>
            </w:r>
            <w:r>
              <w:rPr>
                <w:rFonts w:ascii="Times New Roman" w:hAnsi="Times New Roman" w:cs="Times New Roman"/>
                <w:sz w:val="24"/>
              </w:rPr>
              <w:t>0.001</w:t>
            </w:r>
          </w:p>
        </w:tc>
        <w:tc>
          <w:tcPr>
            <w:tcW w:w="1524" w:type="dxa"/>
            <w:tcBorders>
              <w:bottom w:val="single" w:sz="4" w:space="0" w:color="auto"/>
            </w:tcBorders>
            <w:vAlign w:val="center"/>
          </w:tcPr>
          <w:p w14:paraId="1072E722" w14:textId="7C2771CC" w:rsidR="00545E9D" w:rsidRDefault="00545E9D" w:rsidP="00B906ED">
            <w:pPr>
              <w:snapToGrid w:val="0"/>
              <w:jc w:val="center"/>
              <w:rPr>
                <w:rFonts w:ascii="Times New Roman" w:hAnsi="Times New Roman" w:cs="Times New Roman"/>
                <w:sz w:val="24"/>
              </w:rPr>
            </w:pPr>
            <w:r>
              <w:rPr>
                <w:rFonts w:ascii="Times New Roman" w:hAnsi="Times New Roman" w:cs="Times New Roman"/>
                <w:sz w:val="24"/>
              </w:rPr>
              <w:t>&lt;</w:t>
            </w:r>
            <w:r>
              <w:rPr>
                <w:rFonts w:ascii="Times New Roman" w:hAnsi="Times New Roman" w:cs="Times New Roman"/>
                <w:sz w:val="24"/>
              </w:rPr>
              <w:t xml:space="preserve"> </w:t>
            </w:r>
            <w:r>
              <w:rPr>
                <w:rFonts w:ascii="Times New Roman" w:hAnsi="Times New Roman" w:cs="Times New Roman"/>
                <w:sz w:val="24"/>
              </w:rPr>
              <w:t>0.001</w:t>
            </w:r>
          </w:p>
        </w:tc>
      </w:tr>
    </w:tbl>
    <w:p w14:paraId="386916BD" w14:textId="77777777" w:rsidR="00545E9D" w:rsidRDefault="00545E9D" w:rsidP="00DA16F7">
      <w:pPr>
        <w:snapToGrid w:val="0"/>
        <w:rPr>
          <w:rFonts w:ascii="Times New Roman" w:hAnsi="Times New Roman" w:cs="Times New Roman"/>
          <w:sz w:val="24"/>
        </w:rPr>
      </w:pPr>
    </w:p>
    <w:p w14:paraId="6BE2E591"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3</w:t>
      </w:r>
      <w:r>
        <w:rPr>
          <w:rFonts w:ascii="Times New Roman" w:hAnsi="Times New Roman" w:cs="Times New Roman"/>
          <w:b/>
          <w:bCs/>
          <w:sz w:val="24"/>
        </w:rPr>
        <w:t>.2</w:t>
      </w:r>
      <w:r>
        <w:rPr>
          <w:rFonts w:ascii="Times New Roman" w:hAnsi="Times New Roman" w:cs="Times New Roman" w:hint="eastAsia"/>
          <w:b/>
          <w:bCs/>
          <w:sz w:val="24"/>
        </w:rPr>
        <w:t>.</w:t>
      </w:r>
      <w:r>
        <w:rPr>
          <w:rFonts w:ascii="Times New Roman" w:hAnsi="Times New Roman" w:cs="Times New Roman"/>
          <w:b/>
          <w:bCs/>
          <w:sz w:val="24"/>
        </w:rPr>
        <w:t xml:space="preserve"> Comparison of </w:t>
      </w:r>
      <w:r>
        <w:rPr>
          <w:rFonts w:ascii="Times New Roman" w:hAnsi="Times New Roman" w:cs="Times New Roman" w:hint="eastAsia"/>
          <w:b/>
          <w:bCs/>
          <w:sz w:val="24"/>
        </w:rPr>
        <w:t>b</w:t>
      </w:r>
      <w:r>
        <w:rPr>
          <w:rFonts w:ascii="Times New Roman" w:hAnsi="Times New Roman" w:cs="Times New Roman"/>
          <w:b/>
          <w:bCs/>
          <w:sz w:val="24"/>
        </w:rPr>
        <w:t xml:space="preserve">lood </w:t>
      </w:r>
      <w:r>
        <w:rPr>
          <w:rFonts w:ascii="Times New Roman" w:hAnsi="Times New Roman" w:cs="Times New Roman" w:hint="eastAsia"/>
          <w:b/>
          <w:bCs/>
          <w:sz w:val="24"/>
        </w:rPr>
        <w:t>g</w:t>
      </w:r>
      <w:r>
        <w:rPr>
          <w:rFonts w:ascii="Times New Roman" w:hAnsi="Times New Roman" w:cs="Times New Roman"/>
          <w:b/>
          <w:bCs/>
          <w:sz w:val="24"/>
        </w:rPr>
        <w:t xml:space="preserve">as </w:t>
      </w:r>
      <w:r>
        <w:rPr>
          <w:rFonts w:ascii="Times New Roman" w:hAnsi="Times New Roman" w:cs="Times New Roman" w:hint="eastAsia"/>
          <w:b/>
          <w:bCs/>
          <w:sz w:val="24"/>
        </w:rPr>
        <w:t>a</w:t>
      </w:r>
      <w:r>
        <w:rPr>
          <w:rFonts w:ascii="Times New Roman" w:hAnsi="Times New Roman" w:cs="Times New Roman"/>
          <w:b/>
          <w:bCs/>
          <w:sz w:val="24"/>
        </w:rPr>
        <w:t xml:space="preserve">nalysis </w:t>
      </w:r>
      <w:r>
        <w:rPr>
          <w:rFonts w:ascii="Times New Roman" w:hAnsi="Times New Roman" w:cs="Times New Roman" w:hint="eastAsia"/>
          <w:b/>
          <w:bCs/>
          <w:sz w:val="24"/>
        </w:rPr>
        <w:t>i</w:t>
      </w:r>
      <w:r>
        <w:rPr>
          <w:rFonts w:ascii="Times New Roman" w:hAnsi="Times New Roman" w:cs="Times New Roman"/>
          <w:b/>
          <w:bCs/>
          <w:sz w:val="24"/>
        </w:rPr>
        <w:t xml:space="preserve">ndicators </w:t>
      </w:r>
      <w:r>
        <w:rPr>
          <w:rFonts w:ascii="Times New Roman" w:hAnsi="Times New Roman" w:cs="Times New Roman" w:hint="eastAsia"/>
          <w:b/>
          <w:bCs/>
          <w:sz w:val="24"/>
        </w:rPr>
        <w:t>b</w:t>
      </w:r>
      <w:r>
        <w:rPr>
          <w:rFonts w:ascii="Times New Roman" w:hAnsi="Times New Roman" w:cs="Times New Roman"/>
          <w:b/>
          <w:bCs/>
          <w:sz w:val="24"/>
        </w:rPr>
        <w:t xml:space="preserve">etween the </w:t>
      </w:r>
      <w:r>
        <w:rPr>
          <w:rFonts w:ascii="Times New Roman" w:hAnsi="Times New Roman" w:cs="Times New Roman" w:hint="eastAsia"/>
          <w:b/>
          <w:bCs/>
          <w:sz w:val="24"/>
        </w:rPr>
        <w:t>t</w:t>
      </w:r>
      <w:r>
        <w:rPr>
          <w:rFonts w:ascii="Times New Roman" w:hAnsi="Times New Roman" w:cs="Times New Roman"/>
          <w:b/>
          <w:bCs/>
          <w:sz w:val="24"/>
        </w:rPr>
        <w:t xml:space="preserve">wo </w:t>
      </w:r>
      <w:r>
        <w:rPr>
          <w:rFonts w:ascii="Times New Roman" w:hAnsi="Times New Roman" w:cs="Times New Roman" w:hint="eastAsia"/>
          <w:b/>
          <w:bCs/>
          <w:sz w:val="24"/>
        </w:rPr>
        <w:t>g</w:t>
      </w:r>
      <w:r>
        <w:rPr>
          <w:rFonts w:ascii="Times New Roman" w:hAnsi="Times New Roman" w:cs="Times New Roman"/>
          <w:b/>
          <w:bCs/>
          <w:sz w:val="24"/>
        </w:rPr>
        <w:t>roups</w:t>
      </w:r>
    </w:p>
    <w:p w14:paraId="6BE2E592" w14:textId="6AE2408B"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At 24h after intervention, arterial blood was collected from patients in both groups for detection of blood gas analysis-related indicators. Verified by independent samples </w:t>
      </w:r>
      <w:r>
        <w:rPr>
          <w:rFonts w:ascii="Times New Roman" w:hAnsi="Times New Roman" w:cs="Times New Roman"/>
          <w:i/>
          <w:iCs/>
          <w:sz w:val="24"/>
        </w:rPr>
        <w:t>t</w:t>
      </w:r>
      <w:r>
        <w:rPr>
          <w:rFonts w:ascii="Times New Roman" w:hAnsi="Times New Roman" w:cs="Times New Roman"/>
          <w:sz w:val="24"/>
        </w:rPr>
        <w:t xml:space="preserve">-test, the differences in pH, </w:t>
      </w:r>
      <w:proofErr w:type="spellStart"/>
      <w:r>
        <w:rPr>
          <w:rFonts w:ascii="Times New Roman" w:hAnsi="Times New Roman" w:cs="Times New Roman"/>
          <w:sz w:val="24"/>
        </w:rPr>
        <w:t>PaO</w:t>
      </w:r>
      <w:proofErr w:type="spellEnd"/>
      <w:r>
        <w:rPr>
          <w:rFonts w:ascii="Times New Roman" w:hAnsi="Times New Roman" w:cs="Times New Roman"/>
          <w:sz w:val="24"/>
        </w:rPr>
        <w:t xml:space="preserve">₂, and lactate levels between groups were statistically significant, with the observation group superior to the control group; there was no statistically significant difference in </w:t>
      </w:r>
      <w:proofErr w:type="spellStart"/>
      <w:r>
        <w:rPr>
          <w:rFonts w:ascii="Times New Roman" w:hAnsi="Times New Roman" w:cs="Times New Roman"/>
          <w:sz w:val="24"/>
        </w:rPr>
        <w:t>PaCO</w:t>
      </w:r>
      <w:proofErr w:type="spellEnd"/>
      <w:r>
        <w:rPr>
          <w:rFonts w:ascii="Times New Roman" w:hAnsi="Times New Roman" w:cs="Times New Roman"/>
          <w:sz w:val="24"/>
        </w:rPr>
        <w:t>₂ between groups.</w:t>
      </w:r>
      <w:r w:rsidR="00545E9D">
        <w:rPr>
          <w:rFonts w:ascii="Times New Roman" w:hAnsi="Times New Roman" w:cs="Times New Roman"/>
          <w:sz w:val="24"/>
        </w:rPr>
        <w:t xml:space="preserve"> (</w:t>
      </w:r>
      <w:r w:rsidR="00545E9D" w:rsidRPr="00B906ED">
        <w:rPr>
          <w:rFonts w:ascii="Times New Roman" w:hAnsi="Times New Roman" w:cs="Times New Roman"/>
          <w:b/>
          <w:bCs/>
          <w:sz w:val="24"/>
        </w:rPr>
        <w:t>Table 2</w:t>
      </w:r>
      <w:r w:rsidR="00545E9D">
        <w:rPr>
          <w:rFonts w:ascii="Times New Roman" w:hAnsi="Times New Roman" w:cs="Times New Roman"/>
          <w:sz w:val="24"/>
        </w:rPr>
        <w:t>)</w:t>
      </w:r>
    </w:p>
    <w:p w14:paraId="6BE2E593" w14:textId="77777777" w:rsidR="00820E59" w:rsidRDefault="00820E59" w:rsidP="00B906ED">
      <w:pPr>
        <w:snapToGrid w:val="0"/>
        <w:rPr>
          <w:rFonts w:ascii="Times New Roman" w:hAnsi="Times New Roman" w:cs="Times New Roman"/>
          <w:sz w:val="24"/>
        </w:rPr>
      </w:pPr>
    </w:p>
    <w:p w14:paraId="6BE2E594" w14:textId="77777777" w:rsidR="00820E59" w:rsidRDefault="00000000" w:rsidP="00DA16F7">
      <w:pPr>
        <w:snapToGrid w:val="0"/>
        <w:rPr>
          <w:rFonts w:ascii="Times New Roman" w:hAnsi="Times New Roman" w:cs="Times New Roman"/>
          <w:sz w:val="24"/>
        </w:rPr>
      </w:pPr>
      <w:r>
        <w:rPr>
          <w:rFonts w:ascii="Times New Roman" w:hAnsi="Times New Roman" w:cs="Times New Roman"/>
          <w:b/>
          <w:bCs/>
          <w:sz w:val="24"/>
        </w:rPr>
        <w:t xml:space="preserve">Table 2. </w:t>
      </w:r>
      <w:r>
        <w:rPr>
          <w:rFonts w:ascii="Times New Roman" w:hAnsi="Times New Roman" w:cs="Times New Roman"/>
          <w:sz w:val="24"/>
        </w:rPr>
        <w:t xml:space="preserve">Comparison of </w:t>
      </w:r>
      <w:r>
        <w:rPr>
          <w:rFonts w:ascii="Times New Roman" w:hAnsi="Times New Roman" w:cs="Times New Roman" w:hint="eastAsia"/>
          <w:sz w:val="24"/>
        </w:rPr>
        <w:t>b</w:t>
      </w:r>
      <w:r>
        <w:rPr>
          <w:rFonts w:ascii="Times New Roman" w:hAnsi="Times New Roman" w:cs="Times New Roman"/>
          <w:sz w:val="24"/>
        </w:rPr>
        <w:t xml:space="preserve">lood </w:t>
      </w:r>
      <w:r>
        <w:rPr>
          <w:rFonts w:ascii="Times New Roman" w:hAnsi="Times New Roman" w:cs="Times New Roman" w:hint="eastAsia"/>
          <w:sz w:val="24"/>
        </w:rPr>
        <w:t>g</w:t>
      </w:r>
      <w:r>
        <w:rPr>
          <w:rFonts w:ascii="Times New Roman" w:hAnsi="Times New Roman" w:cs="Times New Roman"/>
          <w:sz w:val="24"/>
        </w:rPr>
        <w:t xml:space="preserve">as </w:t>
      </w:r>
      <w:r>
        <w:rPr>
          <w:rFonts w:ascii="Times New Roman" w:hAnsi="Times New Roman" w:cs="Times New Roman" w:hint="eastAsia"/>
          <w:sz w:val="24"/>
        </w:rPr>
        <w:t>a</w:t>
      </w:r>
      <w:r>
        <w:rPr>
          <w:rFonts w:ascii="Times New Roman" w:hAnsi="Times New Roman" w:cs="Times New Roman"/>
          <w:sz w:val="24"/>
        </w:rPr>
        <w:t xml:space="preserve">nalysis </w:t>
      </w:r>
      <w:r>
        <w:rPr>
          <w:rFonts w:ascii="Times New Roman" w:hAnsi="Times New Roman" w:cs="Times New Roman" w:hint="eastAsia"/>
          <w:sz w:val="24"/>
        </w:rPr>
        <w:t>i</w:t>
      </w:r>
      <w:r>
        <w:rPr>
          <w:rFonts w:ascii="Times New Roman" w:hAnsi="Times New Roman" w:cs="Times New Roman"/>
          <w:sz w:val="24"/>
        </w:rPr>
        <w:t xml:space="preserve">ndicators </w:t>
      </w:r>
      <w:r>
        <w:rPr>
          <w:rFonts w:ascii="Times New Roman" w:hAnsi="Times New Roman" w:cs="Times New Roman" w:hint="eastAsia"/>
          <w:sz w:val="24"/>
        </w:rPr>
        <w:t>b</w:t>
      </w:r>
      <w:r>
        <w:rPr>
          <w:rFonts w:ascii="Times New Roman" w:hAnsi="Times New Roman" w:cs="Times New Roman"/>
          <w:sz w:val="24"/>
        </w:rPr>
        <w:t xml:space="preserve">etween the </w:t>
      </w:r>
      <w:r>
        <w:rPr>
          <w:rFonts w:ascii="Times New Roman" w:hAnsi="Times New Roman" w:cs="Times New Roman" w:hint="eastAsia"/>
          <w:sz w:val="24"/>
        </w:rPr>
        <w:t>t</w:t>
      </w:r>
      <w:r>
        <w:rPr>
          <w:rFonts w:ascii="Times New Roman" w:hAnsi="Times New Roman" w:cs="Times New Roman"/>
          <w:sz w:val="24"/>
        </w:rPr>
        <w:t xml:space="preserve">wo </w:t>
      </w:r>
      <w:r>
        <w:rPr>
          <w:rFonts w:ascii="Times New Roman" w:hAnsi="Times New Roman" w:cs="Times New Roman" w:hint="eastAsia"/>
          <w:sz w:val="24"/>
        </w:rPr>
        <w:t>g</w:t>
      </w:r>
      <w:r>
        <w:rPr>
          <w:rFonts w:ascii="Times New Roman" w:hAnsi="Times New Roman" w:cs="Times New Roman"/>
          <w:sz w:val="24"/>
        </w:rPr>
        <w:t>roups (</w:t>
      </w:r>
      <w:r>
        <w:rPr>
          <w:rFonts w:ascii="Times New Roman" w:eastAsia="SimSun" w:hAnsi="Times New Roman" w:cs="Times New Roman"/>
          <w:color w:val="0000FF"/>
          <w:position w:val="-6"/>
          <w:sz w:val="24"/>
        </w:rPr>
        <w:object w:dxaOrig="220" w:dyaOrig="270" w14:anchorId="6BE2E60F">
          <v:shape id="_x0000_i1026" type="#_x0000_t75" style="width:10.8pt;height:13.8pt" o:ole="">
            <v:imagedata r:id="rId4" o:title=""/>
          </v:shape>
          <o:OLEObject Type="Embed" ProgID="Equation.DSMT4" ShapeID="_x0000_i1026" DrawAspect="Content" ObjectID="_1853337507" r:id="rId6"/>
        </w:object>
      </w:r>
      <w:r>
        <w:rPr>
          <w:rFonts w:ascii="Times New Roman" w:hAnsi="Times New Roman"/>
          <w:sz w:val="24"/>
        </w:rPr>
        <w:t>± s</w:t>
      </w:r>
      <w:r>
        <w:rPr>
          <w:rFonts w:ascii="Times New Roman" w:hAnsi="Times New Roman" w:cs="Times New Roman"/>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0"/>
        <w:gridCol w:w="1555"/>
        <w:gridCol w:w="1533"/>
        <w:gridCol w:w="1392"/>
        <w:gridCol w:w="1488"/>
      </w:tblGrid>
      <w:tr w:rsidR="00545E9D" w14:paraId="41138271" w14:textId="77777777" w:rsidTr="005B6CE8">
        <w:tc>
          <w:tcPr>
            <w:tcW w:w="3794" w:type="dxa"/>
            <w:tcBorders>
              <w:top w:val="single" w:sz="4" w:space="0" w:color="auto"/>
              <w:bottom w:val="single" w:sz="4" w:space="0" w:color="auto"/>
            </w:tcBorders>
            <w:vAlign w:val="center"/>
          </w:tcPr>
          <w:p w14:paraId="5EF9D2DB" w14:textId="4429A05D" w:rsidR="00545E9D" w:rsidRDefault="00545E9D" w:rsidP="00545E9D">
            <w:pPr>
              <w:snapToGrid w:val="0"/>
              <w:jc w:val="left"/>
              <w:rPr>
                <w:rFonts w:ascii="Times New Roman" w:hAnsi="Times New Roman" w:cs="Times New Roman"/>
                <w:sz w:val="24"/>
              </w:rPr>
            </w:pPr>
            <w:r>
              <w:rPr>
                <w:rFonts w:ascii="Times New Roman" w:eastAsia="Arial, sans-serif" w:hAnsi="Times New Roman" w:cs="Times New Roman"/>
                <w:b/>
                <w:sz w:val="24"/>
              </w:rPr>
              <w:t>Indicator</w:t>
            </w:r>
          </w:p>
        </w:tc>
        <w:tc>
          <w:tcPr>
            <w:tcW w:w="1559" w:type="dxa"/>
            <w:tcBorders>
              <w:top w:val="single" w:sz="4" w:space="0" w:color="auto"/>
              <w:bottom w:val="single" w:sz="4" w:space="0" w:color="auto"/>
            </w:tcBorders>
            <w:vAlign w:val="center"/>
          </w:tcPr>
          <w:p w14:paraId="4A8E1EAF" w14:textId="08FEBE13" w:rsidR="00545E9D" w:rsidRDefault="00545E9D" w:rsidP="00545E9D">
            <w:pPr>
              <w:snapToGrid w:val="0"/>
              <w:jc w:val="center"/>
              <w:rPr>
                <w:rFonts w:ascii="Times New Roman" w:eastAsia="Arial, sans-serif" w:hAnsi="Times New Roman" w:cs="Times New Roman"/>
                <w:b/>
                <w:sz w:val="24"/>
              </w:rPr>
            </w:pPr>
            <w:r>
              <w:rPr>
                <w:rFonts w:ascii="Times New Roman" w:eastAsia="Arial, sans-serif" w:hAnsi="Times New Roman" w:cs="Times New Roman"/>
                <w:b/>
                <w:sz w:val="24"/>
              </w:rPr>
              <w:t>Observation</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group</w:t>
            </w:r>
          </w:p>
          <w:p w14:paraId="311B176B" w14:textId="7B671CE2"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b/>
                <w:sz w:val="24"/>
              </w:rPr>
              <w:t xml:space="preserve"> (</w:t>
            </w:r>
            <w:r>
              <w:rPr>
                <w:rFonts w:ascii="Times New Roman" w:eastAsia="Arial, sans-serif" w:hAnsi="Times New Roman" w:cs="Times New Roman"/>
                <w:b/>
                <w:sz w:val="24"/>
              </w:rPr>
              <w:t>n</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25</w:t>
            </w:r>
            <w:r>
              <w:rPr>
                <w:rFonts w:ascii="Times New Roman" w:eastAsia="Arial, sans-serif" w:hAnsi="Times New Roman" w:cs="Times New Roman"/>
                <w:b/>
                <w:sz w:val="24"/>
              </w:rPr>
              <w:t>)</w:t>
            </w:r>
          </w:p>
        </w:tc>
        <w:tc>
          <w:tcPr>
            <w:tcW w:w="1559" w:type="dxa"/>
            <w:tcBorders>
              <w:top w:val="single" w:sz="4" w:space="0" w:color="auto"/>
              <w:bottom w:val="single" w:sz="4" w:space="0" w:color="auto"/>
            </w:tcBorders>
            <w:vAlign w:val="center"/>
          </w:tcPr>
          <w:p w14:paraId="08B2D42C" w14:textId="67C545EE" w:rsidR="00545E9D" w:rsidRDefault="00545E9D" w:rsidP="00545E9D">
            <w:pPr>
              <w:snapToGrid w:val="0"/>
              <w:jc w:val="center"/>
              <w:rPr>
                <w:rFonts w:ascii="Times New Roman" w:eastAsia="Arial, sans-serif" w:hAnsi="Times New Roman" w:cs="Times New Roman"/>
                <w:b/>
                <w:sz w:val="24"/>
              </w:rPr>
            </w:pPr>
            <w:r>
              <w:rPr>
                <w:rFonts w:ascii="Times New Roman" w:eastAsia="Arial, sans-serif" w:hAnsi="Times New Roman" w:cs="Times New Roman"/>
                <w:b/>
                <w:sz w:val="24"/>
              </w:rPr>
              <w:t>Control</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group</w:t>
            </w:r>
          </w:p>
          <w:p w14:paraId="775E2102" w14:textId="650E1DA4"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b/>
                <w:sz w:val="24"/>
              </w:rPr>
              <w:t>(</w:t>
            </w:r>
            <w:r>
              <w:rPr>
                <w:rFonts w:ascii="Times New Roman" w:eastAsia="Arial, sans-serif" w:hAnsi="Times New Roman" w:cs="Times New Roman"/>
                <w:b/>
                <w:sz w:val="24"/>
              </w:rPr>
              <w:t>n</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w:t>
            </w:r>
            <w:r>
              <w:rPr>
                <w:rFonts w:ascii="Times New Roman" w:eastAsia="Arial, sans-serif" w:hAnsi="Times New Roman" w:cs="Times New Roman"/>
                <w:b/>
                <w:sz w:val="24"/>
              </w:rPr>
              <w:t xml:space="preserve"> </w:t>
            </w:r>
            <w:r>
              <w:rPr>
                <w:rFonts w:ascii="Times New Roman" w:eastAsia="Arial, sans-serif" w:hAnsi="Times New Roman" w:cs="Times New Roman"/>
                <w:b/>
                <w:sz w:val="24"/>
              </w:rPr>
              <w:t>25</w:t>
            </w:r>
            <w:r>
              <w:rPr>
                <w:rFonts w:ascii="Times New Roman" w:eastAsia="Arial, sans-serif" w:hAnsi="Times New Roman" w:cs="Times New Roman"/>
                <w:b/>
                <w:sz w:val="24"/>
              </w:rPr>
              <w:t>)</w:t>
            </w:r>
          </w:p>
        </w:tc>
        <w:tc>
          <w:tcPr>
            <w:tcW w:w="1418" w:type="dxa"/>
            <w:tcBorders>
              <w:top w:val="single" w:sz="4" w:space="0" w:color="auto"/>
              <w:bottom w:val="single" w:sz="4" w:space="0" w:color="auto"/>
            </w:tcBorders>
            <w:vAlign w:val="center"/>
          </w:tcPr>
          <w:p w14:paraId="71255251" w14:textId="7340DF2E" w:rsidR="00545E9D" w:rsidRDefault="00545E9D" w:rsidP="00545E9D">
            <w:pPr>
              <w:snapToGrid w:val="0"/>
              <w:jc w:val="center"/>
              <w:rPr>
                <w:rFonts w:ascii="Times New Roman" w:hAnsi="Times New Roman" w:cs="Times New Roman"/>
                <w:sz w:val="24"/>
              </w:rPr>
            </w:pPr>
            <w:r>
              <w:rPr>
                <w:rFonts w:ascii="Times New Roman" w:eastAsia="SimSun" w:hAnsi="Times New Roman" w:cs="Times New Roman" w:hint="eastAsia"/>
                <w:b/>
                <w:i/>
                <w:iCs/>
                <w:sz w:val="24"/>
              </w:rPr>
              <w:t>t</w:t>
            </w:r>
            <w:r>
              <w:rPr>
                <w:rFonts w:ascii="Times New Roman" w:eastAsia="SimSun" w:hAnsi="Times New Roman" w:cs="Times New Roman" w:hint="eastAsia"/>
                <w:b/>
                <w:sz w:val="24"/>
              </w:rPr>
              <w:t xml:space="preserve"> </w:t>
            </w:r>
            <w:r>
              <w:rPr>
                <w:rFonts w:ascii="Times New Roman" w:eastAsia="Arial, sans-serif" w:hAnsi="Times New Roman" w:cs="Times New Roman"/>
                <w:b/>
                <w:sz w:val="24"/>
              </w:rPr>
              <w:t>value</w:t>
            </w:r>
          </w:p>
        </w:tc>
        <w:tc>
          <w:tcPr>
            <w:tcW w:w="1524" w:type="dxa"/>
            <w:tcBorders>
              <w:top w:val="single" w:sz="4" w:space="0" w:color="auto"/>
              <w:bottom w:val="single" w:sz="4" w:space="0" w:color="auto"/>
            </w:tcBorders>
            <w:vAlign w:val="center"/>
          </w:tcPr>
          <w:p w14:paraId="3FD3F2B9" w14:textId="73157493"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hint="eastAsia"/>
                <w:b/>
                <w:i/>
                <w:iCs/>
                <w:sz w:val="24"/>
              </w:rPr>
              <w:t>p</w:t>
            </w:r>
            <w:r>
              <w:rPr>
                <w:rFonts w:ascii="Times New Roman" w:eastAsia="Arial, sans-serif" w:hAnsi="Times New Roman" w:cs="Times New Roman" w:hint="eastAsia"/>
                <w:b/>
                <w:sz w:val="24"/>
              </w:rPr>
              <w:t xml:space="preserve"> </w:t>
            </w:r>
            <w:r>
              <w:rPr>
                <w:rFonts w:ascii="Times New Roman" w:eastAsia="Arial, sans-serif" w:hAnsi="Times New Roman" w:cs="Times New Roman"/>
                <w:b/>
                <w:sz w:val="24"/>
              </w:rPr>
              <w:t>value</w:t>
            </w:r>
          </w:p>
        </w:tc>
      </w:tr>
      <w:tr w:rsidR="00545E9D" w14:paraId="0166098B" w14:textId="77777777" w:rsidTr="005B6CE8">
        <w:tc>
          <w:tcPr>
            <w:tcW w:w="3794" w:type="dxa"/>
            <w:tcBorders>
              <w:top w:val="single" w:sz="4" w:space="0" w:color="auto"/>
            </w:tcBorders>
            <w:vAlign w:val="center"/>
          </w:tcPr>
          <w:p w14:paraId="247FFDB9" w14:textId="65206937" w:rsidR="00545E9D" w:rsidRDefault="00545E9D" w:rsidP="00545E9D">
            <w:pPr>
              <w:snapToGrid w:val="0"/>
              <w:jc w:val="left"/>
              <w:rPr>
                <w:rFonts w:ascii="Times New Roman" w:hAnsi="Times New Roman" w:cs="Times New Roman"/>
                <w:sz w:val="24"/>
              </w:rPr>
            </w:pPr>
            <w:r>
              <w:rPr>
                <w:rFonts w:ascii="Times New Roman" w:eastAsia="Arial, sans-serif" w:hAnsi="Times New Roman" w:cs="Times New Roman"/>
                <w:sz w:val="24"/>
              </w:rPr>
              <w:t>pH value</w:t>
            </w:r>
          </w:p>
        </w:tc>
        <w:tc>
          <w:tcPr>
            <w:tcW w:w="1559" w:type="dxa"/>
            <w:tcBorders>
              <w:top w:val="single" w:sz="4" w:space="0" w:color="auto"/>
            </w:tcBorders>
            <w:vAlign w:val="center"/>
          </w:tcPr>
          <w:p w14:paraId="5D355F6C" w14:textId="7897A34E"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7.38</w:t>
            </w:r>
            <w:r>
              <w:rPr>
                <w:rFonts w:ascii="Times New Roman" w:eastAsia="Arial, sans-serif" w:hAnsi="Times New Roman" w:cs="Times New Roman"/>
                <w:sz w:val="24"/>
              </w:rPr>
              <w:t xml:space="preserve"> ± </w:t>
            </w:r>
            <w:r>
              <w:rPr>
                <w:rFonts w:ascii="Times New Roman" w:eastAsia="Arial, sans-serif" w:hAnsi="Times New Roman" w:cs="Times New Roman"/>
                <w:sz w:val="24"/>
              </w:rPr>
              <w:t>0.03</w:t>
            </w:r>
          </w:p>
        </w:tc>
        <w:tc>
          <w:tcPr>
            <w:tcW w:w="1559" w:type="dxa"/>
            <w:tcBorders>
              <w:top w:val="single" w:sz="4" w:space="0" w:color="auto"/>
            </w:tcBorders>
            <w:vAlign w:val="center"/>
          </w:tcPr>
          <w:p w14:paraId="639A9B6F" w14:textId="5C26B04F"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7.32</w:t>
            </w:r>
            <w:r>
              <w:rPr>
                <w:rFonts w:ascii="Times New Roman" w:eastAsia="Arial, sans-serif" w:hAnsi="Times New Roman" w:cs="Times New Roman"/>
                <w:sz w:val="24"/>
              </w:rPr>
              <w:t xml:space="preserve"> ± </w:t>
            </w:r>
            <w:r>
              <w:rPr>
                <w:rFonts w:ascii="Times New Roman" w:eastAsia="Arial, sans-serif" w:hAnsi="Times New Roman" w:cs="Times New Roman"/>
                <w:sz w:val="24"/>
              </w:rPr>
              <w:t>0.04</w:t>
            </w:r>
          </w:p>
        </w:tc>
        <w:tc>
          <w:tcPr>
            <w:tcW w:w="1418" w:type="dxa"/>
            <w:tcBorders>
              <w:top w:val="single" w:sz="4" w:space="0" w:color="auto"/>
            </w:tcBorders>
            <w:vAlign w:val="center"/>
          </w:tcPr>
          <w:p w14:paraId="3D49CC10" w14:textId="0940C19E"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5.872</w:t>
            </w:r>
          </w:p>
        </w:tc>
        <w:tc>
          <w:tcPr>
            <w:tcW w:w="1524" w:type="dxa"/>
            <w:tcBorders>
              <w:top w:val="single" w:sz="4" w:space="0" w:color="auto"/>
            </w:tcBorders>
            <w:vAlign w:val="center"/>
          </w:tcPr>
          <w:p w14:paraId="53265A60" w14:textId="3B56F92D"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&lt;</w:t>
            </w:r>
            <w:r>
              <w:rPr>
                <w:rFonts w:ascii="Times New Roman" w:eastAsia="Arial, sans-serif" w:hAnsi="Times New Roman" w:cs="Times New Roman"/>
                <w:sz w:val="24"/>
              </w:rPr>
              <w:t xml:space="preserve"> </w:t>
            </w:r>
            <w:r>
              <w:rPr>
                <w:rFonts w:ascii="Times New Roman" w:eastAsia="Arial, sans-serif" w:hAnsi="Times New Roman" w:cs="Times New Roman"/>
                <w:sz w:val="24"/>
              </w:rPr>
              <w:t>0.001</w:t>
            </w:r>
          </w:p>
        </w:tc>
      </w:tr>
      <w:tr w:rsidR="00545E9D" w14:paraId="11756E2E" w14:textId="77777777" w:rsidTr="005B6CE8">
        <w:tc>
          <w:tcPr>
            <w:tcW w:w="3794" w:type="dxa"/>
            <w:vAlign w:val="center"/>
          </w:tcPr>
          <w:p w14:paraId="4288C5DB" w14:textId="53716992" w:rsidR="00545E9D" w:rsidRDefault="00545E9D" w:rsidP="00545E9D">
            <w:pPr>
              <w:snapToGrid w:val="0"/>
              <w:jc w:val="left"/>
              <w:rPr>
                <w:rFonts w:ascii="Times New Roman" w:hAnsi="Times New Roman" w:cs="Times New Roman"/>
                <w:sz w:val="24"/>
              </w:rPr>
            </w:pPr>
            <w:proofErr w:type="spellStart"/>
            <w:r>
              <w:rPr>
                <w:rFonts w:ascii="Times New Roman" w:eastAsia="Arial, sans-serif" w:hAnsi="Times New Roman" w:cs="Times New Roman"/>
                <w:sz w:val="24"/>
              </w:rPr>
              <w:t>PaO</w:t>
            </w:r>
            <w:proofErr w:type="spellEnd"/>
            <w:r>
              <w:rPr>
                <w:rFonts w:ascii="Times New Roman" w:eastAsia="Arial, sans-serif" w:hAnsi="Times New Roman" w:cs="Times New Roman"/>
                <w:sz w:val="24"/>
              </w:rPr>
              <w:t>₂</w:t>
            </w:r>
            <w:r>
              <w:rPr>
                <w:rFonts w:ascii="Times New Roman" w:eastAsia="Arial, sans-serif" w:hAnsi="Times New Roman" w:cs="Times New Roman"/>
                <w:sz w:val="24"/>
              </w:rPr>
              <w:t xml:space="preserve"> (</w:t>
            </w:r>
            <w:r>
              <w:rPr>
                <w:rFonts w:ascii="Times New Roman" w:eastAsia="Arial, sans-serif" w:hAnsi="Times New Roman" w:cs="Times New Roman"/>
                <w:sz w:val="24"/>
              </w:rPr>
              <w:t>mmHg</w:t>
            </w:r>
            <w:r>
              <w:rPr>
                <w:rFonts w:ascii="Times New Roman" w:eastAsia="Arial, sans-serif" w:hAnsi="Times New Roman" w:cs="Times New Roman"/>
                <w:sz w:val="24"/>
              </w:rPr>
              <w:t>)</w:t>
            </w:r>
          </w:p>
        </w:tc>
        <w:tc>
          <w:tcPr>
            <w:tcW w:w="1559" w:type="dxa"/>
            <w:vAlign w:val="center"/>
          </w:tcPr>
          <w:p w14:paraId="141B2A6B" w14:textId="5B77B28A"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87.64</w:t>
            </w:r>
            <w:r>
              <w:rPr>
                <w:rFonts w:ascii="Times New Roman" w:eastAsia="Arial, sans-serif" w:hAnsi="Times New Roman" w:cs="Times New Roman"/>
                <w:sz w:val="24"/>
              </w:rPr>
              <w:t xml:space="preserve"> ± </w:t>
            </w:r>
            <w:r>
              <w:rPr>
                <w:rFonts w:ascii="Times New Roman" w:eastAsia="Arial, sans-serif" w:hAnsi="Times New Roman" w:cs="Times New Roman"/>
                <w:sz w:val="24"/>
              </w:rPr>
              <w:t>5.21</w:t>
            </w:r>
          </w:p>
        </w:tc>
        <w:tc>
          <w:tcPr>
            <w:tcW w:w="1559" w:type="dxa"/>
            <w:vAlign w:val="center"/>
          </w:tcPr>
          <w:p w14:paraId="7137113A" w14:textId="700DD543"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78.53</w:t>
            </w:r>
            <w:r>
              <w:rPr>
                <w:rFonts w:ascii="Times New Roman" w:eastAsia="Arial, sans-serif" w:hAnsi="Times New Roman" w:cs="Times New Roman"/>
                <w:sz w:val="24"/>
              </w:rPr>
              <w:t xml:space="preserve"> ± </w:t>
            </w:r>
            <w:r>
              <w:rPr>
                <w:rFonts w:ascii="Times New Roman" w:eastAsia="Arial, sans-serif" w:hAnsi="Times New Roman" w:cs="Times New Roman"/>
                <w:sz w:val="24"/>
              </w:rPr>
              <w:t>4.89</w:t>
            </w:r>
          </w:p>
        </w:tc>
        <w:tc>
          <w:tcPr>
            <w:tcW w:w="1418" w:type="dxa"/>
            <w:vAlign w:val="center"/>
          </w:tcPr>
          <w:p w14:paraId="689CCD69" w14:textId="3B303CE6"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6.438</w:t>
            </w:r>
          </w:p>
        </w:tc>
        <w:tc>
          <w:tcPr>
            <w:tcW w:w="1524" w:type="dxa"/>
            <w:vAlign w:val="center"/>
          </w:tcPr>
          <w:p w14:paraId="62813259" w14:textId="179B99CE"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&lt;</w:t>
            </w:r>
            <w:r>
              <w:rPr>
                <w:rFonts w:ascii="Times New Roman" w:eastAsia="Arial, sans-serif" w:hAnsi="Times New Roman" w:cs="Times New Roman"/>
                <w:sz w:val="24"/>
              </w:rPr>
              <w:t xml:space="preserve"> </w:t>
            </w:r>
            <w:r>
              <w:rPr>
                <w:rFonts w:ascii="Times New Roman" w:eastAsia="Arial, sans-serif" w:hAnsi="Times New Roman" w:cs="Times New Roman"/>
                <w:sz w:val="24"/>
              </w:rPr>
              <w:t>0.001</w:t>
            </w:r>
          </w:p>
        </w:tc>
      </w:tr>
      <w:tr w:rsidR="00545E9D" w14:paraId="010CFFDD" w14:textId="77777777" w:rsidTr="005B6CE8">
        <w:tc>
          <w:tcPr>
            <w:tcW w:w="3794" w:type="dxa"/>
            <w:vAlign w:val="center"/>
          </w:tcPr>
          <w:p w14:paraId="61109920" w14:textId="142D522E" w:rsidR="00545E9D" w:rsidRDefault="00545E9D" w:rsidP="00545E9D">
            <w:pPr>
              <w:snapToGrid w:val="0"/>
              <w:jc w:val="left"/>
              <w:rPr>
                <w:rFonts w:ascii="Times New Roman" w:hAnsi="Times New Roman" w:cs="Times New Roman"/>
                <w:sz w:val="24"/>
              </w:rPr>
            </w:pPr>
            <w:proofErr w:type="spellStart"/>
            <w:r>
              <w:rPr>
                <w:rFonts w:ascii="Times New Roman" w:eastAsia="Arial, sans-serif" w:hAnsi="Times New Roman" w:cs="Times New Roman"/>
                <w:sz w:val="24"/>
              </w:rPr>
              <w:t>PaCO</w:t>
            </w:r>
            <w:proofErr w:type="spellEnd"/>
            <w:r>
              <w:rPr>
                <w:rFonts w:ascii="Times New Roman" w:eastAsia="Arial, sans-serif" w:hAnsi="Times New Roman" w:cs="Times New Roman"/>
                <w:sz w:val="24"/>
              </w:rPr>
              <w:t>₂</w:t>
            </w:r>
            <w:r>
              <w:rPr>
                <w:rFonts w:ascii="Times New Roman" w:eastAsia="Arial, sans-serif" w:hAnsi="Times New Roman" w:cs="Times New Roman"/>
                <w:sz w:val="24"/>
              </w:rPr>
              <w:t xml:space="preserve"> (</w:t>
            </w:r>
            <w:r>
              <w:rPr>
                <w:rFonts w:ascii="Times New Roman" w:eastAsia="Arial, sans-serif" w:hAnsi="Times New Roman" w:cs="Times New Roman"/>
                <w:sz w:val="24"/>
              </w:rPr>
              <w:t>mmHg</w:t>
            </w:r>
            <w:r>
              <w:rPr>
                <w:rFonts w:ascii="Times New Roman" w:eastAsia="Arial, sans-serif" w:hAnsi="Times New Roman" w:cs="Times New Roman"/>
                <w:sz w:val="24"/>
              </w:rPr>
              <w:t>)</w:t>
            </w:r>
          </w:p>
        </w:tc>
        <w:tc>
          <w:tcPr>
            <w:tcW w:w="1559" w:type="dxa"/>
            <w:vAlign w:val="center"/>
          </w:tcPr>
          <w:p w14:paraId="54CF463A" w14:textId="773F6617"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38.27</w:t>
            </w:r>
            <w:r>
              <w:rPr>
                <w:rFonts w:ascii="Times New Roman" w:eastAsia="Arial, sans-serif" w:hAnsi="Times New Roman" w:cs="Times New Roman"/>
                <w:sz w:val="24"/>
              </w:rPr>
              <w:t xml:space="preserve"> ± </w:t>
            </w:r>
            <w:r>
              <w:rPr>
                <w:rFonts w:ascii="Times New Roman" w:eastAsia="Arial, sans-serif" w:hAnsi="Times New Roman" w:cs="Times New Roman"/>
                <w:sz w:val="24"/>
              </w:rPr>
              <w:t>2.15</w:t>
            </w:r>
          </w:p>
        </w:tc>
        <w:tc>
          <w:tcPr>
            <w:tcW w:w="1559" w:type="dxa"/>
            <w:vAlign w:val="center"/>
          </w:tcPr>
          <w:p w14:paraId="2EC60499" w14:textId="66FAC3B3"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42.68</w:t>
            </w:r>
            <w:r>
              <w:rPr>
                <w:rFonts w:ascii="Times New Roman" w:eastAsia="Arial, sans-serif" w:hAnsi="Times New Roman" w:cs="Times New Roman"/>
                <w:sz w:val="24"/>
              </w:rPr>
              <w:t xml:space="preserve"> ± </w:t>
            </w:r>
            <w:r>
              <w:rPr>
                <w:rFonts w:ascii="Times New Roman" w:eastAsia="Arial, sans-serif" w:hAnsi="Times New Roman" w:cs="Times New Roman"/>
                <w:sz w:val="24"/>
              </w:rPr>
              <w:t>2.43</w:t>
            </w:r>
          </w:p>
        </w:tc>
        <w:tc>
          <w:tcPr>
            <w:tcW w:w="1418" w:type="dxa"/>
            <w:vAlign w:val="center"/>
          </w:tcPr>
          <w:p w14:paraId="7DAB4023" w14:textId="4C896E16"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1.426</w:t>
            </w:r>
          </w:p>
        </w:tc>
        <w:tc>
          <w:tcPr>
            <w:tcW w:w="1524" w:type="dxa"/>
            <w:vAlign w:val="center"/>
          </w:tcPr>
          <w:p w14:paraId="2DC887C3" w14:textId="78A50985"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0.160</w:t>
            </w:r>
          </w:p>
        </w:tc>
      </w:tr>
      <w:tr w:rsidR="00545E9D" w14:paraId="0E3DE9AE" w14:textId="77777777" w:rsidTr="005B6CE8">
        <w:tc>
          <w:tcPr>
            <w:tcW w:w="3794" w:type="dxa"/>
            <w:tcBorders>
              <w:bottom w:val="single" w:sz="4" w:space="0" w:color="auto"/>
            </w:tcBorders>
            <w:vAlign w:val="center"/>
          </w:tcPr>
          <w:p w14:paraId="6AC0615A" w14:textId="00D08B96" w:rsidR="00545E9D" w:rsidRDefault="00545E9D" w:rsidP="00545E9D">
            <w:pPr>
              <w:snapToGrid w:val="0"/>
              <w:jc w:val="left"/>
              <w:rPr>
                <w:rFonts w:ascii="Times New Roman" w:hAnsi="Times New Roman" w:cs="Times New Roman"/>
                <w:sz w:val="24"/>
              </w:rPr>
            </w:pPr>
            <w:r>
              <w:rPr>
                <w:rFonts w:ascii="Times New Roman" w:eastAsia="Arial, sans-serif" w:hAnsi="Times New Roman" w:cs="Times New Roman"/>
                <w:sz w:val="24"/>
              </w:rPr>
              <w:t>Lactate</w:t>
            </w:r>
            <w:r>
              <w:rPr>
                <w:rFonts w:ascii="Times New Roman" w:eastAsia="Arial, sans-serif" w:hAnsi="Times New Roman" w:cs="Times New Roman"/>
                <w:sz w:val="24"/>
              </w:rPr>
              <w:t xml:space="preserve"> (</w:t>
            </w:r>
            <w:r>
              <w:rPr>
                <w:rFonts w:ascii="Times New Roman" w:eastAsia="Arial, sans-serif" w:hAnsi="Times New Roman" w:cs="Times New Roman"/>
                <w:sz w:val="24"/>
              </w:rPr>
              <w:t>mmol/L</w:t>
            </w:r>
            <w:r>
              <w:rPr>
                <w:rFonts w:ascii="Times New Roman" w:eastAsia="Arial, sans-serif" w:hAnsi="Times New Roman" w:cs="Times New Roman"/>
                <w:sz w:val="24"/>
              </w:rPr>
              <w:t>)</w:t>
            </w:r>
          </w:p>
        </w:tc>
        <w:tc>
          <w:tcPr>
            <w:tcW w:w="1559" w:type="dxa"/>
            <w:tcBorders>
              <w:bottom w:val="single" w:sz="4" w:space="0" w:color="auto"/>
            </w:tcBorders>
            <w:vAlign w:val="center"/>
          </w:tcPr>
          <w:p w14:paraId="7163B001" w14:textId="5B7D0DD2"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2.13</w:t>
            </w:r>
            <w:r>
              <w:rPr>
                <w:rFonts w:ascii="Times New Roman" w:eastAsia="Arial, sans-serif" w:hAnsi="Times New Roman" w:cs="Times New Roman"/>
                <w:sz w:val="24"/>
              </w:rPr>
              <w:t xml:space="preserve"> ± </w:t>
            </w:r>
            <w:r>
              <w:rPr>
                <w:rFonts w:ascii="Times New Roman" w:eastAsia="Arial, sans-serif" w:hAnsi="Times New Roman" w:cs="Times New Roman"/>
                <w:sz w:val="24"/>
              </w:rPr>
              <w:t>0.36</w:t>
            </w:r>
          </w:p>
        </w:tc>
        <w:tc>
          <w:tcPr>
            <w:tcW w:w="1559" w:type="dxa"/>
            <w:tcBorders>
              <w:bottom w:val="single" w:sz="4" w:space="0" w:color="auto"/>
            </w:tcBorders>
            <w:vAlign w:val="center"/>
          </w:tcPr>
          <w:p w14:paraId="18641AC4" w14:textId="6A87127E"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3.47</w:t>
            </w:r>
            <w:r>
              <w:rPr>
                <w:rFonts w:ascii="Times New Roman" w:eastAsia="Arial, sans-serif" w:hAnsi="Times New Roman" w:cs="Times New Roman"/>
                <w:sz w:val="24"/>
              </w:rPr>
              <w:t xml:space="preserve"> ± </w:t>
            </w:r>
            <w:r>
              <w:rPr>
                <w:rFonts w:ascii="Times New Roman" w:eastAsia="Arial, sans-serif" w:hAnsi="Times New Roman" w:cs="Times New Roman"/>
                <w:sz w:val="24"/>
              </w:rPr>
              <w:t>0.52</w:t>
            </w:r>
          </w:p>
        </w:tc>
        <w:tc>
          <w:tcPr>
            <w:tcW w:w="1418" w:type="dxa"/>
            <w:tcBorders>
              <w:bottom w:val="single" w:sz="4" w:space="0" w:color="auto"/>
            </w:tcBorders>
            <w:vAlign w:val="center"/>
          </w:tcPr>
          <w:p w14:paraId="5363832E" w14:textId="7C20AE40"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10.572</w:t>
            </w:r>
          </w:p>
        </w:tc>
        <w:tc>
          <w:tcPr>
            <w:tcW w:w="1524" w:type="dxa"/>
            <w:tcBorders>
              <w:bottom w:val="single" w:sz="4" w:space="0" w:color="auto"/>
            </w:tcBorders>
            <w:vAlign w:val="center"/>
          </w:tcPr>
          <w:p w14:paraId="2BAC5B79" w14:textId="74B996CE" w:rsidR="00545E9D" w:rsidRDefault="00545E9D" w:rsidP="00545E9D">
            <w:pPr>
              <w:snapToGrid w:val="0"/>
              <w:jc w:val="center"/>
              <w:rPr>
                <w:rFonts w:ascii="Times New Roman" w:hAnsi="Times New Roman" w:cs="Times New Roman"/>
                <w:sz w:val="24"/>
              </w:rPr>
            </w:pPr>
            <w:r>
              <w:rPr>
                <w:rFonts w:ascii="Times New Roman" w:eastAsia="Arial, sans-serif" w:hAnsi="Times New Roman" w:cs="Times New Roman"/>
                <w:sz w:val="24"/>
              </w:rPr>
              <w:t>&lt;</w:t>
            </w:r>
            <w:r>
              <w:rPr>
                <w:rFonts w:ascii="Times New Roman" w:eastAsia="Arial, sans-serif" w:hAnsi="Times New Roman" w:cs="Times New Roman"/>
                <w:sz w:val="24"/>
              </w:rPr>
              <w:t xml:space="preserve"> </w:t>
            </w:r>
            <w:r>
              <w:rPr>
                <w:rFonts w:ascii="Times New Roman" w:eastAsia="Arial, sans-serif" w:hAnsi="Times New Roman" w:cs="Times New Roman"/>
                <w:sz w:val="24"/>
              </w:rPr>
              <w:t>0.001</w:t>
            </w:r>
          </w:p>
        </w:tc>
      </w:tr>
    </w:tbl>
    <w:p w14:paraId="6BE2E5B5" w14:textId="77777777" w:rsidR="00820E59" w:rsidRDefault="00820E59" w:rsidP="00B906ED">
      <w:pPr>
        <w:snapToGrid w:val="0"/>
        <w:rPr>
          <w:rFonts w:ascii="Times New Roman" w:hAnsi="Times New Roman" w:cs="Times New Roman"/>
          <w:b/>
          <w:bCs/>
          <w:sz w:val="24"/>
        </w:rPr>
      </w:pPr>
    </w:p>
    <w:p w14:paraId="6BE2E5B6"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3</w:t>
      </w:r>
      <w:r>
        <w:rPr>
          <w:rFonts w:ascii="Times New Roman" w:hAnsi="Times New Roman" w:cs="Times New Roman"/>
          <w:b/>
          <w:bCs/>
          <w:sz w:val="24"/>
        </w:rPr>
        <w:t>.3</w:t>
      </w:r>
      <w:r>
        <w:rPr>
          <w:rFonts w:ascii="Times New Roman" w:hAnsi="Times New Roman" w:cs="Times New Roman" w:hint="eastAsia"/>
          <w:b/>
          <w:bCs/>
          <w:sz w:val="24"/>
        </w:rPr>
        <w:t>.</w:t>
      </w:r>
      <w:r>
        <w:rPr>
          <w:rFonts w:ascii="Times New Roman" w:hAnsi="Times New Roman" w:cs="Times New Roman"/>
          <w:b/>
          <w:bCs/>
          <w:sz w:val="24"/>
        </w:rPr>
        <w:t xml:space="preserve"> Comparison of </w:t>
      </w:r>
      <w:r>
        <w:rPr>
          <w:rFonts w:ascii="Times New Roman" w:hAnsi="Times New Roman" w:cs="Times New Roman" w:hint="eastAsia"/>
          <w:b/>
          <w:bCs/>
          <w:sz w:val="24"/>
        </w:rPr>
        <w:t>i</w:t>
      </w:r>
      <w:r>
        <w:rPr>
          <w:rFonts w:ascii="Times New Roman" w:hAnsi="Times New Roman" w:cs="Times New Roman"/>
          <w:b/>
          <w:bCs/>
          <w:sz w:val="24"/>
        </w:rPr>
        <w:t xml:space="preserve">nflammatory </w:t>
      </w:r>
      <w:r>
        <w:rPr>
          <w:rFonts w:ascii="Times New Roman" w:hAnsi="Times New Roman" w:cs="Times New Roman" w:hint="eastAsia"/>
          <w:b/>
          <w:bCs/>
          <w:sz w:val="24"/>
        </w:rPr>
        <w:t>f</w:t>
      </w:r>
      <w:r>
        <w:rPr>
          <w:rFonts w:ascii="Times New Roman" w:hAnsi="Times New Roman" w:cs="Times New Roman"/>
          <w:b/>
          <w:bCs/>
          <w:sz w:val="24"/>
        </w:rPr>
        <w:t xml:space="preserve">actor </w:t>
      </w:r>
      <w:r>
        <w:rPr>
          <w:rFonts w:ascii="Times New Roman" w:hAnsi="Times New Roman" w:cs="Times New Roman" w:hint="eastAsia"/>
          <w:b/>
          <w:bCs/>
          <w:sz w:val="24"/>
        </w:rPr>
        <w:t>i</w:t>
      </w:r>
      <w:r>
        <w:rPr>
          <w:rFonts w:ascii="Times New Roman" w:hAnsi="Times New Roman" w:cs="Times New Roman"/>
          <w:b/>
          <w:bCs/>
          <w:sz w:val="24"/>
        </w:rPr>
        <w:t xml:space="preserve">ndicators </w:t>
      </w:r>
      <w:r>
        <w:rPr>
          <w:rFonts w:ascii="Times New Roman" w:hAnsi="Times New Roman" w:cs="Times New Roman" w:hint="eastAsia"/>
          <w:b/>
          <w:bCs/>
          <w:sz w:val="24"/>
        </w:rPr>
        <w:t>b</w:t>
      </w:r>
      <w:r>
        <w:rPr>
          <w:rFonts w:ascii="Times New Roman" w:hAnsi="Times New Roman" w:cs="Times New Roman"/>
          <w:b/>
          <w:bCs/>
          <w:sz w:val="24"/>
        </w:rPr>
        <w:t xml:space="preserve">etween the </w:t>
      </w:r>
      <w:r>
        <w:rPr>
          <w:rFonts w:ascii="Times New Roman" w:hAnsi="Times New Roman" w:cs="Times New Roman" w:hint="eastAsia"/>
          <w:b/>
          <w:bCs/>
          <w:sz w:val="24"/>
        </w:rPr>
        <w:t>t</w:t>
      </w:r>
      <w:r>
        <w:rPr>
          <w:rFonts w:ascii="Times New Roman" w:hAnsi="Times New Roman" w:cs="Times New Roman"/>
          <w:b/>
          <w:bCs/>
          <w:sz w:val="24"/>
        </w:rPr>
        <w:t xml:space="preserve">wo </w:t>
      </w:r>
      <w:r>
        <w:rPr>
          <w:rFonts w:ascii="Times New Roman" w:hAnsi="Times New Roman" w:cs="Times New Roman" w:hint="eastAsia"/>
          <w:b/>
          <w:bCs/>
          <w:sz w:val="24"/>
        </w:rPr>
        <w:t>g</w:t>
      </w:r>
      <w:r>
        <w:rPr>
          <w:rFonts w:ascii="Times New Roman" w:hAnsi="Times New Roman" w:cs="Times New Roman"/>
          <w:b/>
          <w:bCs/>
          <w:sz w:val="24"/>
        </w:rPr>
        <w:t>roups</w:t>
      </w:r>
    </w:p>
    <w:p w14:paraId="6BE2E5B7" w14:textId="4EB53679"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At 24h after intervention, cubital venous blood was collected from patients in both groups for detection of inflammatory factor-related indicators. Verified by independent samples </w:t>
      </w:r>
      <w:r>
        <w:rPr>
          <w:rFonts w:ascii="Times New Roman" w:hAnsi="Times New Roman" w:cs="Times New Roman"/>
          <w:i/>
          <w:iCs/>
          <w:sz w:val="24"/>
        </w:rPr>
        <w:t>t</w:t>
      </w:r>
      <w:r>
        <w:rPr>
          <w:rFonts w:ascii="Times New Roman" w:hAnsi="Times New Roman" w:cs="Times New Roman"/>
          <w:sz w:val="24"/>
        </w:rPr>
        <w:t>-test, the differences in TNF-α and IL-6 levels between groups were statistically significant, with the observation group lower than the control group; there was no statistically significant difference in IL-1β between groups.</w:t>
      </w:r>
      <w:r w:rsidR="008A6179">
        <w:rPr>
          <w:rFonts w:ascii="Times New Roman" w:hAnsi="Times New Roman" w:cs="Times New Roman"/>
          <w:sz w:val="24"/>
        </w:rPr>
        <w:t xml:space="preserve"> (</w:t>
      </w:r>
      <w:r w:rsidR="008A6179" w:rsidRPr="00B906ED">
        <w:rPr>
          <w:rFonts w:ascii="Times New Roman" w:hAnsi="Times New Roman" w:cs="Times New Roman"/>
          <w:b/>
          <w:bCs/>
          <w:sz w:val="24"/>
        </w:rPr>
        <w:t>Table 3</w:t>
      </w:r>
      <w:r w:rsidR="008A6179">
        <w:rPr>
          <w:rFonts w:ascii="Times New Roman" w:hAnsi="Times New Roman" w:cs="Times New Roman"/>
          <w:sz w:val="24"/>
        </w:rPr>
        <w:t>)</w:t>
      </w:r>
    </w:p>
    <w:p w14:paraId="6BE2E5B8" w14:textId="77777777" w:rsidR="00820E59" w:rsidRDefault="00820E59" w:rsidP="00B906ED">
      <w:pPr>
        <w:snapToGrid w:val="0"/>
        <w:rPr>
          <w:rFonts w:ascii="Times New Roman" w:hAnsi="Times New Roman" w:cs="Times New Roman"/>
          <w:sz w:val="24"/>
        </w:rPr>
      </w:pPr>
    </w:p>
    <w:p w14:paraId="6BE2E5B9" w14:textId="77777777" w:rsidR="00820E59" w:rsidRDefault="00000000" w:rsidP="00DA16F7">
      <w:pPr>
        <w:snapToGrid w:val="0"/>
        <w:rPr>
          <w:rFonts w:ascii="Times New Roman" w:hAnsi="Times New Roman" w:cs="Times New Roman"/>
          <w:sz w:val="24"/>
        </w:rPr>
      </w:pPr>
      <w:r>
        <w:rPr>
          <w:rFonts w:ascii="Times New Roman" w:hAnsi="Times New Roman" w:cs="Times New Roman"/>
          <w:b/>
          <w:bCs/>
          <w:sz w:val="24"/>
        </w:rPr>
        <w:t xml:space="preserve">Table 3. </w:t>
      </w:r>
      <w:r>
        <w:rPr>
          <w:rFonts w:ascii="Times New Roman" w:hAnsi="Times New Roman" w:cs="Times New Roman"/>
          <w:sz w:val="24"/>
        </w:rPr>
        <w:t xml:space="preserve">Comparison of </w:t>
      </w:r>
      <w:r>
        <w:rPr>
          <w:rFonts w:ascii="Times New Roman" w:hAnsi="Times New Roman" w:cs="Times New Roman" w:hint="eastAsia"/>
          <w:sz w:val="24"/>
        </w:rPr>
        <w:t>i</w:t>
      </w:r>
      <w:r>
        <w:rPr>
          <w:rFonts w:ascii="Times New Roman" w:hAnsi="Times New Roman" w:cs="Times New Roman"/>
          <w:sz w:val="24"/>
        </w:rPr>
        <w:t xml:space="preserve">nflammatory </w:t>
      </w:r>
      <w:r>
        <w:rPr>
          <w:rFonts w:ascii="Times New Roman" w:hAnsi="Times New Roman" w:cs="Times New Roman" w:hint="eastAsia"/>
          <w:sz w:val="24"/>
        </w:rPr>
        <w:t>f</w:t>
      </w:r>
      <w:r>
        <w:rPr>
          <w:rFonts w:ascii="Times New Roman" w:hAnsi="Times New Roman" w:cs="Times New Roman"/>
          <w:sz w:val="24"/>
        </w:rPr>
        <w:t xml:space="preserve">actor </w:t>
      </w:r>
      <w:r>
        <w:rPr>
          <w:rFonts w:ascii="Times New Roman" w:hAnsi="Times New Roman" w:cs="Times New Roman" w:hint="eastAsia"/>
          <w:sz w:val="24"/>
        </w:rPr>
        <w:t>i</w:t>
      </w:r>
      <w:r>
        <w:rPr>
          <w:rFonts w:ascii="Times New Roman" w:hAnsi="Times New Roman" w:cs="Times New Roman"/>
          <w:sz w:val="24"/>
        </w:rPr>
        <w:t xml:space="preserve">ndicators </w:t>
      </w:r>
      <w:r>
        <w:rPr>
          <w:rFonts w:ascii="Times New Roman" w:hAnsi="Times New Roman" w:cs="Times New Roman" w:hint="eastAsia"/>
          <w:sz w:val="24"/>
        </w:rPr>
        <w:t>b</w:t>
      </w:r>
      <w:r>
        <w:rPr>
          <w:rFonts w:ascii="Times New Roman" w:hAnsi="Times New Roman" w:cs="Times New Roman"/>
          <w:sz w:val="24"/>
        </w:rPr>
        <w:t xml:space="preserve">etween the </w:t>
      </w:r>
      <w:r>
        <w:rPr>
          <w:rFonts w:ascii="Times New Roman" w:hAnsi="Times New Roman" w:cs="Times New Roman" w:hint="eastAsia"/>
          <w:sz w:val="24"/>
        </w:rPr>
        <w:t>t</w:t>
      </w:r>
      <w:r>
        <w:rPr>
          <w:rFonts w:ascii="Times New Roman" w:hAnsi="Times New Roman" w:cs="Times New Roman"/>
          <w:sz w:val="24"/>
        </w:rPr>
        <w:t xml:space="preserve">wo </w:t>
      </w:r>
      <w:r>
        <w:rPr>
          <w:rFonts w:ascii="Times New Roman" w:hAnsi="Times New Roman" w:cs="Times New Roman" w:hint="eastAsia"/>
          <w:sz w:val="24"/>
        </w:rPr>
        <w:t>g</w:t>
      </w:r>
      <w:r>
        <w:rPr>
          <w:rFonts w:ascii="Times New Roman" w:hAnsi="Times New Roman" w:cs="Times New Roman"/>
          <w:sz w:val="24"/>
        </w:rPr>
        <w:t>roups (</w:t>
      </w:r>
      <w:r>
        <w:rPr>
          <w:rFonts w:ascii="Times New Roman" w:eastAsia="SimSun" w:hAnsi="Times New Roman" w:cs="Times New Roman"/>
          <w:color w:val="0000FF"/>
          <w:position w:val="-6"/>
          <w:sz w:val="24"/>
        </w:rPr>
        <w:object w:dxaOrig="220" w:dyaOrig="270" w14:anchorId="6BE2E610">
          <v:shape id="_x0000_i1027" type="#_x0000_t75" style="width:10.8pt;height:13.8pt" o:ole="">
            <v:imagedata r:id="rId4" o:title=""/>
          </v:shape>
          <o:OLEObject Type="Embed" ProgID="Equation.DSMT4" ShapeID="_x0000_i1027" DrawAspect="Content" ObjectID="_1853337508" r:id="rId7"/>
        </w:object>
      </w:r>
      <w:r>
        <w:rPr>
          <w:rFonts w:ascii="Times New Roman" w:hAnsi="Times New Roman"/>
          <w:sz w:val="24"/>
        </w:rPr>
        <w:t>± s</w:t>
      </w:r>
      <w:r>
        <w:rPr>
          <w:rFonts w:ascii="Times New Roman" w:hAnsi="Times New Roman" w:cs="Times New Roman"/>
          <w:sz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804"/>
        <w:gridCol w:w="1804"/>
        <w:gridCol w:w="1640"/>
      </w:tblGrid>
      <w:tr w:rsidR="00DC532C" w14:paraId="5F2DD00E" w14:textId="77777777" w:rsidTr="00B906ED">
        <w:tc>
          <w:tcPr>
            <w:tcW w:w="2277" w:type="pct"/>
            <w:tcBorders>
              <w:top w:val="single" w:sz="4" w:space="0" w:color="auto"/>
              <w:bottom w:val="single" w:sz="4" w:space="0" w:color="auto"/>
            </w:tcBorders>
            <w:vAlign w:val="center"/>
          </w:tcPr>
          <w:p w14:paraId="2022AF3D" w14:textId="3F228097" w:rsidR="00DC532C" w:rsidRDefault="00DC532C" w:rsidP="00DC532C">
            <w:pPr>
              <w:snapToGrid w:val="0"/>
              <w:jc w:val="left"/>
              <w:rPr>
                <w:rFonts w:ascii="Times New Roman" w:hAnsi="Times New Roman" w:cs="Times New Roman"/>
                <w:sz w:val="24"/>
              </w:rPr>
            </w:pPr>
            <w:r>
              <w:rPr>
                <w:rFonts w:ascii="Times New Roman" w:hAnsi="Times New Roman" w:cs="Times New Roman"/>
                <w:b/>
                <w:sz w:val="24"/>
              </w:rPr>
              <w:t>Group/Statistic</w:t>
            </w:r>
          </w:p>
        </w:tc>
        <w:tc>
          <w:tcPr>
            <w:tcW w:w="936" w:type="pct"/>
            <w:tcBorders>
              <w:top w:val="single" w:sz="4" w:space="0" w:color="auto"/>
              <w:bottom w:val="single" w:sz="4" w:space="0" w:color="auto"/>
            </w:tcBorders>
            <w:vAlign w:val="center"/>
          </w:tcPr>
          <w:p w14:paraId="6DA98994" w14:textId="54620178" w:rsidR="00DC532C" w:rsidRDefault="00DC532C" w:rsidP="00DC532C">
            <w:pPr>
              <w:snapToGrid w:val="0"/>
              <w:jc w:val="center"/>
              <w:rPr>
                <w:rFonts w:ascii="Times New Roman" w:hAnsi="Times New Roman" w:cs="Times New Roman"/>
                <w:sz w:val="24"/>
              </w:rPr>
            </w:pPr>
            <w:r>
              <w:rPr>
                <w:rFonts w:ascii="Times New Roman" w:hAnsi="Times New Roman" w:cs="Times New Roman"/>
                <w:b/>
                <w:sz w:val="24"/>
              </w:rPr>
              <w:t>TNF-α</w:t>
            </w:r>
          </w:p>
        </w:tc>
        <w:tc>
          <w:tcPr>
            <w:tcW w:w="936" w:type="pct"/>
            <w:tcBorders>
              <w:top w:val="single" w:sz="4" w:space="0" w:color="auto"/>
              <w:bottom w:val="single" w:sz="4" w:space="0" w:color="auto"/>
            </w:tcBorders>
            <w:vAlign w:val="center"/>
          </w:tcPr>
          <w:p w14:paraId="1C0FEB7A" w14:textId="7A2114DA" w:rsidR="00DC532C" w:rsidRDefault="00DC532C" w:rsidP="00DC532C">
            <w:pPr>
              <w:snapToGrid w:val="0"/>
              <w:jc w:val="center"/>
              <w:rPr>
                <w:rFonts w:ascii="Times New Roman" w:hAnsi="Times New Roman" w:cs="Times New Roman"/>
                <w:sz w:val="24"/>
              </w:rPr>
            </w:pPr>
            <w:r>
              <w:rPr>
                <w:rFonts w:ascii="Times New Roman" w:hAnsi="Times New Roman" w:cs="Times New Roman"/>
                <w:b/>
                <w:sz w:val="24"/>
              </w:rPr>
              <w:t>IL-6</w:t>
            </w:r>
          </w:p>
        </w:tc>
        <w:tc>
          <w:tcPr>
            <w:tcW w:w="851" w:type="pct"/>
            <w:tcBorders>
              <w:top w:val="single" w:sz="4" w:space="0" w:color="auto"/>
              <w:bottom w:val="single" w:sz="4" w:space="0" w:color="auto"/>
            </w:tcBorders>
            <w:vAlign w:val="center"/>
          </w:tcPr>
          <w:p w14:paraId="29C972C6" w14:textId="3785F4BA" w:rsidR="00DC532C" w:rsidRDefault="00DC532C" w:rsidP="00DC532C">
            <w:pPr>
              <w:snapToGrid w:val="0"/>
              <w:jc w:val="center"/>
              <w:rPr>
                <w:rFonts w:ascii="Times New Roman" w:hAnsi="Times New Roman" w:cs="Times New Roman"/>
                <w:sz w:val="24"/>
              </w:rPr>
            </w:pPr>
            <w:r>
              <w:rPr>
                <w:rFonts w:ascii="Times New Roman" w:hAnsi="Times New Roman" w:cs="Times New Roman"/>
                <w:b/>
                <w:sz w:val="24"/>
              </w:rPr>
              <w:t>IL-1β</w:t>
            </w:r>
          </w:p>
        </w:tc>
      </w:tr>
      <w:tr w:rsidR="00DC532C" w14:paraId="56A64E0B" w14:textId="77777777" w:rsidTr="00B906ED">
        <w:tc>
          <w:tcPr>
            <w:tcW w:w="2277" w:type="pct"/>
            <w:tcBorders>
              <w:top w:val="single" w:sz="4" w:space="0" w:color="auto"/>
            </w:tcBorders>
            <w:vAlign w:val="center"/>
          </w:tcPr>
          <w:p w14:paraId="7B93A277" w14:textId="4AA82A3D" w:rsidR="00DC532C" w:rsidRDefault="00DC532C" w:rsidP="00DC532C">
            <w:pPr>
              <w:snapToGrid w:val="0"/>
              <w:jc w:val="left"/>
              <w:rPr>
                <w:rFonts w:ascii="Times New Roman" w:hAnsi="Times New Roman" w:cs="Times New Roman"/>
                <w:sz w:val="24"/>
              </w:rPr>
            </w:pPr>
            <w:r>
              <w:rPr>
                <w:rFonts w:ascii="Times New Roman" w:hAnsi="Times New Roman" w:cs="Times New Roman"/>
                <w:sz w:val="24"/>
              </w:rPr>
              <w:t>Observation group</w:t>
            </w:r>
            <w:r>
              <w:rPr>
                <w:rFonts w:ascii="Times New Roman" w:hAnsi="Times New Roman" w:cs="Times New Roman"/>
                <w:sz w:val="24"/>
              </w:rPr>
              <w:t xml:space="preserve"> (</w:t>
            </w:r>
            <w:r>
              <w:rPr>
                <w:rFonts w:ascii="Times New Roman" w:hAnsi="Times New Roman" w:cs="Times New Roman"/>
                <w:sz w:val="24"/>
              </w:rPr>
              <w:t>n</w:t>
            </w:r>
            <w:r>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25</w:t>
            </w:r>
            <w:r>
              <w:rPr>
                <w:rFonts w:ascii="Times New Roman" w:hAnsi="Times New Roman" w:cs="Times New Roman"/>
                <w:sz w:val="24"/>
              </w:rPr>
              <w:t>)</w:t>
            </w:r>
          </w:p>
        </w:tc>
        <w:tc>
          <w:tcPr>
            <w:tcW w:w="936" w:type="pct"/>
            <w:tcBorders>
              <w:top w:val="single" w:sz="4" w:space="0" w:color="auto"/>
            </w:tcBorders>
            <w:vAlign w:val="center"/>
          </w:tcPr>
          <w:p w14:paraId="69CCB952" w14:textId="15B607C0"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18.52</w:t>
            </w:r>
            <w:r w:rsidR="006F0258">
              <w:rPr>
                <w:rFonts w:ascii="Times New Roman" w:hAnsi="Times New Roman" w:cs="Times New Roman"/>
                <w:sz w:val="24"/>
              </w:rPr>
              <w:t xml:space="preserve"> ± </w:t>
            </w:r>
            <w:r>
              <w:rPr>
                <w:rFonts w:ascii="Times New Roman" w:hAnsi="Times New Roman" w:cs="Times New Roman"/>
                <w:sz w:val="24"/>
              </w:rPr>
              <w:t>3.14</w:t>
            </w:r>
          </w:p>
        </w:tc>
        <w:tc>
          <w:tcPr>
            <w:tcW w:w="936" w:type="pct"/>
            <w:tcBorders>
              <w:top w:val="single" w:sz="4" w:space="0" w:color="auto"/>
            </w:tcBorders>
            <w:vAlign w:val="center"/>
          </w:tcPr>
          <w:p w14:paraId="6DEE75FF" w14:textId="4AA2E630"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22.47</w:t>
            </w:r>
            <w:r w:rsidR="006F0258">
              <w:rPr>
                <w:rFonts w:ascii="Times New Roman" w:hAnsi="Times New Roman" w:cs="Times New Roman"/>
                <w:sz w:val="24"/>
              </w:rPr>
              <w:t xml:space="preserve"> ± </w:t>
            </w:r>
            <w:r>
              <w:rPr>
                <w:rFonts w:ascii="Times New Roman" w:hAnsi="Times New Roman" w:cs="Times New Roman"/>
                <w:sz w:val="24"/>
              </w:rPr>
              <w:t>3.56</w:t>
            </w:r>
          </w:p>
        </w:tc>
        <w:tc>
          <w:tcPr>
            <w:tcW w:w="851" w:type="pct"/>
            <w:tcBorders>
              <w:top w:val="single" w:sz="4" w:space="0" w:color="auto"/>
            </w:tcBorders>
            <w:vAlign w:val="center"/>
          </w:tcPr>
          <w:p w14:paraId="7031B776" w14:textId="6414D1B0"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8.26</w:t>
            </w:r>
            <w:r w:rsidR="006F0258">
              <w:rPr>
                <w:rFonts w:ascii="Times New Roman" w:hAnsi="Times New Roman" w:cs="Times New Roman"/>
                <w:sz w:val="24"/>
              </w:rPr>
              <w:t xml:space="preserve"> ± </w:t>
            </w:r>
            <w:r>
              <w:rPr>
                <w:rFonts w:ascii="Times New Roman" w:hAnsi="Times New Roman" w:cs="Times New Roman"/>
                <w:sz w:val="24"/>
              </w:rPr>
              <w:t>1.24</w:t>
            </w:r>
          </w:p>
        </w:tc>
      </w:tr>
      <w:tr w:rsidR="00DC532C" w14:paraId="7A924785" w14:textId="77777777" w:rsidTr="00B906ED">
        <w:tc>
          <w:tcPr>
            <w:tcW w:w="2277" w:type="pct"/>
            <w:vAlign w:val="center"/>
          </w:tcPr>
          <w:p w14:paraId="450CED70" w14:textId="2FAA2767" w:rsidR="00DC532C" w:rsidRDefault="00DC532C" w:rsidP="00DC532C">
            <w:pPr>
              <w:snapToGrid w:val="0"/>
              <w:jc w:val="left"/>
              <w:rPr>
                <w:rFonts w:ascii="Times New Roman" w:hAnsi="Times New Roman" w:cs="Times New Roman"/>
                <w:sz w:val="24"/>
              </w:rPr>
            </w:pPr>
            <w:r>
              <w:rPr>
                <w:rFonts w:ascii="Times New Roman" w:hAnsi="Times New Roman" w:cs="Times New Roman"/>
                <w:sz w:val="24"/>
              </w:rPr>
              <w:t>Control group</w:t>
            </w:r>
            <w:r w:rsidR="006F0258">
              <w:rPr>
                <w:rFonts w:ascii="Times New Roman" w:hAnsi="Times New Roman" w:cs="Times New Roman"/>
                <w:sz w:val="24"/>
              </w:rPr>
              <w:t xml:space="preserve"> (</w:t>
            </w:r>
            <w:r>
              <w:rPr>
                <w:rFonts w:ascii="Times New Roman" w:hAnsi="Times New Roman" w:cs="Times New Roman"/>
                <w:sz w:val="24"/>
              </w:rPr>
              <w:t>n</w:t>
            </w:r>
            <w:r w:rsidR="006F0258">
              <w:rPr>
                <w:rFonts w:ascii="Times New Roman" w:hAnsi="Times New Roman" w:cs="Times New Roman"/>
                <w:sz w:val="24"/>
              </w:rPr>
              <w:t xml:space="preserve"> </w:t>
            </w:r>
            <w:r>
              <w:rPr>
                <w:rFonts w:ascii="Times New Roman" w:hAnsi="Times New Roman" w:cs="Times New Roman"/>
                <w:sz w:val="24"/>
              </w:rPr>
              <w:t>=</w:t>
            </w:r>
            <w:r w:rsidR="006F0258">
              <w:rPr>
                <w:rFonts w:ascii="Times New Roman" w:hAnsi="Times New Roman" w:cs="Times New Roman"/>
                <w:sz w:val="24"/>
              </w:rPr>
              <w:t xml:space="preserve"> </w:t>
            </w:r>
            <w:r>
              <w:rPr>
                <w:rFonts w:ascii="Times New Roman" w:hAnsi="Times New Roman" w:cs="Times New Roman"/>
                <w:sz w:val="24"/>
              </w:rPr>
              <w:t>25</w:t>
            </w:r>
            <w:r w:rsidR="006F0258">
              <w:rPr>
                <w:rFonts w:ascii="Times New Roman" w:hAnsi="Times New Roman" w:cs="Times New Roman"/>
                <w:sz w:val="24"/>
              </w:rPr>
              <w:t>)</w:t>
            </w:r>
          </w:p>
        </w:tc>
        <w:tc>
          <w:tcPr>
            <w:tcW w:w="936" w:type="pct"/>
            <w:vAlign w:val="center"/>
          </w:tcPr>
          <w:p w14:paraId="1BFDBBAE" w14:textId="303CE729"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32.65</w:t>
            </w:r>
            <w:r w:rsidR="006F0258">
              <w:rPr>
                <w:rFonts w:ascii="Times New Roman" w:hAnsi="Times New Roman" w:cs="Times New Roman"/>
                <w:sz w:val="24"/>
              </w:rPr>
              <w:t xml:space="preserve"> ± </w:t>
            </w:r>
            <w:r>
              <w:rPr>
                <w:rFonts w:ascii="Times New Roman" w:hAnsi="Times New Roman" w:cs="Times New Roman"/>
                <w:sz w:val="24"/>
              </w:rPr>
              <w:t>4.72</w:t>
            </w:r>
          </w:p>
        </w:tc>
        <w:tc>
          <w:tcPr>
            <w:tcW w:w="936" w:type="pct"/>
            <w:vAlign w:val="center"/>
          </w:tcPr>
          <w:p w14:paraId="7015BB74" w14:textId="6EDB289A"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38.79</w:t>
            </w:r>
            <w:r w:rsidR="006F0258">
              <w:rPr>
                <w:rFonts w:ascii="Times New Roman" w:hAnsi="Times New Roman" w:cs="Times New Roman"/>
                <w:sz w:val="24"/>
              </w:rPr>
              <w:t xml:space="preserve"> ± </w:t>
            </w:r>
            <w:r>
              <w:rPr>
                <w:rFonts w:ascii="Times New Roman" w:hAnsi="Times New Roman" w:cs="Times New Roman"/>
                <w:sz w:val="24"/>
              </w:rPr>
              <w:t>4.21</w:t>
            </w:r>
          </w:p>
        </w:tc>
        <w:tc>
          <w:tcPr>
            <w:tcW w:w="851" w:type="pct"/>
            <w:vAlign w:val="center"/>
          </w:tcPr>
          <w:p w14:paraId="0CC548A8" w14:textId="7C6D816A"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15.73</w:t>
            </w:r>
            <w:r w:rsidR="006F0258">
              <w:rPr>
                <w:rFonts w:ascii="Times New Roman" w:hAnsi="Times New Roman" w:cs="Times New Roman"/>
                <w:sz w:val="24"/>
              </w:rPr>
              <w:t xml:space="preserve"> ± </w:t>
            </w:r>
            <w:r>
              <w:rPr>
                <w:rFonts w:ascii="Times New Roman" w:hAnsi="Times New Roman" w:cs="Times New Roman"/>
                <w:sz w:val="24"/>
              </w:rPr>
              <w:t>1.85</w:t>
            </w:r>
          </w:p>
        </w:tc>
      </w:tr>
      <w:tr w:rsidR="00DC532C" w14:paraId="29F87062" w14:textId="77777777" w:rsidTr="00B906ED">
        <w:tc>
          <w:tcPr>
            <w:tcW w:w="2277" w:type="pct"/>
            <w:vAlign w:val="center"/>
          </w:tcPr>
          <w:p w14:paraId="58CEA4B0" w14:textId="6C9FF814" w:rsidR="00DC532C" w:rsidRDefault="00DC532C" w:rsidP="00DC532C">
            <w:pPr>
              <w:snapToGrid w:val="0"/>
              <w:jc w:val="left"/>
              <w:rPr>
                <w:rFonts w:ascii="Times New Roman" w:hAnsi="Times New Roman" w:cs="Times New Roman"/>
                <w:sz w:val="24"/>
              </w:rPr>
            </w:pPr>
            <w:r>
              <w:rPr>
                <w:rFonts w:ascii="Times New Roman" w:hAnsi="Times New Roman" w:cs="Times New Roman"/>
                <w:i/>
                <w:iCs/>
                <w:sz w:val="24"/>
              </w:rPr>
              <w:t>t</w:t>
            </w:r>
          </w:p>
        </w:tc>
        <w:tc>
          <w:tcPr>
            <w:tcW w:w="936" w:type="pct"/>
            <w:vAlign w:val="center"/>
          </w:tcPr>
          <w:p w14:paraId="0A90D905" w14:textId="399FDDC1"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12.478</w:t>
            </w:r>
          </w:p>
        </w:tc>
        <w:tc>
          <w:tcPr>
            <w:tcW w:w="936" w:type="pct"/>
            <w:vAlign w:val="center"/>
          </w:tcPr>
          <w:p w14:paraId="71E24990" w14:textId="54B99345"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14.863</w:t>
            </w:r>
          </w:p>
        </w:tc>
        <w:tc>
          <w:tcPr>
            <w:tcW w:w="851" w:type="pct"/>
            <w:vAlign w:val="center"/>
          </w:tcPr>
          <w:p w14:paraId="112D14B9" w14:textId="16CF5E47"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1.426</w:t>
            </w:r>
          </w:p>
        </w:tc>
      </w:tr>
      <w:tr w:rsidR="00DC532C" w14:paraId="45EFD458" w14:textId="77777777" w:rsidTr="00B906ED">
        <w:tc>
          <w:tcPr>
            <w:tcW w:w="2277" w:type="pct"/>
            <w:tcBorders>
              <w:bottom w:val="single" w:sz="4" w:space="0" w:color="auto"/>
            </w:tcBorders>
            <w:vAlign w:val="center"/>
          </w:tcPr>
          <w:p w14:paraId="3AFC3818" w14:textId="0D030E1F" w:rsidR="00DC532C" w:rsidRDefault="00DC532C" w:rsidP="00DC532C">
            <w:pPr>
              <w:snapToGrid w:val="0"/>
              <w:jc w:val="left"/>
              <w:rPr>
                <w:rFonts w:ascii="Times New Roman" w:hAnsi="Times New Roman" w:cs="Times New Roman"/>
                <w:sz w:val="24"/>
              </w:rPr>
            </w:pPr>
            <w:r>
              <w:rPr>
                <w:rFonts w:ascii="Times New Roman" w:hAnsi="Times New Roman" w:cs="Times New Roman" w:hint="eastAsia"/>
                <w:i/>
                <w:iCs/>
                <w:sz w:val="24"/>
              </w:rPr>
              <w:t>p</w:t>
            </w:r>
          </w:p>
        </w:tc>
        <w:tc>
          <w:tcPr>
            <w:tcW w:w="936" w:type="pct"/>
            <w:tcBorders>
              <w:bottom w:val="single" w:sz="4" w:space="0" w:color="auto"/>
            </w:tcBorders>
            <w:vAlign w:val="center"/>
          </w:tcPr>
          <w:p w14:paraId="7900B80C" w14:textId="04C2ED17"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&lt;</w:t>
            </w:r>
            <w:r w:rsidR="006F0258">
              <w:rPr>
                <w:rFonts w:ascii="Times New Roman" w:hAnsi="Times New Roman" w:cs="Times New Roman"/>
                <w:sz w:val="24"/>
              </w:rPr>
              <w:t xml:space="preserve"> </w:t>
            </w:r>
            <w:r>
              <w:rPr>
                <w:rFonts w:ascii="Times New Roman" w:hAnsi="Times New Roman" w:cs="Times New Roman"/>
                <w:sz w:val="24"/>
              </w:rPr>
              <w:t>0.001</w:t>
            </w:r>
          </w:p>
        </w:tc>
        <w:tc>
          <w:tcPr>
            <w:tcW w:w="936" w:type="pct"/>
            <w:tcBorders>
              <w:bottom w:val="single" w:sz="4" w:space="0" w:color="auto"/>
            </w:tcBorders>
            <w:vAlign w:val="center"/>
          </w:tcPr>
          <w:p w14:paraId="2BA1A191" w14:textId="24DE99F3"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&lt;</w:t>
            </w:r>
            <w:r w:rsidR="006F0258">
              <w:rPr>
                <w:rFonts w:ascii="Times New Roman" w:hAnsi="Times New Roman" w:cs="Times New Roman"/>
                <w:sz w:val="24"/>
              </w:rPr>
              <w:t xml:space="preserve"> </w:t>
            </w:r>
            <w:r>
              <w:rPr>
                <w:rFonts w:ascii="Times New Roman" w:hAnsi="Times New Roman" w:cs="Times New Roman"/>
                <w:sz w:val="24"/>
              </w:rPr>
              <w:t>0.001</w:t>
            </w:r>
          </w:p>
        </w:tc>
        <w:tc>
          <w:tcPr>
            <w:tcW w:w="851" w:type="pct"/>
            <w:tcBorders>
              <w:bottom w:val="single" w:sz="4" w:space="0" w:color="auto"/>
            </w:tcBorders>
            <w:vAlign w:val="center"/>
          </w:tcPr>
          <w:p w14:paraId="72BFFF3B" w14:textId="67C18732" w:rsidR="00DC532C" w:rsidRDefault="00DC532C" w:rsidP="00DC532C">
            <w:pPr>
              <w:snapToGrid w:val="0"/>
              <w:jc w:val="center"/>
              <w:rPr>
                <w:rFonts w:ascii="Times New Roman" w:hAnsi="Times New Roman" w:cs="Times New Roman"/>
                <w:sz w:val="24"/>
              </w:rPr>
            </w:pPr>
            <w:r>
              <w:rPr>
                <w:rFonts w:ascii="Times New Roman" w:hAnsi="Times New Roman" w:cs="Times New Roman"/>
                <w:sz w:val="24"/>
              </w:rPr>
              <w:t>0.160</w:t>
            </w:r>
          </w:p>
        </w:tc>
      </w:tr>
    </w:tbl>
    <w:p w14:paraId="6BE2E5D3" w14:textId="77777777" w:rsidR="00820E59" w:rsidRDefault="00820E59" w:rsidP="00B906ED">
      <w:pPr>
        <w:snapToGrid w:val="0"/>
        <w:rPr>
          <w:rFonts w:ascii="Times New Roman" w:hAnsi="Times New Roman" w:cs="Times New Roman"/>
          <w:b/>
          <w:bCs/>
          <w:sz w:val="24"/>
        </w:rPr>
      </w:pPr>
    </w:p>
    <w:p w14:paraId="6BE2E5D4"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3</w:t>
      </w:r>
      <w:r>
        <w:rPr>
          <w:rFonts w:ascii="Times New Roman" w:hAnsi="Times New Roman" w:cs="Times New Roman"/>
          <w:b/>
          <w:bCs/>
          <w:sz w:val="24"/>
        </w:rPr>
        <w:t>.4</w:t>
      </w:r>
      <w:r>
        <w:rPr>
          <w:rFonts w:ascii="Times New Roman" w:hAnsi="Times New Roman" w:cs="Times New Roman" w:hint="eastAsia"/>
          <w:b/>
          <w:bCs/>
          <w:sz w:val="24"/>
        </w:rPr>
        <w:t>.</w:t>
      </w:r>
      <w:r>
        <w:rPr>
          <w:rFonts w:ascii="Times New Roman" w:hAnsi="Times New Roman" w:cs="Times New Roman"/>
          <w:b/>
          <w:bCs/>
          <w:sz w:val="24"/>
        </w:rPr>
        <w:t xml:space="preserve"> Comparison of </w:t>
      </w:r>
      <w:r>
        <w:rPr>
          <w:rFonts w:ascii="Times New Roman" w:hAnsi="Times New Roman" w:cs="Times New Roman" w:hint="eastAsia"/>
          <w:b/>
          <w:bCs/>
          <w:sz w:val="24"/>
        </w:rPr>
        <w:t>p</w:t>
      </w:r>
      <w:r>
        <w:rPr>
          <w:rFonts w:ascii="Times New Roman" w:hAnsi="Times New Roman" w:cs="Times New Roman"/>
          <w:b/>
          <w:bCs/>
          <w:sz w:val="24"/>
        </w:rPr>
        <w:t>rognosis-</w:t>
      </w:r>
      <w:r>
        <w:rPr>
          <w:rFonts w:ascii="Times New Roman" w:hAnsi="Times New Roman" w:cs="Times New Roman" w:hint="eastAsia"/>
          <w:b/>
          <w:bCs/>
          <w:sz w:val="24"/>
        </w:rPr>
        <w:t>r</w:t>
      </w:r>
      <w:r>
        <w:rPr>
          <w:rFonts w:ascii="Times New Roman" w:hAnsi="Times New Roman" w:cs="Times New Roman"/>
          <w:b/>
          <w:bCs/>
          <w:sz w:val="24"/>
        </w:rPr>
        <w:t xml:space="preserve">elated </w:t>
      </w:r>
      <w:r>
        <w:rPr>
          <w:rFonts w:ascii="Times New Roman" w:hAnsi="Times New Roman" w:cs="Times New Roman" w:hint="eastAsia"/>
          <w:b/>
          <w:bCs/>
          <w:sz w:val="24"/>
        </w:rPr>
        <w:t>i</w:t>
      </w:r>
      <w:r>
        <w:rPr>
          <w:rFonts w:ascii="Times New Roman" w:hAnsi="Times New Roman" w:cs="Times New Roman"/>
          <w:b/>
          <w:bCs/>
          <w:sz w:val="24"/>
        </w:rPr>
        <w:t xml:space="preserve">ndicators </w:t>
      </w:r>
      <w:r>
        <w:rPr>
          <w:rFonts w:ascii="Times New Roman" w:hAnsi="Times New Roman" w:cs="Times New Roman" w:hint="eastAsia"/>
          <w:b/>
          <w:bCs/>
          <w:sz w:val="24"/>
        </w:rPr>
        <w:t>b</w:t>
      </w:r>
      <w:r>
        <w:rPr>
          <w:rFonts w:ascii="Times New Roman" w:hAnsi="Times New Roman" w:cs="Times New Roman"/>
          <w:b/>
          <w:bCs/>
          <w:sz w:val="24"/>
        </w:rPr>
        <w:t xml:space="preserve">etween the </w:t>
      </w:r>
      <w:r>
        <w:rPr>
          <w:rFonts w:ascii="Times New Roman" w:hAnsi="Times New Roman" w:cs="Times New Roman" w:hint="eastAsia"/>
          <w:b/>
          <w:bCs/>
          <w:sz w:val="24"/>
        </w:rPr>
        <w:t>t</w:t>
      </w:r>
      <w:r>
        <w:rPr>
          <w:rFonts w:ascii="Times New Roman" w:hAnsi="Times New Roman" w:cs="Times New Roman"/>
          <w:b/>
          <w:bCs/>
          <w:sz w:val="24"/>
        </w:rPr>
        <w:t xml:space="preserve">wo </w:t>
      </w:r>
      <w:r>
        <w:rPr>
          <w:rFonts w:ascii="Times New Roman" w:hAnsi="Times New Roman" w:cs="Times New Roman" w:hint="eastAsia"/>
          <w:b/>
          <w:bCs/>
          <w:sz w:val="24"/>
        </w:rPr>
        <w:t>g</w:t>
      </w:r>
      <w:r>
        <w:rPr>
          <w:rFonts w:ascii="Times New Roman" w:hAnsi="Times New Roman" w:cs="Times New Roman"/>
          <w:b/>
          <w:bCs/>
          <w:sz w:val="24"/>
        </w:rPr>
        <w:t>roups</w:t>
      </w:r>
    </w:p>
    <w:p w14:paraId="6BE2E5D5" w14:textId="371C3393"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Follow-up statistics were collected for prognosis-related indicators in both groups. Measurement data were verified by independent samples </w:t>
      </w:r>
      <w:r>
        <w:rPr>
          <w:rFonts w:ascii="Times New Roman" w:hAnsi="Times New Roman" w:cs="Times New Roman"/>
          <w:i/>
          <w:iCs/>
          <w:sz w:val="24"/>
        </w:rPr>
        <w:t>t</w:t>
      </w:r>
      <w:r>
        <w:rPr>
          <w:rFonts w:ascii="Times New Roman" w:hAnsi="Times New Roman" w:cs="Times New Roman"/>
          <w:sz w:val="24"/>
        </w:rPr>
        <w:t>-test, and count data by chi-square test. There were no statistically significant differences in any indicators between groups, with no significant difference in prognosis between the two groups.</w:t>
      </w:r>
      <w:r w:rsidR="008A6179">
        <w:rPr>
          <w:rFonts w:ascii="Times New Roman" w:hAnsi="Times New Roman" w:cs="Times New Roman"/>
          <w:sz w:val="24"/>
        </w:rPr>
        <w:t xml:space="preserve"> (</w:t>
      </w:r>
      <w:r w:rsidR="008A6179" w:rsidRPr="00B906ED">
        <w:rPr>
          <w:rFonts w:ascii="Times New Roman" w:hAnsi="Times New Roman" w:cs="Times New Roman"/>
          <w:b/>
          <w:bCs/>
          <w:sz w:val="24"/>
        </w:rPr>
        <w:t>Table 4</w:t>
      </w:r>
      <w:r w:rsidR="008A6179">
        <w:rPr>
          <w:rFonts w:ascii="Times New Roman" w:hAnsi="Times New Roman" w:cs="Times New Roman"/>
          <w:sz w:val="24"/>
        </w:rPr>
        <w:t>)</w:t>
      </w:r>
    </w:p>
    <w:p w14:paraId="6BE2E5D6" w14:textId="77777777" w:rsidR="00820E59" w:rsidRDefault="00820E59" w:rsidP="00B906ED">
      <w:pPr>
        <w:snapToGrid w:val="0"/>
        <w:rPr>
          <w:rFonts w:ascii="Times New Roman" w:hAnsi="Times New Roman" w:cs="Times New Roman"/>
          <w:sz w:val="24"/>
        </w:rPr>
      </w:pPr>
    </w:p>
    <w:p w14:paraId="6BE2E5D7" w14:textId="77777777" w:rsidR="00820E59" w:rsidRDefault="00000000" w:rsidP="00DA16F7">
      <w:pPr>
        <w:snapToGrid w:val="0"/>
        <w:rPr>
          <w:rFonts w:ascii="Times New Roman" w:hAnsi="Times New Roman" w:cs="Times New Roman"/>
          <w:sz w:val="24"/>
        </w:rPr>
      </w:pPr>
      <w:r>
        <w:rPr>
          <w:rFonts w:ascii="Times New Roman" w:hAnsi="Times New Roman" w:cs="Times New Roman"/>
          <w:b/>
          <w:bCs/>
          <w:sz w:val="24"/>
        </w:rPr>
        <w:t xml:space="preserve">Table 4. </w:t>
      </w:r>
      <w:r>
        <w:rPr>
          <w:rFonts w:ascii="Times New Roman" w:hAnsi="Times New Roman" w:cs="Times New Roman"/>
          <w:sz w:val="24"/>
        </w:rPr>
        <w:t xml:space="preserve">Comparison of </w:t>
      </w:r>
      <w:r>
        <w:rPr>
          <w:rFonts w:ascii="Times New Roman" w:hAnsi="Times New Roman" w:cs="Times New Roman" w:hint="eastAsia"/>
          <w:sz w:val="24"/>
        </w:rPr>
        <w:t>p</w:t>
      </w:r>
      <w:r>
        <w:rPr>
          <w:rFonts w:ascii="Times New Roman" w:hAnsi="Times New Roman" w:cs="Times New Roman"/>
          <w:sz w:val="24"/>
        </w:rPr>
        <w:t>rognosis-</w:t>
      </w:r>
      <w:r>
        <w:rPr>
          <w:rFonts w:ascii="Times New Roman" w:hAnsi="Times New Roman" w:cs="Times New Roman" w:hint="eastAsia"/>
          <w:sz w:val="24"/>
        </w:rPr>
        <w:t>r</w:t>
      </w:r>
      <w:r>
        <w:rPr>
          <w:rFonts w:ascii="Times New Roman" w:hAnsi="Times New Roman" w:cs="Times New Roman"/>
          <w:sz w:val="24"/>
        </w:rPr>
        <w:t xml:space="preserve">elated </w:t>
      </w:r>
      <w:r>
        <w:rPr>
          <w:rFonts w:ascii="Times New Roman" w:hAnsi="Times New Roman" w:cs="Times New Roman" w:hint="eastAsia"/>
          <w:sz w:val="24"/>
        </w:rPr>
        <w:t>i</w:t>
      </w:r>
      <w:r>
        <w:rPr>
          <w:rFonts w:ascii="Times New Roman" w:hAnsi="Times New Roman" w:cs="Times New Roman"/>
          <w:sz w:val="24"/>
        </w:rPr>
        <w:t xml:space="preserve">ndicators </w:t>
      </w:r>
      <w:r>
        <w:rPr>
          <w:rFonts w:ascii="Times New Roman" w:hAnsi="Times New Roman" w:cs="Times New Roman" w:hint="eastAsia"/>
          <w:sz w:val="24"/>
        </w:rPr>
        <w:t>b</w:t>
      </w:r>
      <w:r>
        <w:rPr>
          <w:rFonts w:ascii="Times New Roman" w:hAnsi="Times New Roman" w:cs="Times New Roman"/>
          <w:sz w:val="24"/>
        </w:rPr>
        <w:t xml:space="preserve">etween the </w:t>
      </w:r>
      <w:r>
        <w:rPr>
          <w:rFonts w:ascii="Times New Roman" w:hAnsi="Times New Roman" w:cs="Times New Roman" w:hint="eastAsia"/>
          <w:sz w:val="24"/>
        </w:rPr>
        <w:t>t</w:t>
      </w:r>
      <w:r>
        <w:rPr>
          <w:rFonts w:ascii="Times New Roman" w:hAnsi="Times New Roman" w:cs="Times New Roman"/>
          <w:sz w:val="24"/>
        </w:rPr>
        <w:t xml:space="preserve">wo </w:t>
      </w:r>
      <w:r>
        <w:rPr>
          <w:rFonts w:ascii="Times New Roman" w:hAnsi="Times New Roman" w:cs="Times New Roman" w:hint="eastAsia"/>
          <w:sz w:val="24"/>
        </w:rPr>
        <w:t>g</w:t>
      </w:r>
      <w:r>
        <w:rPr>
          <w:rFonts w:ascii="Times New Roman" w:hAnsi="Times New Roman" w:cs="Times New Roman"/>
          <w:sz w:val="24"/>
        </w:rPr>
        <w:t>roups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2219"/>
        <w:gridCol w:w="2080"/>
        <w:gridCol w:w="2462"/>
      </w:tblGrid>
      <w:tr w:rsidR="006F0258" w14:paraId="55A834FF" w14:textId="77777777" w:rsidTr="00B906ED">
        <w:tc>
          <w:tcPr>
            <w:tcW w:w="1493" w:type="pct"/>
            <w:tcBorders>
              <w:top w:val="single" w:sz="4" w:space="0" w:color="auto"/>
              <w:bottom w:val="single" w:sz="4" w:space="0" w:color="auto"/>
            </w:tcBorders>
            <w:vAlign w:val="center"/>
          </w:tcPr>
          <w:p w14:paraId="58DF729B" w14:textId="27B3B1CD" w:rsidR="006F0258" w:rsidRDefault="006F0258" w:rsidP="006F0258">
            <w:pPr>
              <w:snapToGrid w:val="0"/>
              <w:jc w:val="left"/>
              <w:rPr>
                <w:rFonts w:ascii="Times New Roman" w:hAnsi="Times New Roman" w:cs="Times New Roman"/>
                <w:sz w:val="24"/>
              </w:rPr>
            </w:pPr>
            <w:r>
              <w:rPr>
                <w:rFonts w:ascii="Times New Roman" w:hAnsi="Times New Roman" w:cs="Times New Roman"/>
                <w:b/>
                <w:sz w:val="24"/>
              </w:rPr>
              <w:t>Group</w:t>
            </w:r>
          </w:p>
        </w:tc>
        <w:tc>
          <w:tcPr>
            <w:tcW w:w="1151" w:type="pct"/>
            <w:tcBorders>
              <w:top w:val="single" w:sz="4" w:space="0" w:color="auto"/>
              <w:bottom w:val="single" w:sz="4" w:space="0" w:color="auto"/>
            </w:tcBorders>
            <w:vAlign w:val="center"/>
          </w:tcPr>
          <w:p w14:paraId="0F3C850B" w14:textId="70F54DEE" w:rsidR="006F0258" w:rsidRDefault="006F0258" w:rsidP="006F0258">
            <w:pPr>
              <w:snapToGrid w:val="0"/>
              <w:jc w:val="center"/>
              <w:rPr>
                <w:rFonts w:ascii="Times New Roman" w:hAnsi="Times New Roman" w:cs="Times New Roman"/>
                <w:sz w:val="24"/>
              </w:rPr>
            </w:pPr>
            <w:r>
              <w:rPr>
                <w:rFonts w:ascii="Times New Roman" w:hAnsi="Times New Roman" w:cs="Times New Roman"/>
                <w:b/>
                <w:sz w:val="24"/>
              </w:rPr>
              <w:t>Total hospitalization duration</w:t>
            </w:r>
            <w:r>
              <w:rPr>
                <w:rFonts w:ascii="Times New Roman" w:hAnsi="Times New Roman" w:cs="Times New Roman"/>
                <w:b/>
                <w:sz w:val="24"/>
              </w:rPr>
              <w:t xml:space="preserve"> </w:t>
            </w:r>
            <w:r>
              <w:rPr>
                <w:rFonts w:ascii="Times New Roman" w:hAnsi="Times New Roman" w:cs="Times New Roman" w:hint="eastAsia"/>
                <w:b/>
                <w:sz w:val="24"/>
              </w:rPr>
              <w:t>(</w:t>
            </w:r>
            <w:r>
              <w:rPr>
                <w:rFonts w:ascii="Times New Roman" w:hAnsi="Times New Roman" w:cs="Times New Roman"/>
                <w:b/>
                <w:sz w:val="24"/>
              </w:rPr>
              <w:t>d,</w:t>
            </w:r>
            <w:r>
              <w:rPr>
                <w:rFonts w:ascii="Times New Roman" w:hAnsi="Times New Roman" w:cs="Times New Roman" w:hint="eastAsia"/>
                <w:b/>
                <w:sz w:val="24"/>
              </w:rPr>
              <w:t xml:space="preserve"> </w:t>
            </w:r>
            <w:r>
              <w:rPr>
                <w:rFonts w:ascii="Times New Roman" w:eastAsia="SimSun" w:hAnsi="Times New Roman" w:cs="Times New Roman"/>
                <w:color w:val="0000FF"/>
                <w:position w:val="-6"/>
                <w:sz w:val="24"/>
              </w:rPr>
              <w:object w:dxaOrig="220" w:dyaOrig="270" w14:anchorId="5498860A">
                <v:shape id="_x0000_i1124" type="#_x0000_t75" style="width:10.8pt;height:13.8pt" o:ole="">
                  <v:imagedata r:id="rId4" o:title=""/>
                </v:shape>
                <o:OLEObject Type="Embed" ProgID="Equation.DSMT4" ShapeID="_x0000_i1124" DrawAspect="Content" ObjectID="_1853337509" r:id="rId8"/>
              </w:object>
            </w:r>
            <w:r>
              <w:rPr>
                <w:rFonts w:ascii="Times New Roman" w:hAnsi="Times New Roman"/>
                <w:sz w:val="24"/>
              </w:rPr>
              <w:t>± s</w:t>
            </w:r>
            <w:r>
              <w:rPr>
                <w:rFonts w:ascii="Times New Roman" w:hAnsi="Times New Roman" w:cs="Times New Roman" w:hint="eastAsia"/>
                <w:b/>
                <w:sz w:val="24"/>
              </w:rPr>
              <w:t>)</w:t>
            </w:r>
          </w:p>
        </w:tc>
        <w:tc>
          <w:tcPr>
            <w:tcW w:w="1079" w:type="pct"/>
            <w:tcBorders>
              <w:top w:val="single" w:sz="4" w:space="0" w:color="auto"/>
              <w:bottom w:val="single" w:sz="4" w:space="0" w:color="auto"/>
            </w:tcBorders>
            <w:vAlign w:val="center"/>
          </w:tcPr>
          <w:p w14:paraId="1FC8BD95" w14:textId="3D77BA27" w:rsidR="006F0258" w:rsidRDefault="006F0258" w:rsidP="006F0258">
            <w:pPr>
              <w:snapToGrid w:val="0"/>
              <w:jc w:val="center"/>
              <w:rPr>
                <w:rFonts w:ascii="Times New Roman" w:hAnsi="Times New Roman" w:cs="Times New Roman"/>
                <w:sz w:val="24"/>
              </w:rPr>
            </w:pPr>
            <w:r>
              <w:rPr>
                <w:rFonts w:ascii="Times New Roman" w:hAnsi="Times New Roman" w:cs="Times New Roman"/>
                <w:b/>
                <w:sz w:val="24"/>
              </w:rPr>
              <w:t>28-day mortality[</w:t>
            </w:r>
            <w:proofErr w:type="gramStart"/>
            <w:r>
              <w:rPr>
                <w:rFonts w:ascii="Times New Roman" w:hAnsi="Times New Roman" w:cs="Times New Roman"/>
                <w:b/>
                <w:sz w:val="24"/>
              </w:rPr>
              <w:t>n(</w:t>
            </w:r>
            <w:proofErr w:type="gramEnd"/>
            <w:r>
              <w:rPr>
                <w:rFonts w:ascii="Times New Roman" w:hAnsi="Times New Roman" w:cs="Times New Roman"/>
                <w:b/>
                <w:sz w:val="24"/>
              </w:rPr>
              <w:t>%)]</w:t>
            </w:r>
          </w:p>
        </w:tc>
        <w:tc>
          <w:tcPr>
            <w:tcW w:w="1277" w:type="pct"/>
            <w:tcBorders>
              <w:top w:val="single" w:sz="4" w:space="0" w:color="auto"/>
              <w:bottom w:val="single" w:sz="4" w:space="0" w:color="auto"/>
            </w:tcBorders>
            <w:vAlign w:val="center"/>
          </w:tcPr>
          <w:p w14:paraId="731DB4A6" w14:textId="4D8000CA" w:rsidR="006F0258" w:rsidRDefault="006F0258" w:rsidP="006F0258">
            <w:pPr>
              <w:snapToGrid w:val="0"/>
              <w:jc w:val="center"/>
              <w:rPr>
                <w:rFonts w:ascii="Times New Roman" w:hAnsi="Times New Roman" w:cs="Times New Roman"/>
                <w:sz w:val="24"/>
              </w:rPr>
            </w:pPr>
            <w:r>
              <w:rPr>
                <w:rFonts w:ascii="Times New Roman" w:hAnsi="Times New Roman" w:cs="Times New Roman"/>
                <w:b/>
                <w:sz w:val="24"/>
              </w:rPr>
              <w:t>Incidence of bleeding-related complications</w:t>
            </w:r>
            <w:r>
              <w:rPr>
                <w:rFonts w:ascii="Times New Roman" w:hAnsi="Times New Roman" w:cs="Times New Roman"/>
                <w:b/>
                <w:sz w:val="24"/>
              </w:rPr>
              <w:t xml:space="preserve"> </w:t>
            </w:r>
            <w:r>
              <w:rPr>
                <w:rFonts w:ascii="Times New Roman" w:hAnsi="Times New Roman" w:cs="Times New Roman"/>
                <w:b/>
                <w:sz w:val="24"/>
              </w:rPr>
              <w:t>[</w:t>
            </w:r>
            <w:proofErr w:type="gramStart"/>
            <w:r>
              <w:rPr>
                <w:rFonts w:ascii="Times New Roman" w:hAnsi="Times New Roman" w:cs="Times New Roman"/>
                <w:b/>
                <w:sz w:val="24"/>
              </w:rPr>
              <w:t>n(</w:t>
            </w:r>
            <w:proofErr w:type="gramEnd"/>
            <w:r>
              <w:rPr>
                <w:rFonts w:ascii="Times New Roman" w:hAnsi="Times New Roman" w:cs="Times New Roman"/>
                <w:b/>
                <w:sz w:val="24"/>
              </w:rPr>
              <w:t>%)]</w:t>
            </w:r>
          </w:p>
        </w:tc>
      </w:tr>
      <w:tr w:rsidR="006F0258" w14:paraId="441EBFB9" w14:textId="77777777" w:rsidTr="00B906ED">
        <w:tc>
          <w:tcPr>
            <w:tcW w:w="1493" w:type="pct"/>
            <w:tcBorders>
              <w:top w:val="single" w:sz="4" w:space="0" w:color="auto"/>
            </w:tcBorders>
            <w:vAlign w:val="center"/>
          </w:tcPr>
          <w:p w14:paraId="3105FBAC" w14:textId="560989E4" w:rsidR="006F0258" w:rsidRDefault="006F0258" w:rsidP="006F0258">
            <w:pPr>
              <w:snapToGrid w:val="0"/>
              <w:jc w:val="left"/>
              <w:rPr>
                <w:rFonts w:ascii="Times New Roman" w:hAnsi="Times New Roman" w:cs="Times New Roman"/>
                <w:sz w:val="24"/>
              </w:rPr>
            </w:pPr>
            <w:r>
              <w:rPr>
                <w:rFonts w:ascii="Times New Roman" w:hAnsi="Times New Roman" w:cs="Times New Roman"/>
                <w:sz w:val="24"/>
              </w:rPr>
              <w:t>Observation group</w:t>
            </w:r>
            <w:r>
              <w:rPr>
                <w:rFonts w:ascii="Times New Roman" w:hAnsi="Times New Roman" w:cs="Times New Roman"/>
                <w:sz w:val="24"/>
              </w:rPr>
              <w:t xml:space="preserve"> (</w:t>
            </w:r>
            <w:r>
              <w:rPr>
                <w:rFonts w:ascii="Times New Roman" w:hAnsi="Times New Roman" w:cs="Times New Roman"/>
                <w:sz w:val="24"/>
              </w:rPr>
              <w:t>n</w:t>
            </w:r>
            <w:r>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25</w:t>
            </w:r>
            <w:r>
              <w:rPr>
                <w:rFonts w:ascii="Times New Roman" w:hAnsi="Times New Roman" w:cs="Times New Roman"/>
                <w:sz w:val="24"/>
              </w:rPr>
              <w:t>)</w:t>
            </w:r>
          </w:p>
        </w:tc>
        <w:tc>
          <w:tcPr>
            <w:tcW w:w="1151" w:type="pct"/>
            <w:tcBorders>
              <w:top w:val="single" w:sz="4" w:space="0" w:color="auto"/>
            </w:tcBorders>
            <w:vAlign w:val="center"/>
          </w:tcPr>
          <w:p w14:paraId="4D94B194" w14:textId="789A4F4B"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12.24±2.13</w:t>
            </w:r>
          </w:p>
        </w:tc>
        <w:tc>
          <w:tcPr>
            <w:tcW w:w="1079" w:type="pct"/>
            <w:tcBorders>
              <w:top w:val="single" w:sz="4" w:space="0" w:color="auto"/>
            </w:tcBorders>
            <w:vAlign w:val="center"/>
          </w:tcPr>
          <w:p w14:paraId="5C6D482A" w14:textId="669B0F07"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w:t>
            </w:r>
            <w:r>
              <w:rPr>
                <w:rFonts w:ascii="Times New Roman" w:hAnsi="Times New Roman" w:cs="Times New Roman"/>
                <w:sz w:val="24"/>
              </w:rPr>
              <w:t>4.00</w:t>
            </w:r>
            <w:r>
              <w:rPr>
                <w:rFonts w:ascii="Times New Roman" w:hAnsi="Times New Roman" w:cs="Times New Roman" w:hint="eastAsia"/>
                <w:sz w:val="24"/>
              </w:rPr>
              <w:t>)</w:t>
            </w:r>
          </w:p>
        </w:tc>
        <w:tc>
          <w:tcPr>
            <w:tcW w:w="1277" w:type="pct"/>
            <w:tcBorders>
              <w:top w:val="single" w:sz="4" w:space="0" w:color="auto"/>
            </w:tcBorders>
            <w:vAlign w:val="center"/>
          </w:tcPr>
          <w:p w14:paraId="67766572" w14:textId="6E8EAD5E"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w:t>
            </w:r>
            <w:r>
              <w:rPr>
                <w:rFonts w:ascii="Times New Roman" w:hAnsi="Times New Roman" w:cs="Times New Roman"/>
                <w:sz w:val="24"/>
              </w:rPr>
              <w:t>8.00</w:t>
            </w:r>
            <w:r>
              <w:rPr>
                <w:rFonts w:ascii="Times New Roman" w:hAnsi="Times New Roman" w:cs="Times New Roman" w:hint="eastAsia"/>
                <w:sz w:val="24"/>
              </w:rPr>
              <w:t>)</w:t>
            </w:r>
          </w:p>
        </w:tc>
      </w:tr>
      <w:tr w:rsidR="006F0258" w14:paraId="2059D1E3" w14:textId="77777777" w:rsidTr="00B906ED">
        <w:tc>
          <w:tcPr>
            <w:tcW w:w="1493" w:type="pct"/>
            <w:vAlign w:val="center"/>
          </w:tcPr>
          <w:p w14:paraId="6AADF8F7" w14:textId="7764D371" w:rsidR="006F0258" w:rsidRDefault="006F0258" w:rsidP="006F0258">
            <w:pPr>
              <w:snapToGrid w:val="0"/>
              <w:jc w:val="left"/>
              <w:rPr>
                <w:rFonts w:ascii="Times New Roman" w:hAnsi="Times New Roman" w:cs="Times New Roman"/>
                <w:sz w:val="24"/>
              </w:rPr>
            </w:pPr>
            <w:r>
              <w:rPr>
                <w:rFonts w:ascii="Times New Roman" w:hAnsi="Times New Roman" w:cs="Times New Roman"/>
                <w:sz w:val="24"/>
              </w:rPr>
              <w:t>Control group</w:t>
            </w:r>
            <w:r>
              <w:rPr>
                <w:rFonts w:ascii="Times New Roman" w:hAnsi="Times New Roman" w:cs="Times New Roman"/>
                <w:sz w:val="24"/>
              </w:rPr>
              <w:t xml:space="preserve"> (</w:t>
            </w:r>
            <w:r>
              <w:rPr>
                <w:rFonts w:ascii="Times New Roman" w:hAnsi="Times New Roman" w:cs="Times New Roman"/>
                <w:sz w:val="24"/>
              </w:rPr>
              <w:t>n</w:t>
            </w:r>
            <w:r>
              <w:rPr>
                <w:rFonts w:ascii="Times New Roman" w:hAnsi="Times New Roman" w:cs="Times New Roman"/>
                <w:sz w:val="24"/>
              </w:rPr>
              <w:t xml:space="preserve"> </w:t>
            </w:r>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25</w:t>
            </w:r>
            <w:r>
              <w:rPr>
                <w:rFonts w:ascii="Times New Roman" w:hAnsi="Times New Roman" w:cs="Times New Roman"/>
                <w:sz w:val="24"/>
              </w:rPr>
              <w:t>)</w:t>
            </w:r>
          </w:p>
        </w:tc>
        <w:tc>
          <w:tcPr>
            <w:tcW w:w="1151" w:type="pct"/>
            <w:vAlign w:val="center"/>
          </w:tcPr>
          <w:p w14:paraId="2F3516FD" w14:textId="01686C52"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13.17±2.42</w:t>
            </w:r>
          </w:p>
        </w:tc>
        <w:tc>
          <w:tcPr>
            <w:tcW w:w="1079" w:type="pct"/>
            <w:vAlign w:val="center"/>
          </w:tcPr>
          <w:p w14:paraId="22BFBA09" w14:textId="36120990"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w:t>
            </w:r>
            <w:r>
              <w:rPr>
                <w:rFonts w:ascii="Times New Roman" w:hAnsi="Times New Roman" w:cs="Times New Roman"/>
                <w:sz w:val="24"/>
              </w:rPr>
              <w:t>8.00</w:t>
            </w:r>
            <w:r>
              <w:rPr>
                <w:rFonts w:ascii="Times New Roman" w:hAnsi="Times New Roman" w:cs="Times New Roman" w:hint="eastAsia"/>
                <w:sz w:val="24"/>
              </w:rPr>
              <w:t>)</w:t>
            </w:r>
          </w:p>
        </w:tc>
        <w:tc>
          <w:tcPr>
            <w:tcW w:w="1277" w:type="pct"/>
            <w:vAlign w:val="center"/>
          </w:tcPr>
          <w:p w14:paraId="3050A1BE" w14:textId="419FC15F"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hint="eastAsia"/>
                <w:sz w:val="24"/>
              </w:rPr>
              <w:t>(</w:t>
            </w:r>
            <w:r>
              <w:rPr>
                <w:rFonts w:ascii="Times New Roman" w:hAnsi="Times New Roman" w:cs="Times New Roman"/>
                <w:sz w:val="24"/>
              </w:rPr>
              <w:t>12.00</w:t>
            </w:r>
            <w:r>
              <w:rPr>
                <w:rFonts w:ascii="Times New Roman" w:hAnsi="Times New Roman" w:cs="Times New Roman" w:hint="eastAsia"/>
                <w:sz w:val="24"/>
              </w:rPr>
              <w:t>)</w:t>
            </w:r>
          </w:p>
        </w:tc>
      </w:tr>
      <w:tr w:rsidR="006F0258" w14:paraId="4D26BF13" w14:textId="77777777" w:rsidTr="00B906ED">
        <w:tc>
          <w:tcPr>
            <w:tcW w:w="1493" w:type="pct"/>
            <w:vAlign w:val="center"/>
          </w:tcPr>
          <w:p w14:paraId="30D5BF77" w14:textId="6F4C1EEF" w:rsidR="006F0258" w:rsidRDefault="006F0258" w:rsidP="006F0258">
            <w:pPr>
              <w:snapToGrid w:val="0"/>
              <w:jc w:val="left"/>
              <w:rPr>
                <w:rFonts w:ascii="Times New Roman" w:hAnsi="Times New Roman" w:cs="Times New Roman"/>
                <w:sz w:val="24"/>
              </w:rPr>
            </w:pPr>
            <w:r>
              <w:rPr>
                <w:rFonts w:ascii="Times New Roman" w:hAnsi="Times New Roman" w:cs="Times New Roman"/>
                <w:i/>
                <w:iCs/>
                <w:sz w:val="24"/>
              </w:rPr>
              <w:t>t</w:t>
            </w:r>
            <w:r>
              <w:rPr>
                <w:rFonts w:ascii="Times New Roman" w:hAnsi="Times New Roman" w:cs="Times New Roman"/>
                <w:sz w:val="24"/>
              </w:rPr>
              <w:t>/χ²</w:t>
            </w:r>
          </w:p>
        </w:tc>
        <w:tc>
          <w:tcPr>
            <w:tcW w:w="1151" w:type="pct"/>
            <w:vAlign w:val="center"/>
          </w:tcPr>
          <w:p w14:paraId="131F1572" w14:textId="315D5D6E"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1.426</w:t>
            </w:r>
          </w:p>
        </w:tc>
        <w:tc>
          <w:tcPr>
            <w:tcW w:w="1079" w:type="pct"/>
            <w:vAlign w:val="center"/>
          </w:tcPr>
          <w:p w14:paraId="2A866865" w14:textId="6026AA23"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0.355</w:t>
            </w:r>
          </w:p>
        </w:tc>
        <w:tc>
          <w:tcPr>
            <w:tcW w:w="1277" w:type="pct"/>
            <w:vAlign w:val="center"/>
          </w:tcPr>
          <w:p w14:paraId="015FA417" w14:textId="037804DA"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0.224</w:t>
            </w:r>
          </w:p>
        </w:tc>
      </w:tr>
      <w:tr w:rsidR="006F0258" w14:paraId="6309858A" w14:textId="77777777" w:rsidTr="00B906ED">
        <w:tc>
          <w:tcPr>
            <w:tcW w:w="1493" w:type="pct"/>
            <w:tcBorders>
              <w:bottom w:val="single" w:sz="4" w:space="0" w:color="auto"/>
            </w:tcBorders>
            <w:vAlign w:val="center"/>
          </w:tcPr>
          <w:p w14:paraId="627D28FF" w14:textId="07407C99" w:rsidR="006F0258" w:rsidRDefault="006F0258" w:rsidP="006F0258">
            <w:pPr>
              <w:snapToGrid w:val="0"/>
              <w:jc w:val="left"/>
              <w:rPr>
                <w:rFonts w:ascii="Times New Roman" w:hAnsi="Times New Roman" w:cs="Times New Roman"/>
                <w:sz w:val="24"/>
              </w:rPr>
            </w:pPr>
            <w:r>
              <w:rPr>
                <w:rFonts w:ascii="Times New Roman" w:hAnsi="Times New Roman" w:cs="Times New Roman" w:hint="eastAsia"/>
                <w:i/>
                <w:iCs/>
                <w:sz w:val="24"/>
              </w:rPr>
              <w:t>p</w:t>
            </w:r>
          </w:p>
        </w:tc>
        <w:tc>
          <w:tcPr>
            <w:tcW w:w="1151" w:type="pct"/>
            <w:tcBorders>
              <w:bottom w:val="single" w:sz="4" w:space="0" w:color="auto"/>
            </w:tcBorders>
            <w:vAlign w:val="center"/>
          </w:tcPr>
          <w:p w14:paraId="769AB5EB" w14:textId="73F08B37"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0.160</w:t>
            </w:r>
          </w:p>
        </w:tc>
        <w:tc>
          <w:tcPr>
            <w:tcW w:w="1079" w:type="pct"/>
            <w:tcBorders>
              <w:bottom w:val="single" w:sz="4" w:space="0" w:color="auto"/>
            </w:tcBorders>
            <w:vAlign w:val="center"/>
          </w:tcPr>
          <w:p w14:paraId="2841FF2B" w14:textId="7FD38AF8"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0.551</w:t>
            </w:r>
          </w:p>
        </w:tc>
        <w:tc>
          <w:tcPr>
            <w:tcW w:w="1277" w:type="pct"/>
            <w:tcBorders>
              <w:bottom w:val="single" w:sz="4" w:space="0" w:color="auto"/>
            </w:tcBorders>
            <w:vAlign w:val="center"/>
          </w:tcPr>
          <w:p w14:paraId="06E6E5C6" w14:textId="6FC30321" w:rsidR="006F0258" w:rsidRDefault="006F0258" w:rsidP="006F0258">
            <w:pPr>
              <w:snapToGrid w:val="0"/>
              <w:jc w:val="center"/>
              <w:rPr>
                <w:rFonts w:ascii="Times New Roman" w:hAnsi="Times New Roman" w:cs="Times New Roman"/>
                <w:sz w:val="24"/>
              </w:rPr>
            </w:pPr>
            <w:r>
              <w:rPr>
                <w:rFonts w:ascii="Times New Roman" w:hAnsi="Times New Roman" w:cs="Times New Roman"/>
                <w:sz w:val="24"/>
              </w:rPr>
              <w:t>0.636</w:t>
            </w:r>
          </w:p>
        </w:tc>
      </w:tr>
    </w:tbl>
    <w:p w14:paraId="6BE2E5F1" w14:textId="77777777" w:rsidR="00820E59" w:rsidRDefault="00820E59" w:rsidP="00B906ED">
      <w:pPr>
        <w:snapToGrid w:val="0"/>
        <w:rPr>
          <w:rFonts w:ascii="Times New Roman" w:hAnsi="Times New Roman" w:cs="Times New Roman"/>
          <w:b/>
          <w:bCs/>
          <w:sz w:val="24"/>
        </w:rPr>
      </w:pPr>
    </w:p>
    <w:p w14:paraId="6BE2E5F2"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4.</w:t>
      </w:r>
      <w:r>
        <w:rPr>
          <w:rFonts w:ascii="Times New Roman" w:hAnsi="Times New Roman" w:cs="Times New Roman"/>
          <w:b/>
          <w:bCs/>
          <w:sz w:val="24"/>
        </w:rPr>
        <w:t xml:space="preserve"> Discussion</w:t>
      </w:r>
    </w:p>
    <w:p w14:paraId="6BE2E5F3" w14:textId="5E07DCDD" w:rsidR="00820E59" w:rsidRDefault="00000000" w:rsidP="00B906ED">
      <w:pPr>
        <w:snapToGrid w:val="0"/>
        <w:rPr>
          <w:rFonts w:ascii="Times New Roman" w:hAnsi="Times New Roman" w:cs="Times New Roman"/>
          <w:sz w:val="24"/>
        </w:rPr>
      </w:pPr>
      <w:r>
        <w:rPr>
          <w:rFonts w:ascii="Times New Roman" w:hAnsi="Times New Roman" w:cs="Times New Roman"/>
          <w:sz w:val="24"/>
        </w:rPr>
        <w:t xml:space="preserve">The pathogenesis of acute traumatic coagulopathy is currently believed to result not from a single coagulation factor consumption but from the combined effects of tissue injury, shock status, endothelial dysfunction, inflammatory immune activation, platelet dysfunction, and fibrinolytic </w:t>
      </w:r>
      <w:r>
        <w:rPr>
          <w:rFonts w:ascii="Times New Roman" w:hAnsi="Times New Roman" w:cs="Times New Roman"/>
          <w:sz w:val="24"/>
        </w:rPr>
        <w:lastRenderedPageBreak/>
        <w:t xml:space="preserve">system dysregulation. Recent international research has proposed that a dynamic transition from </w:t>
      </w:r>
      <w:proofErr w:type="spellStart"/>
      <w:r>
        <w:rPr>
          <w:rFonts w:ascii="Times New Roman" w:hAnsi="Times New Roman" w:cs="Times New Roman"/>
          <w:sz w:val="24"/>
        </w:rPr>
        <w:t>hypocoagulable</w:t>
      </w:r>
      <w:proofErr w:type="spellEnd"/>
      <w:r>
        <w:rPr>
          <w:rFonts w:ascii="Times New Roman" w:hAnsi="Times New Roman" w:cs="Times New Roman"/>
          <w:sz w:val="24"/>
        </w:rPr>
        <w:t xml:space="preserve"> to hypercoagulable states exists in the early post-trauma period, and the </w:t>
      </w:r>
      <w:r w:rsidR="00DA16F7">
        <w:rPr>
          <w:rFonts w:ascii="Times New Roman" w:hAnsi="Times New Roman" w:cs="Times New Roman"/>
          <w:sz w:val="24"/>
        </w:rPr>
        <w:t>“</w:t>
      </w:r>
      <w:r>
        <w:rPr>
          <w:rFonts w:ascii="Times New Roman" w:hAnsi="Times New Roman" w:cs="Times New Roman"/>
          <w:sz w:val="24"/>
        </w:rPr>
        <w:t>lethal triad</w:t>
      </w:r>
      <w:r w:rsidR="00DA16F7">
        <w:rPr>
          <w:rFonts w:ascii="Times New Roman" w:hAnsi="Times New Roman" w:cs="Times New Roman"/>
          <w:sz w:val="24"/>
        </w:rPr>
        <w:t>”</w:t>
      </w:r>
      <w:r>
        <w:rPr>
          <w:rFonts w:ascii="Times New Roman" w:hAnsi="Times New Roman" w:cs="Times New Roman"/>
          <w:sz w:val="24"/>
        </w:rPr>
        <w:t xml:space="preserve"> formed by hypothermia, acidosis, and coagulopathy can further exacerbate bleeding risk. Therefore, trauma resuscitation strategies should minimize hemodilution and further impairment of coagulation function while improving tissue perfusion</w:t>
      </w:r>
      <w:r w:rsidR="006F0258">
        <w:rPr>
          <w:rFonts w:ascii="Times New Roman" w:hAnsi="Times New Roman" w:cs="Times New Roman"/>
          <w:sz w:val="24"/>
        </w:rPr>
        <w:t xml:space="preserve"> </w:t>
      </w:r>
      <w:r>
        <w:rPr>
          <w:rFonts w:ascii="Times New Roman" w:hAnsi="Times New Roman" w:cs="Times New Roman" w:hint="eastAsia"/>
          <w:sz w:val="24"/>
          <w:vertAlign w:val="superscript"/>
        </w:rPr>
        <w:t>[3]</w:t>
      </w:r>
      <w:r>
        <w:rPr>
          <w:rFonts w:ascii="Times New Roman" w:hAnsi="Times New Roman" w:cs="Times New Roman"/>
          <w:sz w:val="24"/>
        </w:rPr>
        <w:t>. The selection of acute-phase treatment protocols for acute traumatic coagulopathy has always been a focus of attention in the emergency trauma field. In recent years, as clinical resuscitation systems have gradually improved, the timeliness of admission and rescue for severe trauma patients has been significantly enhanced, but the selection of fluid resuscitation strategies for patients with acute traumatic coagulopathy has still not formed a completely unified execution standard. Emergency teams in most secondary and lower-level medical institutions still habitually use conventional fluid resuscitation protocols for acute-phase intervention, and there are considerable differences in their understanding of the applicable population, blood pressure control thresholds, and timing of adjustment for restrictive fluid resuscitation. Many emergency physicians, in actual practice, tend to rapidly infuse large volumes of fluid due to concern that inadequate perfusion may cause organ damage, which may paradoxically aggravate pre-existing coagulation dysfunction</w:t>
      </w:r>
      <w:r w:rsidR="00274CC8">
        <w:rPr>
          <w:rFonts w:ascii="Times New Roman" w:hAnsi="Times New Roman" w:cs="Times New Roman"/>
          <w:sz w:val="24"/>
        </w:rPr>
        <w:t xml:space="preserve"> </w:t>
      </w:r>
      <w:r>
        <w:rPr>
          <w:rFonts w:ascii="Times New Roman" w:hAnsi="Times New Roman" w:cs="Times New Roman"/>
          <w:sz w:val="24"/>
          <w:vertAlign w:val="superscript"/>
        </w:rPr>
        <w:t>[4]</w:t>
      </w:r>
      <w:r>
        <w:rPr>
          <w:rFonts w:ascii="Times New Roman" w:hAnsi="Times New Roman" w:cs="Times New Roman"/>
          <w:sz w:val="24"/>
        </w:rPr>
        <w:t>. Previous studies on similar intervention protocols have mostly focused on changes in single coagulation function indicators, rarely conducting joint analyses linking blood gas status and inflammatory response levels with changes in coagulation function, nor clearly verifying the impact of intervention protocols on long-term patient outcomes, so clinical practice cannot form a complete intervention reference system based on existing research conclusions</w:t>
      </w:r>
      <w:r w:rsidR="00274CC8">
        <w:rPr>
          <w:rFonts w:ascii="Times New Roman" w:hAnsi="Times New Roman" w:cs="Times New Roman"/>
          <w:sz w:val="24"/>
        </w:rPr>
        <w:t xml:space="preserve"> </w:t>
      </w:r>
      <w:r>
        <w:rPr>
          <w:rFonts w:ascii="Times New Roman" w:hAnsi="Times New Roman" w:cs="Times New Roman"/>
          <w:sz w:val="24"/>
          <w:vertAlign w:val="superscript"/>
        </w:rPr>
        <w:t>[5]</w:t>
      </w:r>
      <w:r>
        <w:rPr>
          <w:rFonts w:ascii="Times New Roman" w:hAnsi="Times New Roman" w:cs="Times New Roman"/>
          <w:sz w:val="24"/>
        </w:rPr>
        <w:t>. This study was designed to address the above clinical gaps, focusing on investigating the actual impact of early restrictive fluid resuscitation on coagulation function recovery in patients with acute traumatic coagulopathy, while covering indicator verification across blood gas, inflammatory, and prognostic dimensions, hoping to provide objective evidence for the refinement of clinical acute-phase intervention protocols.</w:t>
      </w:r>
    </w:p>
    <w:p w14:paraId="6BE2E5F4" w14:textId="1822F823" w:rsidR="00820E59" w:rsidRDefault="00000000" w:rsidP="00B906ED">
      <w:pPr>
        <w:snapToGrid w:val="0"/>
        <w:ind w:firstLineChars="300" w:firstLine="720"/>
        <w:rPr>
          <w:rFonts w:ascii="Times New Roman" w:hAnsi="Times New Roman" w:cs="Times New Roman"/>
          <w:sz w:val="24"/>
        </w:rPr>
      </w:pPr>
      <w:r>
        <w:rPr>
          <w:rFonts w:ascii="Times New Roman" w:hAnsi="Times New Roman" w:cs="Times New Roman"/>
          <w:sz w:val="24"/>
        </w:rPr>
        <w:t>The concept of damage control resuscitation (DCR) emphasizes early hemorrhage control, restricted crystalloid infusion, permissive hypotension, and coagulation monitoring-based goal-directed therapy</w:t>
      </w:r>
      <w:r w:rsidR="00274CC8">
        <w:rPr>
          <w:rFonts w:ascii="Times New Roman" w:hAnsi="Times New Roman" w:cs="Times New Roman"/>
          <w:sz w:val="24"/>
        </w:rPr>
        <w:t xml:space="preserve"> </w:t>
      </w:r>
      <w:r>
        <w:rPr>
          <w:rFonts w:ascii="Times New Roman" w:hAnsi="Times New Roman" w:cs="Times New Roman"/>
          <w:sz w:val="24"/>
          <w:vertAlign w:val="superscript"/>
        </w:rPr>
        <w:t>[6]</w:t>
      </w:r>
      <w:r>
        <w:rPr>
          <w:rFonts w:ascii="Times New Roman" w:hAnsi="Times New Roman" w:cs="Times New Roman"/>
          <w:sz w:val="24"/>
        </w:rPr>
        <w:t>. The European guideline on management of major bleeding following trauma states that in patients without severe traumatic brain injury, adopting a restrictive fluid resuscitation strategy before hemorrhage control helps maintain circulatory stability and reduces the adverse effects of excessive fluid infusion</w:t>
      </w:r>
      <w:r w:rsidR="00274CC8">
        <w:rPr>
          <w:rFonts w:ascii="Times New Roman" w:hAnsi="Times New Roman" w:cs="Times New Roman"/>
          <w:sz w:val="24"/>
        </w:rPr>
        <w:t xml:space="preserve"> </w:t>
      </w:r>
      <w:r>
        <w:rPr>
          <w:rFonts w:ascii="Times New Roman" w:hAnsi="Times New Roman" w:cs="Times New Roman"/>
          <w:sz w:val="24"/>
          <w:vertAlign w:val="superscript"/>
        </w:rPr>
        <w:t>[7]</w:t>
      </w:r>
      <w:r>
        <w:rPr>
          <w:rFonts w:ascii="Times New Roman" w:hAnsi="Times New Roman" w:cs="Times New Roman"/>
          <w:sz w:val="24"/>
        </w:rPr>
        <w:t xml:space="preserve">. This study adopted an early restrictive fluid resuscitation protocol, controlling the systolic blood pressure range to reduce hemodilution that may result from massive fluid infusion while ensuring basic tissue perfusion, which is consistent with current international damage control resuscitation concepts. After completing intervention and follow-up in this study, it was found that patients receiving early restrictive fluid resuscitation had superior coagulation function, pH, </w:t>
      </w:r>
      <w:proofErr w:type="spellStart"/>
      <w:r>
        <w:rPr>
          <w:rFonts w:ascii="Times New Roman" w:hAnsi="Times New Roman" w:cs="Times New Roman"/>
          <w:sz w:val="24"/>
        </w:rPr>
        <w:t>PaO</w:t>
      </w:r>
      <w:proofErr w:type="spellEnd"/>
      <w:r>
        <w:rPr>
          <w:rFonts w:ascii="Times New Roman" w:hAnsi="Times New Roman" w:cs="Times New Roman"/>
          <w:sz w:val="24"/>
        </w:rPr>
        <w:t xml:space="preserve">₂, and lactate levels in blood gas analysis, and inflammatory factors TNF-α and IL-6 at 24 hours after intervention compared with patients receiving conventional fluid resuscitation, while there were no significant differences in </w:t>
      </w:r>
      <w:proofErr w:type="spellStart"/>
      <w:r>
        <w:rPr>
          <w:rFonts w:ascii="Times New Roman" w:hAnsi="Times New Roman" w:cs="Times New Roman"/>
          <w:sz w:val="24"/>
        </w:rPr>
        <w:t>PaCO</w:t>
      </w:r>
      <w:proofErr w:type="spellEnd"/>
      <w:r>
        <w:rPr>
          <w:rFonts w:ascii="Times New Roman" w:hAnsi="Times New Roman" w:cs="Times New Roman"/>
          <w:sz w:val="24"/>
        </w:rPr>
        <w:t>₂ and IL-1β between the two groups, and no significant differences in prognosis-related indicators between the two groups</w:t>
      </w:r>
      <w:r w:rsidR="00274CC8">
        <w:rPr>
          <w:rFonts w:ascii="Times New Roman" w:hAnsi="Times New Roman" w:cs="Times New Roman"/>
          <w:sz w:val="24"/>
        </w:rPr>
        <w:t xml:space="preserve"> </w:t>
      </w:r>
      <w:r>
        <w:rPr>
          <w:rFonts w:ascii="Times New Roman" w:hAnsi="Times New Roman" w:cs="Times New Roman"/>
          <w:sz w:val="24"/>
          <w:vertAlign w:val="superscript"/>
        </w:rPr>
        <w:t>[8]</w:t>
      </w:r>
      <w:r>
        <w:rPr>
          <w:rFonts w:ascii="Times New Roman" w:hAnsi="Times New Roman" w:cs="Times New Roman"/>
          <w:sz w:val="24"/>
        </w:rPr>
        <w:t>. Previous studies in severe trauma patient populations have also reached similar conclusions, suggesting that before bleeding is effectively controlled, controlling the total volume and rate of fluid infusion can reduce unnecessary interference with the body</w:t>
      </w:r>
      <w:r w:rsidR="00DA16F7">
        <w:rPr>
          <w:rFonts w:ascii="Times New Roman" w:hAnsi="Times New Roman" w:cs="Times New Roman"/>
          <w:sz w:val="24"/>
        </w:rPr>
        <w:t>’</w:t>
      </w:r>
      <w:r>
        <w:rPr>
          <w:rFonts w:ascii="Times New Roman" w:hAnsi="Times New Roman" w:cs="Times New Roman"/>
          <w:sz w:val="24"/>
        </w:rPr>
        <w:t xml:space="preserve">s coagulation status. The emergence of this result is directly related to the blood pressure control target of early restrictive fluid resuscitation. During the emergency resuscitation phase before definitive hemostasis, maintaining systolic blood pressure at a relatively low level will not cause dislodgement of formed blood clots due to excessive intravascular pressure, nor will it cause excessive hemodilution of coagulation factors and platelets due to rapid infusion of large volumes of fluid within a short period; their concentrations can be maintained at relatively stable levels, the fibrinolytic system will not be abnormally activated, and coagulation dysfunction can be corrected more rapidly. Related research shows that during the process of rapidly elevating blood pressure with conventional fluid resuscitation protocols, peripheral tissue exudation is aggravated, and edema in the pulmonary </w:t>
      </w:r>
      <w:proofErr w:type="spellStart"/>
      <w:r>
        <w:rPr>
          <w:rFonts w:ascii="Times New Roman" w:hAnsi="Times New Roman" w:cs="Times New Roman"/>
          <w:sz w:val="24"/>
        </w:rPr>
        <w:t>interstitium</w:t>
      </w:r>
      <w:proofErr w:type="spellEnd"/>
      <w:r>
        <w:rPr>
          <w:rFonts w:ascii="Times New Roman" w:hAnsi="Times New Roman" w:cs="Times New Roman"/>
          <w:sz w:val="24"/>
        </w:rPr>
        <w:t xml:space="preserve"> and peripheral microcirculation directly affects the efficiency of blood oxygen exchange. Early restrictive fluid resuscitation controls the total </w:t>
      </w:r>
      <w:r>
        <w:rPr>
          <w:rFonts w:ascii="Times New Roman" w:hAnsi="Times New Roman" w:cs="Times New Roman"/>
          <w:sz w:val="24"/>
        </w:rPr>
        <w:lastRenderedPageBreak/>
        <w:t>fluid infusion volume, reduces exudation into tissue interstices, maintains normal oxygen exchange efficiency between alveoli and capillaries, allows arterial partial pressure of oxygen to remain at relatively ideal levels, and also accelerates the clearance rate of lactate in peripheral tissues, enabling blood gas-related indicators to return to normal ranges more quickly</w:t>
      </w:r>
      <w:r w:rsidR="00274CC8">
        <w:rPr>
          <w:rFonts w:ascii="Times New Roman" w:hAnsi="Times New Roman" w:cs="Times New Roman"/>
          <w:sz w:val="24"/>
        </w:rPr>
        <w:t xml:space="preserve"> </w:t>
      </w:r>
      <w:r>
        <w:rPr>
          <w:rFonts w:ascii="Times New Roman" w:hAnsi="Times New Roman" w:cs="Times New Roman"/>
          <w:sz w:val="24"/>
          <w:vertAlign w:val="superscript"/>
        </w:rPr>
        <w:t>[9]</w:t>
      </w:r>
      <w:r>
        <w:rPr>
          <w:rFonts w:ascii="Times New Roman" w:hAnsi="Times New Roman" w:cs="Times New Roman"/>
          <w:sz w:val="24"/>
        </w:rPr>
        <w:t>. The differences in inflammatory factor levels may be related to the risk of ischemia-reperfusion injury. During the process of rapidly correcting hypoperfusion with conventional fluid resuscitation, large amounts of oxygen free radicals enter peripheral tissues with blood flow, triggering cascade activation of systemic inflammatory responses, and the release of pro-inflammatory factors is significantly elevated. In contrast, early restrictive fluid resuscitation gradually corrects hypoperfusion, which can attenuate the degree of ischemia-reperfusion injury, reduce the release of pro-inflammatory factors, and thereby lower the body</w:t>
      </w:r>
      <w:r w:rsidR="00DA16F7">
        <w:rPr>
          <w:rFonts w:ascii="Times New Roman" w:hAnsi="Times New Roman" w:cs="Times New Roman"/>
          <w:sz w:val="24"/>
        </w:rPr>
        <w:t>’</w:t>
      </w:r>
      <w:r>
        <w:rPr>
          <w:rFonts w:ascii="Times New Roman" w:hAnsi="Times New Roman" w:cs="Times New Roman"/>
          <w:sz w:val="24"/>
        </w:rPr>
        <w:t xml:space="preserve">s inflammatory response level. Observation of prognosis indicators revealed that the effects of the two fluid resuscitation protocols on total hospitalization duration, 28-day mortality, and incidence of bleeding-related complications did not show significant differences, indicating that early restrictive fluid resuscitation optimizes acute-phase coagulation, blood gas, and inflammatory indicators in patients without increasing the risk of long-term adverse events, and there is no need for excessive concern about the safety of the protocol in clinical application. This study found that </w:t>
      </w:r>
      <w:proofErr w:type="spellStart"/>
      <w:r>
        <w:rPr>
          <w:rFonts w:ascii="Times New Roman" w:hAnsi="Times New Roman" w:cs="Times New Roman"/>
          <w:sz w:val="24"/>
        </w:rPr>
        <w:t>PaCO</w:t>
      </w:r>
      <w:proofErr w:type="spellEnd"/>
      <w:r>
        <w:rPr>
          <w:rFonts w:ascii="Times New Roman" w:hAnsi="Times New Roman" w:cs="Times New Roman"/>
          <w:sz w:val="24"/>
        </w:rPr>
        <w:t xml:space="preserve">₂ and IL-1β levels in the observation group showed no statistically significant differences compared with the control group, which may be related to the following factors. First, this study had a small sample size, including only 50 patients, and differences in some indicators may be limited by statistical power. Second, </w:t>
      </w:r>
      <w:proofErr w:type="spellStart"/>
      <w:r>
        <w:rPr>
          <w:rFonts w:ascii="Times New Roman" w:hAnsi="Times New Roman" w:cs="Times New Roman"/>
          <w:sz w:val="24"/>
        </w:rPr>
        <w:t>PaCO</w:t>
      </w:r>
      <w:proofErr w:type="spellEnd"/>
      <w:r>
        <w:rPr>
          <w:rFonts w:ascii="Times New Roman" w:hAnsi="Times New Roman" w:cs="Times New Roman"/>
          <w:sz w:val="24"/>
        </w:rPr>
        <w:t>₂ levels are influenced not only by circulatory status but also by respiratory function, mechanical ventilation measures, and trauma site; a single fluid resuscitation strategy may be difficult to produce significant effects. In addition, IL-1β is an early inflammatory mediator with pronounced temporal release characteristics, and this study selected only a single time point for detection, which may not fully reflect the entire inflammatory response process. Meanwhile, the 28-day mortality and incidence of bleeding-related complications also showed no significant differences between the two groups, suggesting that restrictive fluid resuscitation may primarily improve early trauma coagulation and physiological indicators, while its impact on short-term endpoint events still requires further verification through larger-sample, multicenter studies.</w:t>
      </w:r>
    </w:p>
    <w:p w14:paraId="6BE2E5F5" w14:textId="6CF62B46" w:rsidR="00820E59" w:rsidRDefault="00000000" w:rsidP="00B906ED">
      <w:pPr>
        <w:snapToGrid w:val="0"/>
        <w:ind w:firstLineChars="300" w:firstLine="720"/>
        <w:rPr>
          <w:rFonts w:ascii="Times New Roman" w:hAnsi="Times New Roman" w:cs="Times New Roman"/>
          <w:sz w:val="24"/>
        </w:rPr>
      </w:pPr>
      <w:r>
        <w:rPr>
          <w:rFonts w:ascii="Times New Roman" w:hAnsi="Times New Roman" w:cs="Times New Roman"/>
          <w:sz w:val="24"/>
        </w:rPr>
        <w:t xml:space="preserve">Foreign studies indicate that trauma coagulopathy management requires not only attention to traditional coagulation indicators such as PT, APTT, and FIB but also combination with dynamic monitoring methods such as </w:t>
      </w:r>
      <w:proofErr w:type="spellStart"/>
      <w:r>
        <w:rPr>
          <w:rFonts w:ascii="Times New Roman" w:hAnsi="Times New Roman" w:cs="Times New Roman"/>
          <w:sz w:val="24"/>
        </w:rPr>
        <w:t>thromboelastography</w:t>
      </w:r>
      <w:proofErr w:type="spellEnd"/>
      <w:r>
        <w:rPr>
          <w:rFonts w:ascii="Times New Roman" w:hAnsi="Times New Roman" w:cs="Times New Roman"/>
          <w:sz w:val="24"/>
        </w:rPr>
        <w:t xml:space="preserve"> (TEG) or rotational </w:t>
      </w:r>
      <w:proofErr w:type="spellStart"/>
      <w:r>
        <w:rPr>
          <w:rFonts w:ascii="Times New Roman" w:hAnsi="Times New Roman" w:cs="Times New Roman"/>
          <w:sz w:val="24"/>
        </w:rPr>
        <w:t>thromboelastometry</w:t>
      </w:r>
      <w:proofErr w:type="spellEnd"/>
      <w:r>
        <w:rPr>
          <w:rFonts w:ascii="Times New Roman" w:hAnsi="Times New Roman" w:cs="Times New Roman"/>
          <w:sz w:val="24"/>
        </w:rPr>
        <w:t xml:space="preserve"> (ROTEM) to guide precise hemostatic therapy</w:t>
      </w:r>
      <w:r w:rsidR="00274CC8">
        <w:rPr>
          <w:rFonts w:ascii="Times New Roman" w:hAnsi="Times New Roman" w:cs="Times New Roman"/>
          <w:sz w:val="24"/>
        </w:rPr>
        <w:t xml:space="preserve"> </w:t>
      </w:r>
      <w:r>
        <w:rPr>
          <w:rFonts w:ascii="Times New Roman" w:hAnsi="Times New Roman" w:cs="Times New Roman"/>
          <w:sz w:val="24"/>
          <w:vertAlign w:val="superscript"/>
        </w:rPr>
        <w:t>[10]</w:t>
      </w:r>
      <w:r>
        <w:rPr>
          <w:rFonts w:ascii="Times New Roman" w:hAnsi="Times New Roman" w:cs="Times New Roman"/>
          <w:sz w:val="24"/>
        </w:rPr>
        <w:t>. In addition, the large multicenter randomized controlled CRASH-2 trial confirmed that early application of tranexamic acid can affect mortality outcomes in trauma hemorrhage patients, providing important evidence-based support for comprehensive intervention in trauma coagulopathy</w:t>
      </w:r>
      <w:r w:rsidR="00A76A87">
        <w:rPr>
          <w:rFonts w:ascii="Times New Roman" w:hAnsi="Times New Roman" w:cs="Times New Roman"/>
          <w:sz w:val="24"/>
        </w:rPr>
        <w:t xml:space="preserve"> </w:t>
      </w:r>
      <w:r>
        <w:rPr>
          <w:rFonts w:ascii="Times New Roman" w:hAnsi="Times New Roman" w:cs="Times New Roman"/>
          <w:sz w:val="24"/>
          <w:vertAlign w:val="superscript"/>
        </w:rPr>
        <w:t>[11]</w:t>
      </w:r>
      <w:r>
        <w:rPr>
          <w:rFonts w:ascii="Times New Roman" w:hAnsi="Times New Roman" w:cs="Times New Roman"/>
          <w:sz w:val="24"/>
        </w:rPr>
        <w:t>. The American Advanced Trauma Life Support (ATLS) guidelines also emphasize that severely injured trauma patients should prioritize rapid assessment, hemorrhage control, and implementation of individualized resuscitation strategies</w:t>
      </w:r>
      <w:r w:rsidR="00A76A87">
        <w:rPr>
          <w:rFonts w:ascii="Times New Roman" w:hAnsi="Times New Roman" w:cs="Times New Roman"/>
          <w:sz w:val="24"/>
        </w:rPr>
        <w:t xml:space="preserve"> </w:t>
      </w:r>
      <w:r>
        <w:rPr>
          <w:rFonts w:ascii="Times New Roman" w:hAnsi="Times New Roman" w:cs="Times New Roman"/>
          <w:sz w:val="24"/>
          <w:vertAlign w:val="superscript"/>
        </w:rPr>
        <w:t>[</w:t>
      </w:r>
      <w:r>
        <w:rPr>
          <w:rFonts w:ascii="Times New Roman" w:hAnsi="Times New Roman" w:cs="Times New Roman" w:hint="eastAsia"/>
          <w:sz w:val="24"/>
          <w:vertAlign w:val="superscript"/>
        </w:rPr>
        <w:t>12,</w:t>
      </w:r>
      <w:r>
        <w:rPr>
          <w:rFonts w:ascii="Times New Roman" w:hAnsi="Times New Roman" w:cs="Times New Roman"/>
          <w:sz w:val="24"/>
          <w:vertAlign w:val="superscript"/>
        </w:rPr>
        <w:t>13]</w:t>
      </w:r>
      <w:r>
        <w:rPr>
          <w:rFonts w:ascii="Times New Roman" w:hAnsi="Times New Roman" w:cs="Times New Roman"/>
          <w:sz w:val="24"/>
        </w:rPr>
        <w:t>. Based on the above concepts, this study further evaluated the effects of restrictive fluid resuscitation from multiple dimensions including coagulation function, blood gas status, inflammatory response, and short-term prognosis, providing a reference for optimizing clinical acute-phase resuscitation protocols. Compared with related foreign studies, the value of this study lies in simultaneously covering observation indicators across multiple dimensions, conducting joint verification linking changes in coagulation function with changes in blood gas status and inflammatory response levels, clarifying the multi-dimensional benefits of early restrictive fluid resuscitation for patients with acute traumatic coagulopathy, and also verifying the long-term safety of the protocol, which can provide more comprehensive references for emergency teams at different levels of medical institutions to formulate acute-phase intervention protocols</w:t>
      </w:r>
      <w:r w:rsidR="00A76A87">
        <w:rPr>
          <w:rFonts w:ascii="Times New Roman" w:hAnsi="Times New Roman" w:cs="Times New Roman"/>
          <w:sz w:val="24"/>
        </w:rPr>
        <w:t xml:space="preserve"> </w:t>
      </w:r>
      <w:r>
        <w:rPr>
          <w:rFonts w:ascii="Times New Roman" w:hAnsi="Times New Roman" w:cs="Times New Roman"/>
          <w:sz w:val="24"/>
          <w:vertAlign w:val="superscript"/>
        </w:rPr>
        <w:t>[14]</w:t>
      </w:r>
      <w:r>
        <w:rPr>
          <w:rFonts w:ascii="Times New Roman" w:hAnsi="Times New Roman" w:cs="Times New Roman"/>
          <w:sz w:val="24"/>
        </w:rPr>
        <w:t>. When conducting resuscitation for patients with acute traumatic coagulopathy in clinical practice, the conclusions of this study can be referenced: before the patient</w:t>
      </w:r>
      <w:r w:rsidR="00DA16F7">
        <w:rPr>
          <w:rFonts w:ascii="Times New Roman" w:hAnsi="Times New Roman" w:cs="Times New Roman"/>
          <w:sz w:val="24"/>
        </w:rPr>
        <w:t>’</w:t>
      </w:r>
      <w:r>
        <w:rPr>
          <w:rFonts w:ascii="Times New Roman" w:hAnsi="Times New Roman" w:cs="Times New Roman"/>
          <w:sz w:val="24"/>
        </w:rPr>
        <w:t>s bleeding is effectively controlled, priority should be given to using early restrictive fluid resuscitation protocols, maintaining systolic blood pressure within the set target range, and after the bleeding site is identified and hemostasis is completed, the fluid infusion rate and total volume should be adjusted according to changes in the patient</w:t>
      </w:r>
      <w:r w:rsidR="00DA16F7">
        <w:rPr>
          <w:rFonts w:ascii="Times New Roman" w:hAnsi="Times New Roman" w:cs="Times New Roman"/>
          <w:sz w:val="24"/>
        </w:rPr>
        <w:t>’</w:t>
      </w:r>
      <w:r>
        <w:rPr>
          <w:rFonts w:ascii="Times New Roman" w:hAnsi="Times New Roman" w:cs="Times New Roman"/>
          <w:sz w:val="24"/>
        </w:rPr>
        <w:t xml:space="preserve">s vital signs, thereby reducing interference with the </w:t>
      </w:r>
      <w:r>
        <w:rPr>
          <w:rFonts w:ascii="Times New Roman" w:hAnsi="Times New Roman" w:cs="Times New Roman"/>
          <w:sz w:val="24"/>
        </w:rPr>
        <w:lastRenderedPageBreak/>
        <w:t>patient</w:t>
      </w:r>
      <w:r w:rsidR="00DA16F7">
        <w:rPr>
          <w:rFonts w:ascii="Times New Roman" w:hAnsi="Times New Roman" w:cs="Times New Roman"/>
          <w:sz w:val="24"/>
        </w:rPr>
        <w:t>’</w:t>
      </w:r>
      <w:r>
        <w:rPr>
          <w:rFonts w:ascii="Times New Roman" w:hAnsi="Times New Roman" w:cs="Times New Roman"/>
          <w:sz w:val="24"/>
        </w:rPr>
        <w:t>s coagulation status during the intervention while maintaining basic perfusion of vital organs and creating favorable conditions for subsequent resuscitation procedures</w:t>
      </w:r>
      <w:r w:rsidR="00A76A87">
        <w:rPr>
          <w:rFonts w:ascii="Times New Roman" w:hAnsi="Times New Roman" w:cs="Times New Roman"/>
          <w:sz w:val="24"/>
        </w:rPr>
        <w:t xml:space="preserve"> </w:t>
      </w:r>
      <w:r>
        <w:rPr>
          <w:rFonts w:ascii="Times New Roman" w:hAnsi="Times New Roman" w:cs="Times New Roman"/>
          <w:sz w:val="24"/>
          <w:vertAlign w:val="superscript"/>
        </w:rPr>
        <w:t>[15]</w:t>
      </w:r>
      <w:r>
        <w:rPr>
          <w:rFonts w:ascii="Times New Roman" w:hAnsi="Times New Roman" w:cs="Times New Roman"/>
          <w:sz w:val="24"/>
        </w:rPr>
        <w:t>. However, since this study is a single-center, small-sample study with a short follow-up duration, the conclusions still need to be verified by expanding the sample size and extending the follow-up period.</w:t>
      </w:r>
    </w:p>
    <w:p w14:paraId="6BE2E5F6" w14:textId="77777777" w:rsidR="00820E59" w:rsidRDefault="00820E59" w:rsidP="00B906ED">
      <w:pPr>
        <w:snapToGrid w:val="0"/>
        <w:rPr>
          <w:rFonts w:ascii="Times New Roman" w:hAnsi="Times New Roman" w:cs="Times New Roman"/>
          <w:sz w:val="24"/>
        </w:rPr>
      </w:pPr>
    </w:p>
    <w:p w14:paraId="6BE2E5F7" w14:textId="77777777" w:rsidR="00820E59" w:rsidRDefault="00000000" w:rsidP="00B906ED">
      <w:pPr>
        <w:snapToGrid w:val="0"/>
        <w:rPr>
          <w:rFonts w:ascii="Times New Roman" w:hAnsi="Times New Roman" w:cs="Times New Roman"/>
          <w:sz w:val="24"/>
        </w:rPr>
      </w:pPr>
      <w:r>
        <w:rPr>
          <w:rFonts w:ascii="Times New Roman" w:hAnsi="Times New Roman" w:cs="Times New Roman" w:hint="eastAsia"/>
          <w:b/>
          <w:bCs/>
          <w:sz w:val="24"/>
        </w:rPr>
        <w:t xml:space="preserve">5. </w:t>
      </w:r>
      <w:r>
        <w:rPr>
          <w:rFonts w:ascii="Times New Roman" w:hAnsi="Times New Roman" w:cs="Times New Roman"/>
          <w:b/>
          <w:bCs/>
          <w:sz w:val="24"/>
        </w:rPr>
        <w:t>Conclusion</w:t>
      </w:r>
    </w:p>
    <w:p w14:paraId="6BE2E5F8" w14:textId="77777777" w:rsidR="00820E59" w:rsidRDefault="00000000" w:rsidP="00B906ED">
      <w:pPr>
        <w:snapToGrid w:val="0"/>
        <w:rPr>
          <w:rFonts w:ascii="Times New Roman" w:hAnsi="Times New Roman" w:cs="Times New Roman"/>
          <w:sz w:val="24"/>
        </w:rPr>
      </w:pPr>
      <w:r>
        <w:rPr>
          <w:rFonts w:ascii="Times New Roman" w:hAnsi="Times New Roman" w:cs="Times New Roman"/>
          <w:sz w:val="24"/>
        </w:rPr>
        <w:t>In summary, early restrictive fluid resuscitation can, to a certain extent, modulate the coagulation status, blood gas levels, and degree of inflammatory response in patients with acute traumatic coagulopathy, without bringing additional negative effects on long-term outcomes, and can provide a reference for the formulation of acute-phase intervention protocols for clinical acute trauma patients. The results of this study fill the gap in previous similar studies that did not systematically cover multi-dimensional effect indicators, and can provide practical reference for emergency teams in primary medical institutions to adjust operational details of acute-phase fluid resuscitation in trauma. Currently, the study still has certain limitations: the representativeness of single-center small-sample data is relatively weak, and no subdivided analysis has been conducted on the intervention effects for different trauma types and different underlying disease populations. Whether the blood pressure control threshold for early restrictive fluid resuscitation needs dynamic adjustment based on population characteristics still requires gradual clarification through large-sample, multicenter, long-cycle follow-up studies. In clinical application of this protocol, priority can be given to applying it to patients with acute traumatic coagulopathy whose bleeding has not been effectively controlled, and the fluid infusion strategy can be flexibly adjusted after hemostasis is achieved.</w:t>
      </w:r>
    </w:p>
    <w:p w14:paraId="6BE2E5F9" w14:textId="77777777" w:rsidR="00820E59" w:rsidRDefault="00820E59" w:rsidP="00B906ED">
      <w:pPr>
        <w:snapToGrid w:val="0"/>
        <w:rPr>
          <w:rFonts w:ascii="Times New Roman" w:hAnsi="Times New Roman" w:cs="Times New Roman"/>
          <w:sz w:val="24"/>
        </w:rPr>
      </w:pPr>
    </w:p>
    <w:p w14:paraId="6BE2E5FA" w14:textId="77777777" w:rsidR="00820E59" w:rsidRDefault="00000000" w:rsidP="00B906ED">
      <w:pPr>
        <w:snapToGrid w:val="0"/>
        <w:rPr>
          <w:rFonts w:ascii="Times New Roman" w:hAnsi="Times New Roman"/>
          <w:b/>
          <w:bCs/>
          <w:sz w:val="24"/>
        </w:rPr>
      </w:pPr>
      <w:bookmarkStart w:id="0" w:name="_Hlk181689731"/>
      <w:r>
        <w:rPr>
          <w:rFonts w:ascii="Times New Roman" w:hAnsi="Times New Roman"/>
          <w:b/>
          <w:bCs/>
          <w:sz w:val="24"/>
        </w:rPr>
        <w:t>Disclosure statement</w:t>
      </w:r>
    </w:p>
    <w:p w14:paraId="6BE2E5FB" w14:textId="77777777" w:rsidR="00820E59" w:rsidRDefault="00000000" w:rsidP="00B906ED">
      <w:pPr>
        <w:snapToGrid w:val="0"/>
        <w:rPr>
          <w:rFonts w:ascii="Times New Roman" w:hAnsi="Times New Roman"/>
          <w:sz w:val="24"/>
        </w:rPr>
      </w:pPr>
      <w:r>
        <w:rPr>
          <w:rFonts w:ascii="Times New Roman" w:hAnsi="Times New Roman"/>
          <w:sz w:val="24"/>
        </w:rPr>
        <w:t xml:space="preserve">The authors declare no conflict of interest. </w:t>
      </w:r>
    </w:p>
    <w:bookmarkEnd w:id="0"/>
    <w:p w14:paraId="6BE2E5FD" w14:textId="77777777" w:rsidR="00820E59" w:rsidRDefault="00820E59" w:rsidP="00B906ED">
      <w:pPr>
        <w:snapToGrid w:val="0"/>
        <w:rPr>
          <w:rFonts w:ascii="Times New Roman" w:hAnsi="Times New Roman" w:cs="Times New Roman"/>
          <w:b/>
          <w:bCs/>
          <w:sz w:val="24"/>
        </w:rPr>
      </w:pPr>
    </w:p>
    <w:p w14:paraId="6BE2E5FE" w14:textId="77777777" w:rsidR="00820E59" w:rsidRDefault="00000000" w:rsidP="00B906ED">
      <w:pPr>
        <w:snapToGrid w:val="0"/>
        <w:rPr>
          <w:rFonts w:ascii="Times New Roman" w:hAnsi="Times New Roman" w:cs="Times New Roman"/>
          <w:sz w:val="24"/>
        </w:rPr>
      </w:pPr>
      <w:r>
        <w:rPr>
          <w:rFonts w:ascii="Times New Roman" w:hAnsi="Times New Roman" w:cs="Times New Roman"/>
          <w:b/>
          <w:bCs/>
          <w:sz w:val="24"/>
        </w:rPr>
        <w:t>References</w:t>
      </w:r>
    </w:p>
    <w:p w14:paraId="5F1DD2D7" w14:textId="77777777" w:rsidR="00882B4E" w:rsidRDefault="00882B4E" w:rsidP="00882B4E">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 </w:t>
      </w:r>
      <w:r>
        <w:rPr>
          <w:rFonts w:ascii="Times New Roman" w:hAnsi="Times New Roman" w:cs="Times New Roman"/>
          <w:sz w:val="24"/>
          <w:lang w:val="en-MY"/>
        </w:rPr>
        <w:tab/>
      </w:r>
      <w:r w:rsidRPr="00882B4E">
        <w:rPr>
          <w:rFonts w:ascii="Times New Roman" w:hAnsi="Times New Roman" w:cs="Times New Roman"/>
          <w:sz w:val="24"/>
          <w:lang w:val="en-MY"/>
        </w:rPr>
        <w:t xml:space="preserve">Xu Y, Ding H, Jin Y, et al., 2024, Analysis of Risk Factors for Venous Thromboembolism in Elderly Patients </w:t>
      </w:r>
      <w:r>
        <w:rPr>
          <w:rFonts w:ascii="Times New Roman" w:hAnsi="Times New Roman" w:cs="Times New Roman"/>
          <w:sz w:val="24"/>
          <w:lang w:val="en-MY"/>
        </w:rPr>
        <w:t>w</w:t>
      </w:r>
      <w:r w:rsidRPr="00882B4E">
        <w:rPr>
          <w:rFonts w:ascii="Times New Roman" w:hAnsi="Times New Roman" w:cs="Times New Roman"/>
          <w:sz w:val="24"/>
          <w:lang w:val="en-MY"/>
        </w:rPr>
        <w:t>ith Severe Trauma. Journal of Traumatic Surgery, 26(12): 931–935.</w:t>
      </w:r>
    </w:p>
    <w:p w14:paraId="0E4C2C87" w14:textId="77777777" w:rsidR="00882B4E" w:rsidRDefault="00882B4E" w:rsidP="00882B4E">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[2] </w:t>
      </w:r>
      <w:r>
        <w:rPr>
          <w:rFonts w:ascii="Times New Roman" w:hAnsi="Times New Roman" w:cs="Times New Roman"/>
          <w:sz w:val="24"/>
          <w:lang w:val="en-MY"/>
        </w:rPr>
        <w:tab/>
      </w:r>
      <w:r w:rsidRPr="00882B4E">
        <w:rPr>
          <w:rFonts w:ascii="Times New Roman" w:hAnsi="Times New Roman" w:cs="Times New Roman"/>
          <w:sz w:val="24"/>
          <w:lang w:val="en-MY"/>
        </w:rPr>
        <w:t xml:space="preserve">Yang J, Xue X, Jia L, et al., 2024, Predictive Value of Sublingual Microcirculation Change Rate for Prognosis in Patients </w:t>
      </w:r>
      <w:r>
        <w:rPr>
          <w:rFonts w:ascii="Times New Roman" w:hAnsi="Times New Roman" w:cs="Times New Roman"/>
          <w:sz w:val="24"/>
          <w:lang w:val="en-MY"/>
        </w:rPr>
        <w:t>w</w:t>
      </w:r>
      <w:r w:rsidRPr="00882B4E">
        <w:rPr>
          <w:rFonts w:ascii="Times New Roman" w:hAnsi="Times New Roman" w:cs="Times New Roman"/>
          <w:sz w:val="24"/>
          <w:lang w:val="en-MY"/>
        </w:rPr>
        <w:t>ith Septic Shock. Journal of Bengbu Medical College, 49(12): 1602–1605 + 1610.</w:t>
      </w:r>
    </w:p>
    <w:p w14:paraId="4CE5E810" w14:textId="77777777" w:rsidR="00882B4E" w:rsidRDefault="00882B4E" w:rsidP="00882B4E">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[3] </w:t>
      </w:r>
      <w:r>
        <w:rPr>
          <w:rFonts w:ascii="Times New Roman" w:hAnsi="Times New Roman" w:cs="Times New Roman"/>
          <w:sz w:val="24"/>
          <w:lang w:val="en-MY"/>
        </w:rPr>
        <w:tab/>
      </w:r>
      <w:r w:rsidRPr="00882B4E">
        <w:rPr>
          <w:rFonts w:ascii="Times New Roman" w:hAnsi="Times New Roman" w:cs="Times New Roman"/>
          <w:sz w:val="24"/>
          <w:lang w:val="en-MY"/>
        </w:rPr>
        <w:t xml:space="preserve">Moore E, Moore H, </w:t>
      </w:r>
      <w:proofErr w:type="spellStart"/>
      <w:r w:rsidRPr="00882B4E">
        <w:rPr>
          <w:rFonts w:ascii="Times New Roman" w:hAnsi="Times New Roman" w:cs="Times New Roman"/>
          <w:sz w:val="24"/>
          <w:lang w:val="en-MY"/>
        </w:rPr>
        <w:t>Kornblith</w:t>
      </w:r>
      <w:proofErr w:type="spellEnd"/>
      <w:r w:rsidRPr="00882B4E">
        <w:rPr>
          <w:rFonts w:ascii="Times New Roman" w:hAnsi="Times New Roman" w:cs="Times New Roman"/>
          <w:sz w:val="24"/>
          <w:lang w:val="en-MY"/>
        </w:rPr>
        <w:t xml:space="preserve"> L, et al., 2021, Trauma-Induced Coagulopathy. Nature Reviews Disease Primers, 7: 30.</w:t>
      </w:r>
    </w:p>
    <w:p w14:paraId="0D90B962" w14:textId="7C3F9FAD"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[4] </w:t>
      </w:r>
      <w:r>
        <w:rPr>
          <w:rFonts w:ascii="Times New Roman" w:hAnsi="Times New Roman" w:cs="Times New Roman"/>
          <w:sz w:val="24"/>
          <w:lang w:val="en-MY"/>
        </w:rPr>
        <w:tab/>
      </w:r>
      <w:r w:rsidRPr="00882B4E">
        <w:rPr>
          <w:rFonts w:ascii="Times New Roman" w:hAnsi="Times New Roman" w:cs="Times New Roman"/>
          <w:sz w:val="24"/>
          <w:lang w:val="en-MY"/>
        </w:rPr>
        <w:t xml:space="preserve">Li Z, Zheng Y, 2025, Clinical Effects of Restrictive Fluid Resuscitation and Hypertonic Saline Fluid Resuscitation in Emergency Treatment of Patients </w:t>
      </w:r>
      <w:r w:rsidR="00D75D91">
        <w:rPr>
          <w:rFonts w:ascii="Times New Roman" w:hAnsi="Times New Roman" w:cs="Times New Roman"/>
          <w:sz w:val="24"/>
          <w:lang w:val="en-MY"/>
        </w:rPr>
        <w:t>w</w:t>
      </w:r>
      <w:r w:rsidRPr="00882B4E">
        <w:rPr>
          <w:rFonts w:ascii="Times New Roman" w:hAnsi="Times New Roman" w:cs="Times New Roman"/>
          <w:sz w:val="24"/>
          <w:lang w:val="en-MY"/>
        </w:rPr>
        <w:t xml:space="preserve">ith Traumatic </w:t>
      </w:r>
      <w:proofErr w:type="spellStart"/>
      <w:r w:rsidRPr="00882B4E">
        <w:rPr>
          <w:rFonts w:ascii="Times New Roman" w:hAnsi="Times New Roman" w:cs="Times New Roman"/>
          <w:sz w:val="24"/>
          <w:lang w:val="en-MY"/>
        </w:rPr>
        <w:t>Hemorrhagic</w:t>
      </w:r>
      <w:proofErr w:type="spellEnd"/>
      <w:r w:rsidRPr="00882B4E">
        <w:rPr>
          <w:rFonts w:ascii="Times New Roman" w:hAnsi="Times New Roman" w:cs="Times New Roman"/>
          <w:sz w:val="24"/>
          <w:lang w:val="en-MY"/>
        </w:rPr>
        <w:t xml:space="preserve"> Shock. Journal of </w:t>
      </w:r>
      <w:proofErr w:type="spellStart"/>
      <w:r w:rsidRPr="00882B4E">
        <w:rPr>
          <w:rFonts w:ascii="Times New Roman" w:hAnsi="Times New Roman" w:cs="Times New Roman"/>
          <w:sz w:val="24"/>
          <w:lang w:val="en-MY"/>
        </w:rPr>
        <w:t>Yanbian</w:t>
      </w:r>
      <w:proofErr w:type="spellEnd"/>
      <w:r w:rsidRPr="00882B4E">
        <w:rPr>
          <w:rFonts w:ascii="Times New Roman" w:hAnsi="Times New Roman" w:cs="Times New Roman"/>
          <w:sz w:val="24"/>
          <w:lang w:val="en-MY"/>
        </w:rPr>
        <w:t xml:space="preserve"> University Medical Sciences, 48(11): 66–68.</w:t>
      </w:r>
    </w:p>
    <w:p w14:paraId="238AF2EA" w14:textId="77777777"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[5] </w:t>
      </w:r>
      <w:r w:rsidR="00D75D91">
        <w:rPr>
          <w:rFonts w:ascii="Times New Roman" w:hAnsi="Times New Roman" w:cs="Times New Roman"/>
          <w:sz w:val="24"/>
          <w:lang w:val="en-MY"/>
        </w:rPr>
        <w:tab/>
      </w:r>
      <w:r w:rsidRPr="00882B4E">
        <w:rPr>
          <w:rFonts w:ascii="Times New Roman" w:hAnsi="Times New Roman" w:cs="Times New Roman"/>
          <w:sz w:val="24"/>
          <w:lang w:val="en-MY"/>
        </w:rPr>
        <w:t>Lin Q, Yang X, Ye X, 2024, Effect of Restrictive Fluid Resuscitation on Coagulation Function Indicators and Treatment Outcomes in Traumatic Shock. Heilongjiang Medicine, 37(6): 1356–1358.</w:t>
      </w:r>
    </w:p>
    <w:p w14:paraId="1DAC5FA2" w14:textId="77777777"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[6] </w:t>
      </w:r>
      <w:r w:rsidR="00D75D91">
        <w:rPr>
          <w:rFonts w:ascii="Times New Roman" w:hAnsi="Times New Roman" w:cs="Times New Roman"/>
          <w:sz w:val="24"/>
          <w:lang w:val="en-MY"/>
        </w:rPr>
        <w:tab/>
      </w:r>
      <w:r w:rsidRPr="00882B4E">
        <w:rPr>
          <w:rFonts w:ascii="Times New Roman" w:hAnsi="Times New Roman" w:cs="Times New Roman"/>
          <w:sz w:val="24"/>
          <w:lang w:val="en-MY"/>
        </w:rPr>
        <w:t>Spahn D, Bouillon B, Cerny V, et al., 2023, The European Guideline on Management of Major Bleeding and Coagulopathy Following Trauma: Sixth Edition. Critical Care, 27: 80.</w:t>
      </w:r>
    </w:p>
    <w:p w14:paraId="00771702" w14:textId="77777777"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[7] </w:t>
      </w:r>
      <w:r w:rsidR="00D75D91">
        <w:rPr>
          <w:rFonts w:ascii="Times New Roman" w:hAnsi="Times New Roman" w:cs="Times New Roman"/>
          <w:sz w:val="24"/>
          <w:lang w:val="en-MY"/>
        </w:rPr>
        <w:tab/>
      </w:r>
      <w:proofErr w:type="spellStart"/>
      <w:r w:rsidRPr="00882B4E">
        <w:rPr>
          <w:rFonts w:ascii="Times New Roman" w:hAnsi="Times New Roman" w:cs="Times New Roman"/>
          <w:sz w:val="24"/>
          <w:lang w:val="en-MY"/>
        </w:rPr>
        <w:t>Rossaint</w:t>
      </w:r>
      <w:proofErr w:type="spellEnd"/>
      <w:r w:rsidRPr="00882B4E">
        <w:rPr>
          <w:rFonts w:ascii="Times New Roman" w:hAnsi="Times New Roman" w:cs="Times New Roman"/>
          <w:sz w:val="24"/>
          <w:lang w:val="en-MY"/>
        </w:rPr>
        <w:t xml:space="preserve"> R, Afshari A, Bouillon B, et al., 2021, The European Guideline on Management of Major Bleeding and Coagulopathy After Trauma. Critical Care, 25: 98.</w:t>
      </w:r>
    </w:p>
    <w:p w14:paraId="3E00EF9F" w14:textId="19D7920E"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[8] </w:t>
      </w:r>
      <w:r w:rsidR="00D75D91">
        <w:rPr>
          <w:rFonts w:ascii="Times New Roman" w:hAnsi="Times New Roman" w:cs="Times New Roman"/>
          <w:sz w:val="24"/>
          <w:lang w:val="en-MY"/>
        </w:rPr>
        <w:tab/>
      </w:r>
      <w:r w:rsidRPr="00882B4E">
        <w:rPr>
          <w:rFonts w:ascii="Times New Roman" w:hAnsi="Times New Roman" w:cs="Times New Roman"/>
          <w:sz w:val="24"/>
          <w:lang w:val="en-MY"/>
        </w:rPr>
        <w:t xml:space="preserve">Ni H, 2024, Effect of Bedside Ultrasound-Guided Restrictive Fluid Resuscitation on Patients </w:t>
      </w:r>
      <w:r w:rsidR="00D75D91">
        <w:rPr>
          <w:rFonts w:ascii="Times New Roman" w:hAnsi="Times New Roman" w:cs="Times New Roman"/>
          <w:sz w:val="24"/>
          <w:lang w:val="en-MY"/>
        </w:rPr>
        <w:t>w</w:t>
      </w:r>
      <w:r w:rsidRPr="00882B4E">
        <w:rPr>
          <w:rFonts w:ascii="Times New Roman" w:hAnsi="Times New Roman" w:cs="Times New Roman"/>
          <w:sz w:val="24"/>
          <w:lang w:val="en-MY"/>
        </w:rPr>
        <w:t>ith Traumatic Shock. Chinese and Foreign Medical Research, 22(35): 86–90.</w:t>
      </w:r>
    </w:p>
    <w:p w14:paraId="04BB9DA6" w14:textId="77777777"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[9] </w:t>
      </w:r>
      <w:r w:rsidR="00D75D91">
        <w:rPr>
          <w:rFonts w:ascii="Times New Roman" w:hAnsi="Times New Roman" w:cs="Times New Roman"/>
          <w:sz w:val="24"/>
          <w:lang w:val="en-MY"/>
        </w:rPr>
        <w:tab/>
      </w:r>
      <w:r w:rsidRPr="00882B4E">
        <w:rPr>
          <w:rFonts w:ascii="Times New Roman" w:hAnsi="Times New Roman" w:cs="Times New Roman"/>
          <w:sz w:val="24"/>
          <w:lang w:val="en-MY"/>
        </w:rPr>
        <w:t>Song J, 2024, Common Diagnostic and Therapeutic Pitfalls in Coagulation Disorders in Critically Ill Patients. Medical Research and Combat Trauma Care, 37(12): 1242–1246.</w:t>
      </w:r>
    </w:p>
    <w:p w14:paraId="26FFD2A5" w14:textId="77777777" w:rsidR="00D75D91" w:rsidRDefault="00882B4E" w:rsidP="00D75D9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[10] </w:t>
      </w:r>
      <w:r w:rsidR="00D75D91">
        <w:rPr>
          <w:rFonts w:ascii="Times New Roman" w:hAnsi="Times New Roman" w:cs="Times New Roman"/>
          <w:sz w:val="24"/>
          <w:lang w:val="en-MY"/>
        </w:rPr>
        <w:tab/>
      </w:r>
      <w:r w:rsidRPr="00882B4E">
        <w:rPr>
          <w:rFonts w:ascii="Times New Roman" w:hAnsi="Times New Roman" w:cs="Times New Roman"/>
          <w:sz w:val="24"/>
          <w:lang w:val="en-MY"/>
        </w:rPr>
        <w:t>Gaasch S, 2021, Critical Care Considerations for Damage Control in a Trauma Patient. AACN Advanced Critical Care, 32(1): 64–75.</w:t>
      </w:r>
    </w:p>
    <w:p w14:paraId="1C5C6898" w14:textId="77777777" w:rsidR="00E63921" w:rsidRDefault="00882B4E" w:rsidP="00E6392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[11] </w:t>
      </w:r>
      <w:r w:rsidR="00D75D91">
        <w:rPr>
          <w:rFonts w:ascii="Times New Roman" w:hAnsi="Times New Roman" w:cs="Times New Roman"/>
          <w:sz w:val="24"/>
          <w:lang w:val="en-MY"/>
        </w:rPr>
        <w:tab/>
      </w:r>
      <w:r w:rsidRPr="00882B4E">
        <w:rPr>
          <w:rFonts w:ascii="Times New Roman" w:hAnsi="Times New Roman" w:cs="Times New Roman"/>
          <w:sz w:val="24"/>
          <w:lang w:val="en-MY"/>
        </w:rPr>
        <w:t>CRASH-2 Trial Collaborators, 2020, Effects of Tranexamic Acid on Death, Vascular Occlusive Events, and Blood Transfusion in Trauma Patients. Lancet.</w:t>
      </w:r>
    </w:p>
    <w:p w14:paraId="0215CD47" w14:textId="77777777" w:rsidR="00E63921" w:rsidRDefault="00882B4E" w:rsidP="00E6392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[12] </w:t>
      </w:r>
      <w:r w:rsidR="00E63921">
        <w:rPr>
          <w:rFonts w:ascii="Times New Roman" w:hAnsi="Times New Roman" w:cs="Times New Roman"/>
          <w:sz w:val="24"/>
          <w:lang w:val="en-MY"/>
        </w:rPr>
        <w:tab/>
      </w:r>
      <w:r w:rsidRPr="00882B4E">
        <w:rPr>
          <w:rFonts w:ascii="Times New Roman" w:hAnsi="Times New Roman" w:cs="Times New Roman"/>
          <w:sz w:val="24"/>
          <w:lang w:val="en-MY"/>
        </w:rPr>
        <w:t xml:space="preserve">American College of Surgeons Committee on Trauma, 2023, Advanced Trauma Life Support </w:t>
      </w:r>
      <w:r w:rsidRPr="00882B4E">
        <w:rPr>
          <w:rFonts w:ascii="Times New Roman" w:hAnsi="Times New Roman" w:cs="Times New Roman"/>
          <w:sz w:val="24"/>
          <w:lang w:val="en-MY"/>
        </w:rPr>
        <w:lastRenderedPageBreak/>
        <w:t>(ATLS): Student Course Manual, 11th Edition, American College of Surgeons, Chicago.</w:t>
      </w:r>
    </w:p>
    <w:p w14:paraId="4B736CF4" w14:textId="77777777" w:rsidR="00E63921" w:rsidRDefault="00882B4E" w:rsidP="00E6392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[13] </w:t>
      </w:r>
      <w:r w:rsidR="00E63921">
        <w:rPr>
          <w:rFonts w:ascii="Times New Roman" w:hAnsi="Times New Roman" w:cs="Times New Roman"/>
          <w:sz w:val="24"/>
          <w:lang w:val="en-MY"/>
        </w:rPr>
        <w:tab/>
      </w:r>
      <w:r w:rsidRPr="00882B4E">
        <w:rPr>
          <w:rFonts w:ascii="Times New Roman" w:hAnsi="Times New Roman" w:cs="Times New Roman"/>
          <w:sz w:val="24"/>
          <w:lang w:val="en-MY"/>
        </w:rPr>
        <w:t xml:space="preserve">Yang H, Wang J, 2024, Combined Application of Conventional Coagulation Tests and </w:t>
      </w:r>
      <w:proofErr w:type="spellStart"/>
      <w:r w:rsidRPr="00882B4E">
        <w:rPr>
          <w:rFonts w:ascii="Times New Roman" w:hAnsi="Times New Roman" w:cs="Times New Roman"/>
          <w:sz w:val="24"/>
          <w:lang w:val="en-MY"/>
        </w:rPr>
        <w:t>Thromboelastography</w:t>
      </w:r>
      <w:proofErr w:type="spellEnd"/>
      <w:r w:rsidRPr="00882B4E">
        <w:rPr>
          <w:rFonts w:ascii="Times New Roman" w:hAnsi="Times New Roman" w:cs="Times New Roman"/>
          <w:sz w:val="24"/>
          <w:lang w:val="en-MY"/>
        </w:rPr>
        <w:t xml:space="preserve"> in Blood Transfusion for Critically Ill Patients. Clinical Education of General Practice, 22(12): 1132–1133 + 1138.</w:t>
      </w:r>
    </w:p>
    <w:p w14:paraId="7B4EA860" w14:textId="77777777" w:rsidR="00E63921" w:rsidRDefault="00882B4E" w:rsidP="00E63921">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[14] </w:t>
      </w:r>
      <w:r w:rsidR="00E63921">
        <w:rPr>
          <w:rFonts w:ascii="Times New Roman" w:hAnsi="Times New Roman" w:cs="Times New Roman"/>
          <w:sz w:val="24"/>
          <w:lang w:val="en-MY"/>
        </w:rPr>
        <w:tab/>
      </w:r>
      <w:r w:rsidRPr="00882B4E">
        <w:rPr>
          <w:rFonts w:ascii="Times New Roman" w:hAnsi="Times New Roman" w:cs="Times New Roman"/>
          <w:sz w:val="24"/>
          <w:lang w:val="en-MY"/>
        </w:rPr>
        <w:t>Song J, Guo J, Zhang L, et al., 2025, Chinese Expert Consensus on Standardized Assessment of Severe Coagulopathy (2025 Edition). Medical Journal of Chinese People’s Liberation Army, 50(9): 1055–1069.</w:t>
      </w:r>
    </w:p>
    <w:p w14:paraId="02BC56F3" w14:textId="523A07C8" w:rsidR="00882B4E" w:rsidRPr="00882B4E" w:rsidRDefault="00882B4E" w:rsidP="00B906ED">
      <w:pPr>
        <w:snapToGrid w:val="0"/>
        <w:ind w:left="709" w:hanging="709"/>
        <w:rPr>
          <w:rFonts w:ascii="Times New Roman" w:hAnsi="Times New Roman" w:cs="Times New Roman"/>
          <w:sz w:val="24"/>
          <w:lang w:val="en-MY"/>
        </w:rPr>
      </w:pPr>
      <w:r w:rsidRPr="00882B4E">
        <w:rPr>
          <w:rFonts w:ascii="Times New Roman" w:hAnsi="Times New Roman" w:cs="Times New Roman"/>
          <w:sz w:val="24"/>
          <w:lang w:val="en-MY"/>
        </w:rPr>
        <w:t xml:space="preserve">[15] </w:t>
      </w:r>
      <w:r w:rsidR="00E63921">
        <w:rPr>
          <w:rFonts w:ascii="Times New Roman" w:hAnsi="Times New Roman" w:cs="Times New Roman"/>
          <w:sz w:val="24"/>
          <w:lang w:val="en-MY"/>
        </w:rPr>
        <w:tab/>
      </w:r>
      <w:r w:rsidRPr="00882B4E">
        <w:rPr>
          <w:rFonts w:ascii="Times New Roman" w:hAnsi="Times New Roman" w:cs="Times New Roman"/>
          <w:sz w:val="24"/>
          <w:lang w:val="en-MY"/>
        </w:rPr>
        <w:t xml:space="preserve">Li J, Yi S, Zhang W, Yang C, 2025, Clinical Observation of Tranexamic Acid Combined </w:t>
      </w:r>
      <w:r w:rsidR="00E63921">
        <w:rPr>
          <w:rFonts w:ascii="Times New Roman" w:hAnsi="Times New Roman" w:cs="Times New Roman"/>
          <w:sz w:val="24"/>
          <w:lang w:val="en-MY"/>
        </w:rPr>
        <w:t>w</w:t>
      </w:r>
      <w:r w:rsidRPr="00882B4E">
        <w:rPr>
          <w:rFonts w:ascii="Times New Roman" w:hAnsi="Times New Roman" w:cs="Times New Roman"/>
          <w:sz w:val="24"/>
          <w:lang w:val="en-MY"/>
        </w:rPr>
        <w:t>ith Human Fibrinogen in the Treatment of Traumatic Coagulopathy. Contemporary Medical Symposium, 23(33): 39–41.</w:t>
      </w:r>
    </w:p>
    <w:p w14:paraId="3D8C355D" w14:textId="77777777" w:rsidR="007241F8" w:rsidRDefault="007241F8" w:rsidP="00A76A87">
      <w:pPr>
        <w:snapToGrid w:val="0"/>
        <w:rPr>
          <w:rFonts w:ascii="Times New Roman" w:hAnsi="Times New Roman" w:cs="Times New Roman"/>
          <w:sz w:val="24"/>
        </w:rPr>
      </w:pPr>
    </w:p>
    <w:p w14:paraId="4B9FA874" w14:textId="77777777" w:rsidR="007241F8" w:rsidRPr="00B906ED" w:rsidRDefault="007241F8" w:rsidP="007241F8">
      <w:pPr>
        <w:snapToGrid w:val="0"/>
        <w:rPr>
          <w:rFonts w:ascii="Times New Roman" w:hAnsi="Times New Roman" w:cs="Times New Roman"/>
          <w:b/>
          <w:bCs/>
          <w:sz w:val="20"/>
          <w:szCs w:val="20"/>
        </w:rPr>
      </w:pPr>
      <w:r w:rsidRPr="00B906ED">
        <w:rPr>
          <w:rFonts w:ascii="Times New Roman" w:hAnsi="Times New Roman" w:cs="Times New Roman"/>
          <w:b/>
          <w:bCs/>
          <w:sz w:val="20"/>
          <w:szCs w:val="20"/>
        </w:rPr>
        <w:t>Publisher’s note</w:t>
      </w:r>
    </w:p>
    <w:p w14:paraId="470E3E83" w14:textId="77777777" w:rsidR="007241F8" w:rsidRPr="00B906ED" w:rsidRDefault="007241F8" w:rsidP="007241F8">
      <w:pPr>
        <w:snapToGrid w:val="0"/>
        <w:rPr>
          <w:rFonts w:ascii="Times New Roman" w:hAnsi="Times New Roman" w:cs="Times New Roman"/>
          <w:sz w:val="20"/>
          <w:szCs w:val="20"/>
        </w:rPr>
      </w:pPr>
      <w:r w:rsidRPr="00B906ED">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4B7CAA63" w14:textId="77777777" w:rsidR="007241F8" w:rsidRDefault="007241F8" w:rsidP="00B906ED">
      <w:pPr>
        <w:snapToGrid w:val="0"/>
        <w:rPr>
          <w:rFonts w:ascii="Times New Roman" w:hAnsi="Times New Roman" w:cs="Times New Roman"/>
          <w:sz w:val="24"/>
        </w:rPr>
      </w:pPr>
    </w:p>
    <w:p w14:paraId="6BE2E60D" w14:textId="00F0C0A3" w:rsidR="00820E59" w:rsidRDefault="00820E59" w:rsidP="00B906ED">
      <w:pPr>
        <w:snapToGrid w:val="0"/>
        <w:rPr>
          <w:rFonts w:ascii="Times New Roman" w:hAnsi="Times New Roman" w:cs="Times New Roman"/>
          <w:sz w:val="24"/>
        </w:rPr>
      </w:pPr>
    </w:p>
    <w:sectPr w:rsidR="00820E59" w:rsidSect="00B906ED">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020A54B-5811-41A1-8043-2EEFCD0FC15A}"/>
    <w:embedBold r:id="rId2" w:fontKey="{0980F6C0-2B95-42A1-B10C-1CEED04FFBF1}"/>
    <w:embedItalic r:id="rId3" w:fontKey="{DD9C7E0D-89CA-428E-B920-BBE58C289BA5}"/>
    <w:embedBoldItalic r:id="rId4" w:fontKey="{9211F3E6-2CA7-41B0-A1BA-0AAF8646144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E16A71C1-94DB-4F92-85FC-35B6116FD5D3}"/>
  </w:font>
  <w:font w:name="Arial, sans-serif">
    <w:altName w:val="Segoe Print"/>
    <w:charset w:val="00"/>
    <w:family w:val="auto"/>
    <w:pitch w:val="default"/>
    <w:embedRegular r:id="rId6" w:fontKey="{769344AD-1865-4D13-A4EA-411AC124297A}"/>
    <w:embedBold r:id="rId7" w:fontKey="{74EE019E-EA12-47EA-B737-58C8D4A28963}"/>
    <w:embedBoldItalic r:id="rId8" w:fontKey="{215DB478-B86E-4B12-A884-6F3D5B101AA5}"/>
  </w:font>
  <w:font w:name="Calibri Light">
    <w:panose1 w:val="020F0302020204030204"/>
    <w:charset w:val="00"/>
    <w:family w:val="swiss"/>
    <w:pitch w:val="variable"/>
    <w:sig w:usb0="E4002EFF" w:usb1="C200247B" w:usb2="00000009" w:usb3="00000000" w:csb0="000001FF" w:csb1="00000000"/>
    <w:embedRegular r:id="rId9" w:fontKey="{580C7E4E-1385-476C-BDE6-D125956C5C7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9869C9"/>
    <w:rsid w:val="00133F78"/>
    <w:rsid w:val="00274CC8"/>
    <w:rsid w:val="00545E9D"/>
    <w:rsid w:val="006F0258"/>
    <w:rsid w:val="007241F8"/>
    <w:rsid w:val="00820E59"/>
    <w:rsid w:val="00882B4E"/>
    <w:rsid w:val="008A6179"/>
    <w:rsid w:val="00A04D6F"/>
    <w:rsid w:val="00A76A87"/>
    <w:rsid w:val="00B906ED"/>
    <w:rsid w:val="00D36F75"/>
    <w:rsid w:val="00D75D91"/>
    <w:rsid w:val="00DA16F7"/>
    <w:rsid w:val="00DC532C"/>
    <w:rsid w:val="00E63921"/>
    <w:rsid w:val="00FC3706"/>
    <w:rsid w:val="178756C1"/>
    <w:rsid w:val="229242E3"/>
    <w:rsid w:val="309869C9"/>
    <w:rsid w:val="3B47390A"/>
    <w:rsid w:val="3C5D5C29"/>
    <w:rsid w:val="5684551D"/>
    <w:rsid w:val="70C53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2E548"/>
  <w15:docId w15:val="{8737D099-440F-43F4-9E60-31B006AA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Pr>
      <w:sz w:val="24"/>
    </w:rPr>
  </w:style>
  <w:style w:type="character" w:styleId="Hyperlink">
    <w:name w:val="Hyperlink"/>
    <w:basedOn w:val="DefaultParagraphFont"/>
    <w:rPr>
      <w:color w:val="0000FF"/>
      <w:u w:val="single"/>
    </w:rPr>
  </w:style>
  <w:style w:type="paragraph" w:styleId="Revision">
    <w:name w:val="Revision"/>
    <w:hidden/>
    <w:uiPriority w:val="99"/>
    <w:unhideWhenUsed/>
    <w:rsid w:val="00A04D6F"/>
    <w:rPr>
      <w:rFonts w:asciiTheme="minorHAnsi" w:eastAsiaTheme="minorEastAsia" w:hAnsiTheme="minorHAnsi" w:cstheme="minorBidi"/>
      <w:kern w:val="2"/>
      <w:sz w:val="21"/>
      <w:szCs w:val="24"/>
      <w:lang w:val="en-US"/>
    </w:rPr>
  </w:style>
  <w:style w:type="table" w:styleId="TableGrid">
    <w:name w:val="Table Grid"/>
    <w:basedOn w:val="TableNormal"/>
    <w:rsid w:val="0054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3.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4504</Words>
  <Characters>25674</Characters>
  <Application>Microsoft Office Word</Application>
  <DocSecurity>0</DocSecurity>
  <Lines>213</Lines>
  <Paragraphs>60</Paragraphs>
  <ScaleCrop>false</ScaleCrop>
  <Company/>
  <LinksUpToDate>false</LinksUpToDate>
  <CharactersWithSpaces>30118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伴你99</dc:creator>
  <cp:lastModifiedBy>Acer NB1</cp:lastModifiedBy>
  <cp:revision>2</cp:revision>
  <dcterms:created xsi:type="dcterms:W3CDTF">2026-10-12T11:11:00Z</dcterms:created>
  <dcterms:modified xsi:type="dcterms:W3CDTF">2026-10-12T11:11:00Z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151FE2A20F7C4E52AE289E65775894A4_11</vt:lpwstr>
  </property>
  <property fmtid="{D5CDD505-2E9C-101B-9397-08002B2CF9AE}" pid="4" name="KSOTemplateDocerSaveRecord">
    <vt:lpwstr>eyJoZGlkIjoiZTBiYjBjMzJlZDA2ZWE2YWNmMzQyN2E2MGVlZTcxZjkiLCJ1c2VySWQiOiI2MTA5NTIyOTYifQ==</vt:lpwstr>
  </property>
</Properties>
</file>