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0C659">
      <w:pPr>
        <w:pStyle w:val="5"/>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jc w:val="left"/>
        <w:textAlignment w:val="auto"/>
        <w:rPr>
          <w:rFonts w:hint="default" w:ascii="Times New Roman" w:hAnsi="Times New Roman" w:eastAsia="Segoe UI" w:cs="Times New Roman"/>
          <w:i w:val="0"/>
          <w:iCs w:val="0"/>
          <w:caps w:val="0"/>
          <w:color w:val="0F1115"/>
          <w:spacing w:val="0"/>
          <w:sz w:val="44"/>
          <w:szCs w:val="44"/>
        </w:rPr>
      </w:pPr>
      <w:r>
        <w:rPr>
          <w:rStyle w:val="8"/>
          <w:rFonts w:hint="default" w:ascii="Times New Roman" w:hAnsi="Times New Roman" w:eastAsia="Segoe UI" w:cs="Times New Roman"/>
          <w:b/>
          <w:bCs/>
          <w:i w:val="0"/>
          <w:iCs w:val="0"/>
          <w:caps w:val="0"/>
          <w:color w:val="0F1115"/>
          <w:spacing w:val="0"/>
          <w:sz w:val="44"/>
          <w:szCs w:val="44"/>
          <w:shd w:val="clear" w:fill="FFFFFF"/>
        </w:rPr>
        <w:t xml:space="preserve">CRISPR/Cas9 </w:t>
      </w:r>
      <w:r>
        <w:rPr>
          <w:rStyle w:val="8"/>
          <w:rFonts w:hint="eastAsia" w:ascii="Times New Roman" w:hAnsi="Times New Roman" w:eastAsia="宋体" w:cs="Times New Roman"/>
          <w:b/>
          <w:bCs/>
          <w:i w:val="0"/>
          <w:iCs w:val="0"/>
          <w:caps w:val="0"/>
          <w:color w:val="0F1115"/>
          <w:spacing w:val="0"/>
          <w:sz w:val="44"/>
          <w:szCs w:val="44"/>
          <w:shd w:val="clear" w:fill="FFFFFF"/>
          <w:lang w:val="en-US" w:eastAsia="zh-CN"/>
        </w:rPr>
        <w:t>E</w:t>
      </w:r>
      <w:r>
        <w:rPr>
          <w:rStyle w:val="8"/>
          <w:rFonts w:hint="default" w:ascii="Times New Roman" w:hAnsi="Times New Roman" w:eastAsia="Segoe UI" w:cs="Times New Roman"/>
          <w:b/>
          <w:bCs/>
          <w:i w:val="0"/>
          <w:iCs w:val="0"/>
          <w:caps w:val="0"/>
          <w:color w:val="0F1115"/>
          <w:spacing w:val="0"/>
          <w:sz w:val="44"/>
          <w:szCs w:val="44"/>
          <w:shd w:val="clear" w:fill="FFFFFF"/>
        </w:rPr>
        <w:t xml:space="preserve">diting of miR-146a </w:t>
      </w:r>
      <w:r>
        <w:rPr>
          <w:rStyle w:val="8"/>
          <w:rFonts w:hint="eastAsia" w:ascii="Times New Roman" w:hAnsi="Times New Roman" w:eastAsia="宋体" w:cs="Times New Roman"/>
          <w:b/>
          <w:bCs/>
          <w:i w:val="0"/>
          <w:iCs w:val="0"/>
          <w:caps w:val="0"/>
          <w:color w:val="0F1115"/>
          <w:spacing w:val="0"/>
          <w:sz w:val="44"/>
          <w:szCs w:val="44"/>
          <w:shd w:val="clear" w:fill="FFFFFF"/>
          <w:lang w:val="en-US" w:eastAsia="zh-CN"/>
        </w:rPr>
        <w:t>S</w:t>
      </w:r>
      <w:r>
        <w:rPr>
          <w:rStyle w:val="8"/>
          <w:rFonts w:hint="default" w:ascii="Times New Roman" w:hAnsi="Times New Roman" w:eastAsia="Segoe UI" w:cs="Times New Roman"/>
          <w:b/>
          <w:bCs/>
          <w:i w:val="0"/>
          <w:iCs w:val="0"/>
          <w:caps w:val="0"/>
          <w:color w:val="0F1115"/>
          <w:spacing w:val="0"/>
          <w:sz w:val="44"/>
          <w:szCs w:val="44"/>
          <w:shd w:val="clear" w:fill="FFFFFF"/>
        </w:rPr>
        <w:t>uppresses</w:t>
      </w:r>
      <w:r>
        <w:rPr>
          <w:rStyle w:val="8"/>
          <w:rFonts w:hint="default" w:ascii="Times New Roman" w:hAnsi="Times New Roman" w:eastAsia="宋体" w:cs="Times New Roman"/>
          <w:b/>
          <w:bCs/>
          <w:i w:val="0"/>
          <w:iCs w:val="0"/>
          <w:caps w:val="0"/>
          <w:color w:val="0F1115"/>
          <w:spacing w:val="0"/>
          <w:sz w:val="44"/>
          <w:szCs w:val="44"/>
          <w:shd w:val="clear" w:fill="FFFFFF"/>
          <w:lang w:val="en-US" w:eastAsia="zh-CN"/>
        </w:rPr>
        <w:t xml:space="preserve"> </w:t>
      </w:r>
      <w:r>
        <w:rPr>
          <w:rStyle w:val="8"/>
          <w:rFonts w:hint="eastAsia" w:ascii="Times New Roman" w:hAnsi="Times New Roman" w:eastAsia="宋体" w:cs="Times New Roman"/>
          <w:b/>
          <w:bCs/>
          <w:i w:val="0"/>
          <w:iCs w:val="0"/>
          <w:caps w:val="0"/>
          <w:color w:val="0F1115"/>
          <w:spacing w:val="0"/>
          <w:sz w:val="44"/>
          <w:szCs w:val="44"/>
          <w:shd w:val="clear" w:fill="FFFFFF"/>
          <w:lang w:val="en-US" w:eastAsia="zh-CN"/>
        </w:rPr>
        <w:t>I</w:t>
      </w:r>
      <w:r>
        <w:rPr>
          <w:rStyle w:val="8"/>
          <w:rFonts w:hint="default" w:ascii="Times New Roman" w:hAnsi="Times New Roman" w:eastAsia="Segoe UI" w:cs="Times New Roman"/>
          <w:b/>
          <w:bCs/>
          <w:i w:val="0"/>
          <w:iCs w:val="0"/>
          <w:caps w:val="0"/>
          <w:color w:val="0F1115"/>
          <w:spacing w:val="0"/>
          <w:sz w:val="44"/>
          <w:szCs w:val="44"/>
          <w:shd w:val="clear" w:fill="FFFFFF"/>
        </w:rPr>
        <w:t xml:space="preserve">mmobilization-induced </w:t>
      </w:r>
      <w:r>
        <w:rPr>
          <w:rStyle w:val="8"/>
          <w:rFonts w:hint="eastAsia" w:ascii="Times New Roman" w:hAnsi="Times New Roman" w:eastAsia="宋体" w:cs="Times New Roman"/>
          <w:b/>
          <w:bCs/>
          <w:i w:val="0"/>
          <w:iCs w:val="0"/>
          <w:caps w:val="0"/>
          <w:color w:val="0F1115"/>
          <w:spacing w:val="0"/>
          <w:sz w:val="44"/>
          <w:szCs w:val="44"/>
          <w:shd w:val="clear" w:fill="FFFFFF"/>
          <w:lang w:val="en-US" w:eastAsia="zh-CN"/>
        </w:rPr>
        <w:t>M</w:t>
      </w:r>
      <w:r>
        <w:rPr>
          <w:rStyle w:val="8"/>
          <w:rFonts w:hint="default" w:ascii="Times New Roman" w:hAnsi="Times New Roman" w:eastAsia="Segoe UI" w:cs="Times New Roman"/>
          <w:b/>
          <w:bCs/>
          <w:i w:val="0"/>
          <w:iCs w:val="0"/>
          <w:caps w:val="0"/>
          <w:color w:val="0F1115"/>
          <w:spacing w:val="0"/>
          <w:sz w:val="44"/>
          <w:szCs w:val="44"/>
          <w:shd w:val="clear" w:fill="FFFFFF"/>
        </w:rPr>
        <w:t xml:space="preserve">uscle </w:t>
      </w:r>
      <w:r>
        <w:rPr>
          <w:rStyle w:val="8"/>
          <w:rFonts w:hint="eastAsia" w:ascii="Times New Roman" w:hAnsi="Times New Roman" w:eastAsia="宋体" w:cs="Times New Roman"/>
          <w:b/>
          <w:bCs/>
          <w:i w:val="0"/>
          <w:iCs w:val="0"/>
          <w:caps w:val="0"/>
          <w:color w:val="0F1115"/>
          <w:spacing w:val="0"/>
          <w:sz w:val="44"/>
          <w:szCs w:val="44"/>
          <w:shd w:val="clear" w:fill="FFFFFF"/>
          <w:lang w:val="en-US" w:eastAsia="zh-CN"/>
        </w:rPr>
        <w:t>A</w:t>
      </w:r>
      <w:r>
        <w:rPr>
          <w:rStyle w:val="8"/>
          <w:rFonts w:hint="default" w:ascii="Times New Roman" w:hAnsi="Times New Roman" w:eastAsia="Segoe UI" w:cs="Times New Roman"/>
          <w:b/>
          <w:bCs/>
          <w:i w:val="0"/>
          <w:iCs w:val="0"/>
          <w:caps w:val="0"/>
          <w:color w:val="0F1115"/>
          <w:spacing w:val="0"/>
          <w:sz w:val="44"/>
          <w:szCs w:val="44"/>
          <w:shd w:val="clear" w:fill="FFFFFF"/>
        </w:rPr>
        <w:t>trophy</w:t>
      </w:r>
    </w:p>
    <w:p w14:paraId="32760985">
      <w:pPr>
        <w:pStyle w:val="4"/>
        <w:keepNext w:val="0"/>
        <w:keepLines w:val="0"/>
        <w:pageBreakBefore w:val="0"/>
        <w:widowControl w:val="0"/>
        <w:kinsoku/>
        <w:wordWrap/>
        <w:overflowPunct/>
        <w:topLinePunct w:val="0"/>
        <w:autoSpaceDE/>
        <w:autoSpaceDN/>
        <w:bidi w:val="0"/>
        <w:adjustRightInd/>
        <w:snapToGrid/>
        <w:spacing w:line="240" w:lineRule="auto"/>
        <w:ind w:left="0"/>
        <w:textAlignment w:val="auto"/>
        <w:rPr>
          <w:rFonts w:hint="default" w:ascii="Times New Roman" w:hAnsi="Times New Roman" w:eastAsia="宋体" w:cs="Times New Roman"/>
          <w:i w:val="0"/>
          <w:i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Lu Li</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b/>
          <w:bCs/>
          <w:i w:val="0"/>
          <w:iCs w:val="0"/>
          <w:sz w:val="24"/>
          <w:lang w:val="en-US" w:eastAsia="zh-CN"/>
        </w:rPr>
        <w:t>†</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 xml:space="preserve"> </w:t>
      </w:r>
      <w:r>
        <w:rPr>
          <w:rFonts w:hint="default" w:ascii="Times New Roman" w:hAnsi="Times New Roman" w:eastAsia="宋体" w:cs="Times New Roman"/>
          <w:b/>
          <w:bCs/>
          <w:i w:val="0"/>
          <w:iCs w:val="0"/>
          <w:color w:val="000000" w:themeColor="text1"/>
          <w:sz w:val="24"/>
          <w:szCs w:val="24"/>
          <w:lang w:val="en-US" w:eastAsia="zh-CN"/>
          <w14:textFill>
            <w14:solidFill>
              <w14:schemeClr w14:val="tx1"/>
            </w14:solidFill>
          </w14:textFill>
        </w:rPr>
        <w:t>Xiang Gao</w:t>
      </w:r>
      <w:r>
        <w:rPr>
          <w:rFonts w:hint="eastAsia" w:eastAsia="宋体" w:cs="Times New Roman"/>
          <w:b/>
          <w:bCs/>
          <w:i w:val="0"/>
          <w:iCs w:val="0"/>
          <w:color w:val="000000" w:themeColor="text1"/>
          <w:sz w:val="24"/>
          <w:szCs w:val="24"/>
          <w:vertAlign w:val="superscript"/>
          <w:lang w:val="en-US" w:eastAsia="zh-CN"/>
          <w14:textFill>
            <w14:solidFill>
              <w14:schemeClr w14:val="tx1"/>
            </w14:solidFill>
          </w14:textFill>
        </w:rPr>
        <w:t>2</w:t>
      </w:r>
      <w:r>
        <w:rPr>
          <w:rFonts w:hint="default" w:ascii="Times New Roman" w:hAnsi="Times New Roman"/>
          <w:b/>
          <w:bCs/>
          <w:i w:val="0"/>
          <w:iCs w:val="0"/>
          <w:sz w:val="24"/>
          <w:lang w:val="en-US" w:eastAsia="zh-CN"/>
        </w:rPr>
        <w:t>†</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w:t>
      </w:r>
      <w:r>
        <w:rPr>
          <w:rFonts w:hint="default" w:ascii="Times New Roman" w:hAnsi="Times New Roman" w:cs="Times New Roman"/>
          <w:b/>
          <w:bCs/>
          <w:i w:val="0"/>
          <w:iCs w:val="0"/>
          <w:color w:val="000000" w:themeColor="text1"/>
          <w:spacing w:val="19"/>
          <w:sz w:val="24"/>
          <w:szCs w:val="24"/>
          <w14:textFill>
            <w14:solidFill>
              <w14:schemeClr w14:val="tx1"/>
            </w14:solidFill>
          </w14:textFill>
        </w:rPr>
        <w:t xml:space="preserve"> </w:t>
      </w:r>
      <w:r>
        <w:rPr>
          <w:rFonts w:hint="default" w:ascii="Times New Roman" w:hAnsi="Times New Roman" w:eastAsia="宋体" w:cs="Times New Roman"/>
          <w:b/>
          <w:bCs/>
          <w:i w:val="0"/>
          <w:iCs w:val="0"/>
          <w:color w:val="000000" w:themeColor="text1"/>
          <w:spacing w:val="19"/>
          <w:sz w:val="24"/>
          <w:szCs w:val="24"/>
          <w:lang w:val="en-US" w:eastAsia="zh-CN"/>
          <w14:textFill>
            <w14:solidFill>
              <w14:schemeClr w14:val="tx1"/>
            </w14:solidFill>
          </w14:textFill>
        </w:rPr>
        <w:t>Hui Wan</w:t>
      </w:r>
      <w:r>
        <w:rPr>
          <w:rFonts w:hint="eastAsia" w:eastAsia="宋体" w:cs="Times New Roman"/>
          <w:b/>
          <w:bCs/>
          <w:i w:val="0"/>
          <w:iCs w:val="0"/>
          <w:color w:val="000000" w:themeColor="text1"/>
          <w:spacing w:val="19"/>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 xml:space="preserve">, </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Li Qiao</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 xml:space="preserve">, </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Xiao Xu</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w:t>
      </w:r>
      <w:r>
        <w:rPr>
          <w:rFonts w:hint="default" w:ascii="Times New Roman" w:hAnsi="Times New Roman" w:cs="Times New Roman"/>
          <w:b/>
          <w:bCs/>
          <w:i w:val="0"/>
          <w:iCs w:val="0"/>
          <w:color w:val="000000" w:themeColor="text1"/>
          <w:spacing w:val="-14"/>
          <w:sz w:val="24"/>
          <w:szCs w:val="24"/>
          <w14:textFill>
            <w14:solidFill>
              <w14:schemeClr w14:val="tx1"/>
            </w14:solidFill>
          </w14:textFill>
        </w:rPr>
        <w:t xml:space="preserve"> </w:t>
      </w:r>
      <w:r>
        <w:rPr>
          <w:rFonts w:hint="default" w:ascii="Times New Roman" w:hAnsi="Times New Roman" w:eastAsia="宋体" w:cs="Times New Roman"/>
          <w:b/>
          <w:bCs/>
          <w:i w:val="0"/>
          <w:iCs w:val="0"/>
          <w:color w:val="000000" w:themeColor="text1"/>
          <w:spacing w:val="-14"/>
          <w:sz w:val="24"/>
          <w:szCs w:val="24"/>
          <w:lang w:val="en-US" w:eastAsia="zh-CN"/>
          <w14:textFill>
            <w14:solidFill>
              <w14:schemeClr w14:val="tx1"/>
            </w14:solidFill>
          </w14:textFill>
        </w:rPr>
        <w:t>Yu</w:t>
      </w:r>
      <w:r>
        <w:rPr>
          <w:rFonts w:hint="eastAsia" w:eastAsia="宋体" w:cs="Times New Roman"/>
          <w:b/>
          <w:bCs/>
          <w:i w:val="0"/>
          <w:iCs w:val="0"/>
          <w:color w:val="000000" w:themeColor="text1"/>
          <w:spacing w:val="-14"/>
          <w:sz w:val="24"/>
          <w:szCs w:val="24"/>
          <w:lang w:val="en-US" w:eastAsia="zh-CN"/>
          <w14:textFill>
            <w14:solidFill>
              <w14:schemeClr w14:val="tx1"/>
            </w14:solidFill>
          </w14:textFill>
        </w:rPr>
        <w:t>x</w:t>
      </w:r>
      <w:r>
        <w:rPr>
          <w:rFonts w:hint="default" w:ascii="Times New Roman" w:hAnsi="Times New Roman" w:eastAsia="宋体" w:cs="Times New Roman"/>
          <w:b/>
          <w:bCs/>
          <w:i w:val="0"/>
          <w:iCs w:val="0"/>
          <w:color w:val="000000" w:themeColor="text1"/>
          <w:spacing w:val="-14"/>
          <w:sz w:val="24"/>
          <w:szCs w:val="24"/>
          <w:lang w:val="en-US" w:eastAsia="zh-CN"/>
          <w14:textFill>
            <w14:solidFill>
              <w14:schemeClr w14:val="tx1"/>
            </w14:solidFill>
          </w14:textFill>
        </w:rPr>
        <w:t>in Yan</w:t>
      </w:r>
      <w:r>
        <w:rPr>
          <w:rFonts w:hint="eastAsia" w:eastAsia="宋体" w:cs="Times New Roman"/>
          <w:b/>
          <w:bCs/>
          <w:i w:val="0"/>
          <w:iCs w:val="0"/>
          <w:color w:val="000000" w:themeColor="text1"/>
          <w:spacing w:val="-14"/>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 xml:space="preserve">, </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Jia</w:t>
      </w:r>
      <w:r>
        <w:rPr>
          <w:rFonts w:hint="eastAsia" w:eastAsia="宋体" w:cs="Times New Roman"/>
          <w:b/>
          <w:bCs/>
          <w:i w:val="0"/>
          <w:iCs w:val="0"/>
          <w:color w:val="000000" w:themeColor="text1"/>
          <w:spacing w:val="1"/>
          <w:sz w:val="24"/>
          <w:szCs w:val="24"/>
          <w:lang w:val="en-US" w:eastAsia="zh-CN"/>
          <w14:textFill>
            <w14:solidFill>
              <w14:schemeClr w14:val="tx1"/>
            </w14:solidFill>
          </w14:textFill>
        </w:rPr>
        <w:t>h</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ao Yao</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 xml:space="preserve"> Jia</w:t>
      </w:r>
      <w:r>
        <w:rPr>
          <w:rFonts w:hint="eastAsia" w:eastAsia="宋体" w:cs="Times New Roman"/>
          <w:b/>
          <w:bCs/>
          <w:i w:val="0"/>
          <w:iCs w:val="0"/>
          <w:color w:val="000000" w:themeColor="text1"/>
          <w:spacing w:val="1"/>
          <w:sz w:val="24"/>
          <w:szCs w:val="24"/>
          <w:lang w:val="en-US" w:eastAsia="zh-CN"/>
          <w14:textFill>
            <w14:solidFill>
              <w14:schemeClr w14:val="tx1"/>
            </w14:solidFill>
          </w14:textFill>
        </w:rPr>
        <w:t>y</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u Bai</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14:textFill>
            <w14:solidFill>
              <w14:schemeClr w14:val="tx1"/>
            </w14:solidFill>
          </w14:textFill>
        </w:rPr>
        <w:t>,</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 xml:space="preserve"> </w:t>
      </w:r>
      <w:r>
        <w:rPr>
          <w:rFonts w:hint="eastAsia" w:eastAsia="宋体" w:cs="Times New Roman"/>
          <w:b/>
          <w:bCs/>
          <w:i w:val="0"/>
          <w:iCs w:val="0"/>
          <w:color w:val="000000" w:themeColor="text1"/>
          <w:spacing w:val="1"/>
          <w:sz w:val="24"/>
          <w:szCs w:val="24"/>
          <w:lang w:val="en-US" w:eastAsia="zh-CN"/>
          <w14:textFill>
            <w14:solidFill>
              <w14:schemeClr w14:val="tx1"/>
            </w14:solidFill>
          </w14:textFill>
        </w:rPr>
        <w:t>Z</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 xml:space="preserve">hirong </w:t>
      </w:r>
      <w:r>
        <w:rPr>
          <w:rFonts w:hint="eastAsia" w:eastAsia="宋体" w:cs="Times New Roman"/>
          <w:b/>
          <w:bCs/>
          <w:i w:val="0"/>
          <w:iCs w:val="0"/>
          <w:color w:val="000000" w:themeColor="text1"/>
          <w:spacing w:val="1"/>
          <w:sz w:val="24"/>
          <w:szCs w:val="24"/>
          <w:lang w:val="en-US" w:eastAsia="zh-CN"/>
          <w14:textFill>
            <w14:solidFill>
              <w14:schemeClr w14:val="tx1"/>
            </w14:solidFill>
          </w14:textFill>
        </w:rPr>
        <w:t>X</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ia</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spacing w:val="1"/>
          <w:sz w:val="24"/>
          <w:szCs w:val="24"/>
          <w:lang w:val="en-US" w:eastAsia="zh-CN"/>
          <w14:textFill>
            <w14:solidFill>
              <w14:schemeClr w14:val="tx1"/>
            </w14:solidFill>
          </w14:textFill>
        </w:rPr>
        <w:t>, Shuai Miao</w:t>
      </w:r>
      <w:r>
        <w:rPr>
          <w:rFonts w:hint="eastAsia" w:eastAsia="宋体" w:cs="Times New Roman"/>
          <w:b/>
          <w:bCs/>
          <w:i w:val="0"/>
          <w:iCs w:val="0"/>
          <w:color w:val="000000" w:themeColor="text1"/>
          <w:spacing w:val="1"/>
          <w:sz w:val="24"/>
          <w:szCs w:val="24"/>
          <w:vertAlign w:val="superscript"/>
          <w:lang w:val="en-US" w:eastAsia="zh-CN"/>
          <w14:textFill>
            <w14:solidFill>
              <w14:schemeClr w14:val="tx1"/>
            </w14:solidFill>
          </w14:textFill>
        </w:rPr>
        <w:t>1</w:t>
      </w:r>
      <w:r>
        <w:rPr>
          <w:rFonts w:hint="default" w:ascii="Times New Roman" w:hAnsi="Times New Roman" w:cs="Times New Roman"/>
          <w:b/>
          <w:bCs/>
          <w:i w:val="0"/>
          <w:iCs w:val="0"/>
          <w:color w:val="000000" w:themeColor="text1"/>
          <w:spacing w:val="-1"/>
          <w:sz w:val="24"/>
          <w:szCs w:val="24"/>
          <w:highlight w:val="none"/>
          <w14:textFill>
            <w14:solidFill>
              <w14:schemeClr w14:val="tx1"/>
            </w14:solidFill>
          </w14:textFill>
        </w:rPr>
        <w:t>*</w:t>
      </w:r>
    </w:p>
    <w:p w14:paraId="6BBCAB5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Department of Orthopaedic Surgery</w:t>
      </w:r>
      <w:r>
        <w:rPr>
          <w:rFonts w:hint="default" w:ascii="Times New Roman" w:hAnsi="Times New Roman" w:cs="Times New Roman"/>
          <w:i/>
          <w:iCs/>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14:textFill>
            <w14:solidFill>
              <w14:schemeClr w14:val="tx1"/>
            </w14:solidFill>
          </w14:textFill>
        </w:rPr>
        <w:t>Haishu People</w:t>
      </w:r>
      <w:r>
        <w:rPr>
          <w:rFonts w:hint="default" w:ascii="Times New Roman" w:hAnsi="Times New Roman" w:cs="Times New Roman"/>
          <w:i w:val="0"/>
          <w:iCs w:val="0"/>
          <w:color w:val="000000" w:themeColor="text1"/>
          <w:sz w:val="24"/>
          <w:szCs w:val="24"/>
          <w:lang w:val="en-US" w:eastAsia="zh-CN"/>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s Hospital</w:t>
      </w:r>
      <w:r>
        <w:rPr>
          <w:rFonts w:hint="default" w:ascii="Times New Roman" w:hAnsi="Times New Roman" w:cs="Times New Roman"/>
          <w:i w:val="0"/>
          <w:iCs w:val="0"/>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Ningbo315010</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Zhejiang</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China</w:t>
      </w:r>
    </w:p>
    <w:p w14:paraId="0381D5E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D</w:t>
      </w:r>
      <w:r>
        <w:rPr>
          <w:rFonts w:hint="default" w:ascii="Times New Roman" w:hAnsi="Times New Roman" w:cs="Times New Roman"/>
          <w:color w:val="000000" w:themeColor="text1"/>
          <w:sz w:val="24"/>
          <w:szCs w:val="24"/>
          <w14:textFill>
            <w14:solidFill>
              <w14:schemeClr w14:val="tx1"/>
            </w14:solidFill>
          </w14:textFill>
        </w:rPr>
        <w:t>epartment of Orthopedics Surgery, Hangzhou First People</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s Hospital, Hangzhou</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31</w:t>
      </w:r>
      <w:r>
        <w:rPr>
          <w:rFonts w:hint="default" w:ascii="Times New Roman" w:hAnsi="Times New Roman" w:cs="Times New Roman"/>
          <w:color w:val="000000" w:themeColor="text1"/>
          <w:sz w:val="24"/>
          <w:szCs w:val="24"/>
          <w:lang w:val="en-US" w:eastAsia="zh-CN"/>
          <w14:textFill>
            <w14:solidFill>
              <w14:schemeClr w14:val="tx1"/>
            </w14:solidFill>
          </w14:textFill>
        </w:rPr>
        <w:t>0000</w:t>
      </w:r>
      <w:r>
        <w:rPr>
          <w:rFonts w:hint="default" w:ascii="Times New Roman" w:hAnsi="Times New Roman" w:cs="Times New Roman"/>
          <w:color w:val="000000" w:themeColor="text1"/>
          <w:sz w:val="24"/>
          <w:szCs w:val="24"/>
          <w14:textFill>
            <w14:solidFill>
              <w14:schemeClr w14:val="tx1"/>
            </w14:solidFill>
          </w14:textFill>
        </w:rPr>
        <w:t>, Zhejiang</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China</w:t>
      </w:r>
    </w:p>
    <w:p w14:paraId="6984A93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Department of Rehabilitation Medicine</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Yuyao Fourth People</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s Hospital</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Ningbo</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315010</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Zhejiang</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China</w:t>
      </w:r>
    </w:p>
    <w:p w14:paraId="011C0BF8">
      <w:pPr>
        <w:rPr>
          <w:rFonts w:hint="default" w:ascii="Times New Roman" w:hAnsi="Times New Roman"/>
          <w:sz w:val="24"/>
          <w:lang w:val="en-US" w:eastAsia="zh-CN"/>
        </w:rPr>
      </w:pPr>
      <w:r>
        <w:rPr>
          <w:rFonts w:hint="default" w:ascii="Times New Roman" w:hAnsi="Times New Roman"/>
          <w:b/>
          <w:bCs/>
          <w:sz w:val="24"/>
          <w:lang w:val="en-US" w:eastAsia="zh-CN"/>
        </w:rPr>
        <w:t xml:space="preserve">† </w:t>
      </w:r>
      <w:r>
        <w:rPr>
          <w:rFonts w:hint="default" w:ascii="Times New Roman" w:hAnsi="Times New Roman"/>
          <w:sz w:val="24"/>
          <w:lang w:val="en-US" w:eastAsia="zh-CN"/>
        </w:rPr>
        <w:t>These authors contributed equally to this work and share the first authorship</w:t>
      </w:r>
      <w:r>
        <w:rPr>
          <w:rFonts w:hint="eastAsia" w:ascii="Times New Roman" w:hAnsi="Times New Roman"/>
          <w:sz w:val="24"/>
          <w:lang w:val="en-US" w:eastAsia="zh-CN"/>
        </w:rPr>
        <w:t>.</w:t>
      </w:r>
    </w:p>
    <w:p w14:paraId="001F678C">
      <w:pPr>
        <w:pStyle w:val="4"/>
        <w:keepNext w:val="0"/>
        <w:keepLines w:val="0"/>
        <w:pageBreakBefore w:val="0"/>
        <w:widowControl w:val="0"/>
        <w:kinsoku/>
        <w:wordWrap/>
        <w:overflowPunct/>
        <w:topLinePunct w:val="0"/>
        <w:autoSpaceDE/>
        <w:autoSpaceDN/>
        <w:bidi w:val="0"/>
        <w:adjustRightInd/>
        <w:snapToGrid/>
        <w:spacing w:line="240" w:lineRule="auto"/>
        <w:ind w:left="0"/>
        <w:textAlignment w:val="auto"/>
        <w:rPr>
          <w:rStyle w:val="10"/>
          <w:rFonts w:hint="default" w:ascii="Times New Roman" w:hAnsi="Times New Roman" w:eastAsia="宋体" w:cs="Times New Roman"/>
          <w:i w:val="0"/>
          <w:iCs w:val="0"/>
          <w:caps w:val="0"/>
          <w:color w:val="auto"/>
          <w:spacing w:val="0"/>
          <w:sz w:val="24"/>
          <w:szCs w:val="24"/>
          <w:u w:val="none"/>
          <w:shd w:val="clear" w:fill="FFFFFF"/>
        </w:rPr>
      </w:pPr>
      <w:r>
        <w:rPr>
          <w:rFonts w:hint="default" w:ascii="Times New Roman" w:hAnsi="Times New Roman" w:cs="Times New Roman"/>
          <w:b/>
          <w:bCs/>
          <w:color w:val="000000" w:themeColor="text1"/>
          <w:spacing w:val="-1"/>
          <w:sz w:val="24"/>
          <w:szCs w:val="24"/>
          <w:highlight w:val="none"/>
          <w14:textFill>
            <w14:solidFill>
              <w14:schemeClr w14:val="tx1"/>
            </w14:solidFill>
          </w14:textFill>
        </w:rPr>
        <w:t>*</w:t>
      </w:r>
      <w:r>
        <w:rPr>
          <w:rFonts w:hint="default" w:ascii="Times New Roman" w:hAnsi="Times New Roman" w:cs="Times New Roman"/>
          <w:b/>
          <w:bCs/>
          <w:i/>
          <w:iCs/>
          <w:color w:val="000000" w:themeColor="text1"/>
          <w:sz w:val="24"/>
          <w:szCs w:val="24"/>
          <w14:textFill>
            <w14:solidFill>
              <w14:schemeClr w14:val="tx1"/>
            </w14:solidFill>
          </w14:textFill>
        </w:rPr>
        <w:t>Corresponding author</w:t>
      </w:r>
      <w:r>
        <w:rPr>
          <w:rFonts w:hint="default" w:ascii="Times New Roman" w:hAnsi="Times New Roman" w:cs="Times New Roman"/>
          <w:i/>
          <w:iCs/>
          <w:color w:val="000000" w:themeColor="text1"/>
          <w:sz w:val="24"/>
          <w:szCs w:val="24"/>
          <w14:textFill>
            <w14:solidFill>
              <w14:schemeClr w14:val="tx1"/>
            </w14:solidFill>
          </w14:textFill>
        </w:rPr>
        <w:t xml:space="preserve">: </w:t>
      </w:r>
      <w:r>
        <w:rPr>
          <w:rFonts w:hint="default" w:ascii="Times New Roman" w:hAnsi="Times New Roman" w:eastAsia="宋体" w:cs="Times New Roman"/>
          <w:i w:val="0"/>
          <w:iCs w:val="0"/>
          <w:color w:val="auto"/>
          <w:spacing w:val="1"/>
          <w:sz w:val="24"/>
          <w:szCs w:val="24"/>
          <w:lang w:val="en-US" w:eastAsia="zh-CN"/>
        </w:rPr>
        <w:t>Shuai Miao</w:t>
      </w:r>
      <w:r>
        <w:rPr>
          <w:rFonts w:hint="eastAsia" w:eastAsia="宋体" w:cs="Times New Roman"/>
          <w:i w:val="0"/>
          <w:iCs w:val="0"/>
          <w:color w:val="auto"/>
          <w:spacing w:val="1"/>
          <w:sz w:val="24"/>
          <w:szCs w:val="24"/>
          <w:lang w:val="en-US" w:eastAsia="zh-CN"/>
        </w:rPr>
        <w:t>,</w:t>
      </w:r>
      <w:r>
        <w:rPr>
          <w:rFonts w:hint="eastAsia" w:eastAsia="宋体" w:cs="Times New Roman"/>
          <w:i/>
          <w:iCs/>
          <w:color w:val="auto"/>
          <w:spacing w:val="1"/>
          <w:sz w:val="24"/>
          <w:szCs w:val="24"/>
          <w:lang w:val="en-US" w:eastAsia="zh-CN"/>
        </w:rPr>
        <w:t xml:space="preserve"> </w:t>
      </w:r>
      <w:r>
        <w:rPr>
          <w:rFonts w:hint="default" w:ascii="Times New Roman" w:hAnsi="Times New Roman" w:eastAsia="宋体" w:cs="Times New Roman"/>
          <w:i w:val="0"/>
          <w:iCs w:val="0"/>
          <w:caps w:val="0"/>
          <w:color w:val="auto"/>
          <w:spacing w:val="0"/>
          <w:sz w:val="24"/>
          <w:szCs w:val="24"/>
          <w:u w:val="none"/>
          <w:shd w:val="clear" w:fill="FFFFFF"/>
        </w:rPr>
        <w:t>m15558239208_1@163.com</w:t>
      </w:r>
    </w:p>
    <w:p w14:paraId="0675AA6A">
      <w:pPr>
        <w:pStyle w:val="4"/>
        <w:keepNext w:val="0"/>
        <w:keepLines w:val="0"/>
        <w:pageBreakBefore w:val="0"/>
        <w:widowControl w:val="0"/>
        <w:kinsoku/>
        <w:wordWrap/>
        <w:overflowPunct/>
        <w:topLinePunct w:val="0"/>
        <w:autoSpaceDE/>
        <w:autoSpaceDN/>
        <w:bidi w:val="0"/>
        <w:adjustRightInd/>
        <w:snapToGrid/>
        <w:spacing w:line="240" w:lineRule="auto"/>
        <w:ind w:left="0"/>
        <w:textAlignment w:val="auto"/>
        <w:rPr>
          <w:rStyle w:val="10"/>
          <w:rFonts w:hint="default" w:ascii="Times New Roman" w:hAnsi="Times New Roman" w:eastAsia="宋体" w:cs="Times New Roman"/>
          <w:i w:val="0"/>
          <w:iCs w:val="0"/>
          <w:caps w:val="0"/>
          <w:color w:val="auto"/>
          <w:spacing w:val="0"/>
          <w:sz w:val="24"/>
          <w:szCs w:val="24"/>
          <w:u w:val="none"/>
          <w:shd w:val="clear" w:fill="FFFFFF"/>
        </w:rPr>
      </w:pPr>
    </w:p>
    <w:p w14:paraId="6F59D756">
      <w:pPr>
        <w:snapToGrid w:val="0"/>
        <w:jc w:val="left"/>
        <w:rPr>
          <w:rFonts w:ascii="Times New Roman" w:hAnsi="Times New Roman" w:eastAsia="Arial" w:cs="Times New Roman"/>
          <w:kern w:val="0"/>
          <w:sz w:val="20"/>
          <w:szCs w:val="20"/>
        </w:rPr>
      </w:pPr>
      <w:r>
        <w:rPr>
          <w:rFonts w:ascii="Times New Roman" w:hAnsi="Times New Roman" w:eastAsia="Arial" w:cs="Times New Roman"/>
          <w:b/>
          <w:bCs/>
          <w:kern w:val="0"/>
          <w:sz w:val="20"/>
          <w:szCs w:val="20"/>
        </w:rPr>
        <w:t>Copyright:</w:t>
      </w:r>
      <w:r>
        <w:rPr>
          <w:rFonts w:ascii="Times New Roman" w:hAnsi="Times New Roman" w:eastAsia="Arial" w:cs="Times New Roman"/>
          <w:kern w:val="0"/>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50BFFCFD">
      <w:pPr>
        <w:pStyle w:val="4"/>
        <w:keepNext w:val="0"/>
        <w:keepLines w:val="0"/>
        <w:pageBreakBefore w:val="0"/>
        <w:widowControl w:val="0"/>
        <w:kinsoku/>
        <w:wordWrap/>
        <w:overflowPunct/>
        <w:topLinePunct w:val="0"/>
        <w:autoSpaceDE/>
        <w:autoSpaceDN/>
        <w:bidi w:val="0"/>
        <w:adjustRightInd/>
        <w:snapToGrid/>
        <w:spacing w:line="240" w:lineRule="auto"/>
        <w:ind w:left="0"/>
        <w:textAlignment w:val="auto"/>
        <w:rPr>
          <w:rStyle w:val="10"/>
          <w:rFonts w:hint="default" w:ascii="Times New Roman" w:hAnsi="Times New Roman" w:eastAsia="宋体" w:cs="Times New Roman"/>
          <w:i w:val="0"/>
          <w:iCs w:val="0"/>
          <w:caps w:val="0"/>
          <w:spacing w:val="0"/>
          <w:sz w:val="24"/>
          <w:szCs w:val="24"/>
          <w:u w:val="none"/>
          <w:shd w:val="clear" w:fill="FFFFFF"/>
        </w:rPr>
      </w:pPr>
    </w:p>
    <w:p w14:paraId="5DE45C25">
      <w:pPr>
        <w:pStyle w:val="4"/>
        <w:keepNext w:val="0"/>
        <w:keepLines w:val="0"/>
        <w:pageBreakBefore w:val="0"/>
        <w:kinsoku/>
        <w:wordWrap/>
        <w:overflowPunct/>
        <w:topLinePunct w:val="0"/>
        <w:autoSpaceDE/>
        <w:autoSpaceDN/>
        <w:bidi w:val="0"/>
        <w:adjustRightInd/>
        <w:snapToGrid w:val="0"/>
        <w:spacing w:line="240" w:lineRule="auto"/>
        <w:ind w:left="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cs="Times New Roman"/>
          <w:b/>
          <w:bCs/>
          <w:color w:val="000000" w:themeColor="text1"/>
          <w:sz w:val="24"/>
          <w:szCs w:val="24"/>
          <w:highlight w:val="none"/>
          <w14:textFill>
            <w14:solidFill>
              <w14:schemeClr w14:val="tx1"/>
            </w14:solidFill>
          </w14:textFill>
        </w:rPr>
        <w:t>Abstract</w:t>
      </w:r>
      <w:r>
        <w:rPr>
          <w:rFonts w:hint="eastAsia"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F1115"/>
          <w:spacing w:val="0"/>
          <w:sz w:val="24"/>
          <w:szCs w:val="24"/>
          <w:shd w:val="clear" w:fill="FFFFFF"/>
          <w:lang w:val="en-US" w:eastAsia="zh-CN"/>
        </w:rPr>
        <w:t>I</w:t>
      </w:r>
      <w:r>
        <w:rPr>
          <w:rFonts w:hint="default" w:ascii="Times New Roman" w:hAnsi="Times New Roman" w:eastAsia="Segoe UI" w:cs="Times New Roman"/>
          <w:i w:val="0"/>
          <w:iCs w:val="0"/>
          <w:caps w:val="0"/>
          <w:color w:val="0F1115"/>
          <w:spacing w:val="0"/>
          <w:sz w:val="24"/>
          <w:szCs w:val="24"/>
          <w:shd w:val="clear" w:fill="FFFFFF"/>
        </w:rPr>
        <w:t>mmobilization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induced muscle wasting is notoriously hard to counter pharmacologically. We tested whether CRISPR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mediated knockdown of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could offer protection and asked what might explain such an effect. Four sgRNAs were designed against the mouse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precursor; the best performer (lentiCRISPR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which gave ~80% cleavage in T7EI assays, was packaged into lentivirus. Forty C57BL/6 mice were randomly assigned to receive either this editing construct or a control vector, then underwent sham surgery or hindlimb immobilization. Western blotting confirmed Cas9 expression, and qPCR verified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reduction. In immobilized mice,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rose markedly, accompanied by elevated Atrogin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and MuRF</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mRNAs, reduced myofiber cross</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sectional area, and diminished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mTOR and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Akt signals. By contrast, animals given the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editing virus showed lower atrogene expression, larger fibers, and restored mTOR/Akt phosphorylation. These results suggest that CRISPR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based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ablation mitigates disuse atrophy, and this benefit appears to be linked to reactivation of the mTOR/Akt anabolic pathway.</w:t>
      </w:r>
    </w:p>
    <w:p w14:paraId="7B438896">
      <w:pPr>
        <w:pStyle w:val="5"/>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cs="Times New Roman"/>
          <w:b/>
          <w:bCs/>
          <w:color w:val="242021"/>
          <w:position w:val="2"/>
          <w:sz w:val="24"/>
          <w:szCs w:val="24"/>
        </w:rPr>
        <w:t>Keywords</w:t>
      </w:r>
      <w:r>
        <w:rPr>
          <w:rFonts w:hint="eastAsia" w:ascii="Times New Roman" w:hAnsi="Times New Roman" w:cs="Times New Roman"/>
          <w:b/>
          <w:bCs/>
          <w:color w:val="242021"/>
          <w:position w:val="2"/>
          <w:sz w:val="24"/>
          <w:szCs w:val="24"/>
          <w:lang w:val="en-US" w:eastAsia="zh-CN"/>
        </w:rPr>
        <w:t>:</w:t>
      </w:r>
      <w:r>
        <w:rPr>
          <w:rFonts w:hint="default" w:ascii="Times New Roman" w:hAnsi="Times New Roman" w:eastAsia="Segoe UI" w:cs="Times New Roman"/>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i w:val="0"/>
          <w:iCs w:val="0"/>
          <w:caps w:val="0"/>
          <w:color w:val="0F1115"/>
          <w:spacing w:val="0"/>
          <w:sz w:val="24"/>
          <w:szCs w:val="24"/>
          <w:shd w:val="clear" w:fill="FFFFFF"/>
        </w:rPr>
        <w:t>CRISPR/Cas9;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muscle atrophy; mTOR/Akt signaling</w:t>
      </w:r>
    </w:p>
    <w:p w14:paraId="4CE98CF3">
      <w:pPr>
        <w:widowControl w:val="0"/>
        <w:snapToGrid w:val="0"/>
        <w:jc w:val="both"/>
        <w:rPr>
          <w:rFonts w:ascii="Times New Roman" w:hAnsi="Times New Roman" w:eastAsia="Arial" w:cs="Times New Roman"/>
          <w:b/>
          <w:bCs/>
          <w:sz w:val="24"/>
          <w:szCs w:val="24"/>
          <w:lang w:val="en-US" w:eastAsia="zh-CN" w:bidi="ar-SA"/>
        </w:rPr>
      </w:pPr>
    </w:p>
    <w:p w14:paraId="683916B3">
      <w:pPr>
        <w:widowControl w:val="0"/>
        <w:snapToGrid w:val="0"/>
        <w:jc w:val="both"/>
        <w:rPr>
          <w:rFonts w:ascii="Times New Roman" w:hAnsi="Times New Roman" w:eastAsia="Arial" w:cs="Times New Roman"/>
          <w:b/>
          <w:bCs/>
          <w:sz w:val="24"/>
          <w:szCs w:val="24"/>
          <w:lang w:val="en-US" w:eastAsia="zh-CN" w:bidi="ar-SA"/>
        </w:rPr>
      </w:pPr>
      <w:r>
        <w:rPr>
          <w:rFonts w:ascii="Times New Roman" w:hAnsi="Times New Roman" w:eastAsia="Arial" w:cs="Times New Roman"/>
          <w:b/>
          <w:bCs/>
          <w:sz w:val="24"/>
          <w:szCs w:val="24"/>
          <w:lang w:val="en-US" w:eastAsia="zh-CN" w:bidi="ar-SA"/>
        </w:rPr>
        <w:t>Online publication:</w:t>
      </w:r>
    </w:p>
    <w:p w14:paraId="4D80493C">
      <w:pPr>
        <w:pStyle w:val="4"/>
        <w:keepNext w:val="0"/>
        <w:keepLines w:val="0"/>
        <w:pageBreakBefore w:val="0"/>
        <w:kinsoku/>
        <w:wordWrap/>
        <w:overflowPunct/>
        <w:topLinePunct w:val="0"/>
        <w:autoSpaceDE/>
        <w:autoSpaceDN/>
        <w:bidi w:val="0"/>
        <w:adjustRightInd/>
        <w:snapToGrid w:val="0"/>
        <w:spacing w:line="240" w:lineRule="auto"/>
        <w:ind w:left="0"/>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p>
    <w:p w14:paraId="44B6126E">
      <w:pPr>
        <w:pStyle w:val="4"/>
        <w:keepNext w:val="0"/>
        <w:keepLines w:val="0"/>
        <w:pageBreakBefore w:val="0"/>
        <w:kinsoku/>
        <w:wordWrap/>
        <w:overflowPunct/>
        <w:topLinePunct w:val="0"/>
        <w:autoSpaceDE/>
        <w:autoSpaceDN/>
        <w:bidi w:val="0"/>
        <w:adjustRightInd/>
        <w:snapToGrid w:val="0"/>
        <w:spacing w:line="240" w:lineRule="auto"/>
        <w:ind w:left="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cs="Times New Roman"/>
          <w:b/>
          <w:bCs/>
          <w:color w:val="000000" w:themeColor="text1"/>
          <w:sz w:val="24"/>
          <w:szCs w:val="24"/>
          <w:highlight w:val="none"/>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highlight w:val="none"/>
          <w14:textFill>
            <w14:solidFill>
              <w14:schemeClr w14:val="tx1"/>
            </w14:solidFill>
          </w14:textFill>
        </w:rPr>
        <w:t>Introduction</w:t>
      </w:r>
    </w:p>
    <w:p w14:paraId="420E00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Skeletal muscle is the body</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s heaviest organ, accounting for about 40% of adult weight. But calling it just a motor for movement misses the point—it holds up the skeleton, keeps us upright, produces heat, and plays an active part in glucose and fat metabolism </w:t>
      </w:r>
      <w:r>
        <w:rPr>
          <w:rFonts w:hint="default" w:ascii="Times New Roman" w:hAnsi="Times New Roman" w:eastAsia="Segoe UI" w:cs="Times New Roman"/>
          <w:i w:val="0"/>
          <w:iCs w:val="0"/>
          <w:caps w:val="0"/>
          <w:color w:val="0F1115"/>
          <w:spacing w:val="0"/>
          <w:sz w:val="24"/>
          <w:szCs w:val="24"/>
          <w:shd w:val="clear" w:fill="FFFFFF"/>
          <w:vertAlign w:val="superscript"/>
        </w:rPr>
        <w:t>[1]</w:t>
      </w:r>
      <w:r>
        <w:rPr>
          <w:rFonts w:hint="default" w:ascii="Times New Roman" w:hAnsi="Times New Roman" w:eastAsia="Segoe UI" w:cs="Times New Roman"/>
          <w:i w:val="0"/>
          <w:iCs w:val="0"/>
          <w:caps w:val="0"/>
          <w:color w:val="0F1115"/>
          <w:spacing w:val="0"/>
          <w:sz w:val="24"/>
          <w:szCs w:val="24"/>
          <w:shd w:val="clear" w:fill="FFFFFF"/>
        </w:rPr>
        <w:t xml:space="preserve">. When muscle mass declines, the consequences go far beyond weakness. Metabolism suffers, insulin resistance creeps in, and a vicious cycle takes hold that is notoriously difficult to break </w:t>
      </w:r>
      <w:r>
        <w:rPr>
          <w:rFonts w:hint="default" w:ascii="Times New Roman" w:hAnsi="Times New Roman" w:eastAsia="Segoe UI" w:cs="Times New Roman"/>
          <w:i w:val="0"/>
          <w:iCs w:val="0"/>
          <w:caps w:val="0"/>
          <w:color w:val="0F1115"/>
          <w:spacing w:val="0"/>
          <w:sz w:val="24"/>
          <w:szCs w:val="24"/>
          <w:shd w:val="clear" w:fill="FFFFFF"/>
          <w:vertAlign w:val="superscript"/>
        </w:rPr>
        <w:t>[2]</w:t>
      </w:r>
      <w:r>
        <w:rPr>
          <w:rFonts w:hint="default" w:ascii="Times New Roman" w:hAnsi="Times New Roman" w:eastAsia="Segoe UI" w:cs="Times New Roman"/>
          <w:i w:val="0"/>
          <w:iCs w:val="0"/>
          <w:caps w:val="0"/>
          <w:color w:val="0F1115"/>
          <w:spacing w:val="0"/>
          <w:sz w:val="24"/>
          <w:szCs w:val="24"/>
          <w:shd w:val="clear" w:fill="FFFFFF"/>
        </w:rPr>
        <w:t>.</w:t>
      </w:r>
    </w:p>
    <w:p w14:paraId="2DE1A85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Atrophy—the shrinking and weakening of muscle—can arise from many causes: ageing, nerve damage, poor nutrition, or simply not using the limbs. In the elderly, sarcopenia gets much attention, rightly so. But in orthopaedic wards, immobilisation after fractures, ligament repairs, or joint surgeries is just as problematic. A cast or external fixator may be essential for bone healing, yet the price is often severe muscle wasting in the affected limb. Rehabilitation drags on, and sometimes strength never fully returns </w:t>
      </w:r>
      <w:r>
        <w:rPr>
          <w:rFonts w:hint="default" w:ascii="Times New Roman" w:hAnsi="Times New Roman" w:eastAsia="Segoe UI" w:cs="Times New Roman"/>
          <w:i w:val="0"/>
          <w:iCs w:val="0"/>
          <w:caps w:val="0"/>
          <w:color w:val="0F1115"/>
          <w:spacing w:val="0"/>
          <w:sz w:val="24"/>
          <w:szCs w:val="24"/>
          <w:shd w:val="clear" w:fill="FFFFFF"/>
          <w:vertAlign w:val="superscript"/>
        </w:rPr>
        <w:t>[3]</w:t>
      </w:r>
      <w:r>
        <w:rPr>
          <w:rFonts w:hint="default" w:ascii="Times New Roman" w:hAnsi="Times New Roman" w:eastAsia="Segoe UI" w:cs="Times New Roman"/>
          <w:i w:val="0"/>
          <w:iCs w:val="0"/>
          <w:caps w:val="0"/>
          <w:color w:val="0F1115"/>
          <w:spacing w:val="0"/>
          <w:sz w:val="24"/>
          <w:szCs w:val="24"/>
          <w:shd w:val="clear" w:fill="FFFFFF"/>
        </w:rPr>
        <w:t>. What actually happens inside the muscle? Myofibres shrink, their nuclei decrease in number, protein synthesis slows down, and degradative systems—especially the ubiquitin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proteasome and autophagy</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lysosome pathways—become overactive </w:t>
      </w:r>
      <w:r>
        <w:rPr>
          <w:rFonts w:hint="default" w:ascii="Times New Roman" w:hAnsi="Times New Roman" w:eastAsia="Segoe UI" w:cs="Times New Roman"/>
          <w:i w:val="0"/>
          <w:iCs w:val="0"/>
          <w:caps w:val="0"/>
          <w:color w:val="0F1115"/>
          <w:spacing w:val="0"/>
          <w:sz w:val="24"/>
          <w:szCs w:val="24"/>
          <w:shd w:val="clear" w:fill="FFFFFF"/>
          <w:vertAlign w:val="superscript"/>
        </w:rPr>
        <w:t>[4–6]</w:t>
      </w:r>
      <w:r>
        <w:rPr>
          <w:rFonts w:hint="default" w:ascii="Times New Roman" w:hAnsi="Times New Roman" w:eastAsia="Segoe UI" w:cs="Times New Roman"/>
          <w:i w:val="0"/>
          <w:iCs w:val="0"/>
          <w:caps w:val="0"/>
          <w:color w:val="0F1115"/>
          <w:spacing w:val="0"/>
          <w:sz w:val="24"/>
          <w:szCs w:val="24"/>
          <w:shd w:val="clear" w:fill="FFFFFF"/>
        </w:rPr>
        <w:t>. Contractile proteins are lost in large amounts. After all these years, we still have no reliable drug to stop this process, and our understanding of what drives it remains incomplete.</w:t>
      </w:r>
    </w:p>
    <w:p w14:paraId="64617B1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MicroRNAs are short non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coding transcripts, around 22 nucleotides long, that fine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tune gene expression by pairing with target messenger RNAs, usually at the 3′ UTR, leading to mRNA decay or translation blockade </w:t>
      </w:r>
      <w:r>
        <w:rPr>
          <w:rFonts w:hint="default" w:ascii="Times New Roman" w:hAnsi="Times New Roman" w:eastAsia="Segoe UI" w:cs="Times New Roman"/>
          <w:i w:val="0"/>
          <w:iCs w:val="0"/>
          <w:caps w:val="0"/>
          <w:color w:val="0F1115"/>
          <w:spacing w:val="0"/>
          <w:sz w:val="24"/>
          <w:szCs w:val="24"/>
          <w:shd w:val="clear" w:fill="FFFFFF"/>
          <w:vertAlign w:val="superscript"/>
        </w:rPr>
        <w:t>[7]</w:t>
      </w:r>
      <w:r>
        <w:rPr>
          <w:rFonts w:hint="default" w:ascii="Times New Roman" w:hAnsi="Times New Roman" w:eastAsia="Segoe UI" w:cs="Times New Roman"/>
          <w:i w:val="0"/>
          <w:iCs w:val="0"/>
          <w:caps w:val="0"/>
          <w:color w:val="0F1115"/>
          <w:spacing w:val="0"/>
          <w:sz w:val="24"/>
          <w:szCs w:val="24"/>
          <w:shd w:val="clear" w:fill="FFFFFF"/>
        </w:rPr>
        <w:t xml:space="preserve">. When miRNAs go awry, they contribute to cancers, heart disease, neurodegeneration, and metabolic disorders </w:t>
      </w:r>
      <w:r>
        <w:rPr>
          <w:rFonts w:hint="default" w:ascii="Times New Roman" w:hAnsi="Times New Roman" w:eastAsia="Segoe UI" w:cs="Times New Roman"/>
          <w:i w:val="0"/>
          <w:iCs w:val="0"/>
          <w:caps w:val="0"/>
          <w:color w:val="0F1115"/>
          <w:spacing w:val="0"/>
          <w:sz w:val="24"/>
          <w:szCs w:val="24"/>
          <w:shd w:val="clear" w:fill="FFFFFF"/>
          <w:vertAlign w:val="superscript"/>
        </w:rPr>
        <w:t>[8,9]</w:t>
      </w:r>
      <w:r>
        <w:rPr>
          <w:rFonts w:hint="default" w:ascii="Times New Roman" w:hAnsi="Times New Roman" w:eastAsia="Segoe UI" w:cs="Times New Roman"/>
          <w:i w:val="0"/>
          <w:iCs w:val="0"/>
          <w:caps w:val="0"/>
          <w:color w:val="0F1115"/>
          <w:spacing w:val="0"/>
          <w:sz w:val="24"/>
          <w:szCs w:val="24"/>
          <w:shd w:val="clear" w:fill="FFFFFF"/>
        </w:rPr>
        <w:t>. In muscle, the well</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studied myomiRs—miR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133, and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206—govern differentiation and regeneration </w:t>
      </w:r>
      <w:r>
        <w:rPr>
          <w:rFonts w:hint="default" w:ascii="Times New Roman" w:hAnsi="Times New Roman" w:eastAsia="Segoe UI" w:cs="Times New Roman"/>
          <w:i w:val="0"/>
          <w:iCs w:val="0"/>
          <w:caps w:val="0"/>
          <w:color w:val="0F1115"/>
          <w:spacing w:val="0"/>
          <w:sz w:val="24"/>
          <w:szCs w:val="24"/>
          <w:shd w:val="clear" w:fill="FFFFFF"/>
          <w:vertAlign w:val="superscript"/>
        </w:rPr>
        <w:t>[10,11]</w:t>
      </w:r>
      <w:r>
        <w:rPr>
          <w:rFonts w:hint="default" w:ascii="Times New Roman" w:hAnsi="Times New Roman" w:eastAsia="Segoe UI" w:cs="Times New Roman"/>
          <w:i w:val="0"/>
          <w:iCs w:val="0"/>
          <w:caps w:val="0"/>
          <w:color w:val="0F1115"/>
          <w:spacing w:val="0"/>
          <w:sz w:val="24"/>
          <w:szCs w:val="24"/>
          <w:shd w:val="clear" w:fill="FFFFFF"/>
        </w:rPr>
        <w:t>. Yet muscle contains many other miRNAs whose jobs are still obscure. Take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Immunologists know it well as a brake on inflammatory signalling, but lately it has turned up in myoblasts and mature fibres, raising the possibility that it does something in muscle repair or disease. What we do not know is whether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changes during disuse atrophy, whether it helps or hurts, and through which pathways. That is exactly what we set out to answer.</w:t>
      </w:r>
    </w:p>
    <w:p w14:paraId="1F2259C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CRISPR/Cas9 has changed how we do functional genetics. It can knock out or modify protein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coding genes, but it also works nicely for disrupting non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coding sequences, miRNA hairpins included </w:t>
      </w:r>
      <w:r>
        <w:rPr>
          <w:rFonts w:hint="default" w:ascii="Times New Roman" w:hAnsi="Times New Roman" w:eastAsia="Segoe UI" w:cs="Times New Roman"/>
          <w:i w:val="0"/>
          <w:iCs w:val="0"/>
          <w:caps w:val="0"/>
          <w:color w:val="0F1115"/>
          <w:spacing w:val="0"/>
          <w:sz w:val="24"/>
          <w:szCs w:val="24"/>
          <w:shd w:val="clear" w:fill="FFFFFF"/>
          <w:vertAlign w:val="superscript"/>
        </w:rPr>
        <w:t>[12–14]</w:t>
      </w:r>
      <w:r>
        <w:rPr>
          <w:rFonts w:hint="default" w:ascii="Times New Roman" w:hAnsi="Times New Roman" w:eastAsia="Segoe UI" w:cs="Times New Roman"/>
          <w:i w:val="0"/>
          <w:iCs w:val="0"/>
          <w:caps w:val="0"/>
          <w:color w:val="0F1115"/>
          <w:spacing w:val="0"/>
          <w:sz w:val="24"/>
          <w:szCs w:val="24"/>
          <w:shd w:val="clear" w:fill="FFFFFF"/>
        </w:rPr>
        <w:t>. Compared with transient inhibitors or sponges, CRISPR gives permanent knockout, wiping out all activity of the target miRNA and sidestepping the instability and off</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target headaches that plague oligonucleotide strategies </w:t>
      </w:r>
      <w:r>
        <w:rPr>
          <w:rFonts w:hint="default" w:ascii="Times New Roman" w:hAnsi="Times New Roman" w:eastAsia="Segoe UI" w:cs="Times New Roman"/>
          <w:i w:val="0"/>
          <w:iCs w:val="0"/>
          <w:caps w:val="0"/>
          <w:color w:val="0F1115"/>
          <w:spacing w:val="0"/>
          <w:sz w:val="24"/>
          <w:szCs w:val="24"/>
          <w:shd w:val="clear" w:fill="FFFFFF"/>
          <w:vertAlign w:val="superscript"/>
        </w:rPr>
        <w:t>[15,16]</w:t>
      </w:r>
      <w:r>
        <w:rPr>
          <w:rFonts w:hint="default" w:ascii="Times New Roman" w:hAnsi="Times New Roman" w:eastAsia="Segoe UI" w:cs="Times New Roman"/>
          <w:i w:val="0"/>
          <w:iCs w:val="0"/>
          <w:caps w:val="0"/>
          <w:color w:val="0F1115"/>
          <w:spacing w:val="0"/>
          <w:sz w:val="24"/>
          <w:szCs w:val="24"/>
          <w:shd w:val="clear" w:fill="FFFFFF"/>
        </w:rPr>
        <w:t>. For probing miRNA function in living animals under disease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like conditions, this is hard to beat.</w:t>
      </w:r>
    </w:p>
    <w:p w14:paraId="7F7DE1B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With that in mind, we built a lentiviral CRISPR construct to edit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specifically in mouse gastrocnemius, then immobilised the hindlimb to model clinical disuse. We wanted to know: (</w:t>
      </w:r>
      <w:r>
        <w:rPr>
          <w:rFonts w:hint="eastAsia" w:ascii="Times New Roman" w:hAnsi="Times New Roman" w:eastAsia="宋体" w:cs="Times New Roman"/>
          <w:i w:val="0"/>
          <w:iCs w:val="0"/>
          <w:caps w:val="0"/>
          <w:color w:val="0F1115"/>
          <w:spacing w:val="0"/>
          <w:sz w:val="24"/>
          <w:szCs w:val="24"/>
          <w:shd w:val="clear" w:fill="FFFFFF"/>
          <w:lang w:val="en-US" w:eastAsia="zh-CN"/>
        </w:rPr>
        <w:t>1</w:t>
      </w:r>
      <w:r>
        <w:rPr>
          <w:rFonts w:hint="default" w:ascii="Times New Roman" w:hAnsi="Times New Roman" w:eastAsia="Segoe UI" w:cs="Times New Roman"/>
          <w:i w:val="0"/>
          <w:iCs w:val="0"/>
          <w:caps w:val="0"/>
          <w:color w:val="0F1115"/>
          <w:spacing w:val="0"/>
          <w:sz w:val="24"/>
          <w:szCs w:val="24"/>
          <w:shd w:val="clear" w:fill="FFFFFF"/>
        </w:rPr>
        <w:t>) does immobilisation alter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expression? (</w:t>
      </w:r>
      <w:r>
        <w:rPr>
          <w:rFonts w:hint="eastAsia" w:ascii="Times New Roman" w:hAnsi="Times New Roman" w:eastAsia="宋体" w:cs="Times New Roman"/>
          <w:i w:val="0"/>
          <w:iCs w:val="0"/>
          <w:caps w:val="0"/>
          <w:color w:val="0F1115"/>
          <w:spacing w:val="0"/>
          <w:sz w:val="24"/>
          <w:szCs w:val="24"/>
          <w:shd w:val="clear" w:fill="FFFFFF"/>
          <w:lang w:val="en-US" w:eastAsia="zh-CN"/>
        </w:rPr>
        <w:t>2</w:t>
      </w:r>
      <w:r>
        <w:rPr>
          <w:rFonts w:hint="default" w:ascii="Times New Roman" w:hAnsi="Times New Roman" w:eastAsia="Segoe UI" w:cs="Times New Roman"/>
          <w:i w:val="0"/>
          <w:iCs w:val="0"/>
          <w:caps w:val="0"/>
          <w:color w:val="0F1115"/>
          <w:spacing w:val="0"/>
          <w:sz w:val="24"/>
          <w:szCs w:val="24"/>
          <w:shd w:val="clear" w:fill="FFFFFF"/>
        </w:rPr>
        <w:t>) does knocking it down protect the muscle from atrophy? and (</w:t>
      </w:r>
      <w:r>
        <w:rPr>
          <w:rFonts w:hint="eastAsia" w:ascii="Times New Roman" w:hAnsi="Times New Roman" w:eastAsia="宋体" w:cs="Times New Roman"/>
          <w:i w:val="0"/>
          <w:iCs w:val="0"/>
          <w:caps w:val="0"/>
          <w:color w:val="0F1115"/>
          <w:spacing w:val="0"/>
          <w:sz w:val="24"/>
          <w:szCs w:val="24"/>
          <w:shd w:val="clear" w:fill="FFFFFF"/>
          <w:lang w:val="en-US" w:eastAsia="zh-CN"/>
        </w:rPr>
        <w:t>3</w:t>
      </w:r>
      <w:r>
        <w:rPr>
          <w:rFonts w:hint="default" w:ascii="Times New Roman" w:hAnsi="Times New Roman" w:eastAsia="Segoe UI" w:cs="Times New Roman"/>
          <w:i w:val="0"/>
          <w:iCs w:val="0"/>
          <w:caps w:val="0"/>
          <w:color w:val="0F1115"/>
          <w:spacing w:val="0"/>
          <w:sz w:val="24"/>
          <w:szCs w:val="24"/>
          <w:shd w:val="clear" w:fill="FFFFFF"/>
        </w:rPr>
        <w:t>) what signalling changes accompany any such protection? We expect the answers will shed light on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s role in muscle wasting and maybe point towards new treatment ideas.</w:t>
      </w:r>
    </w:p>
    <w:p w14:paraId="642D0C6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p>
    <w:p w14:paraId="3612DD40">
      <w:pPr>
        <w:pStyle w:val="4"/>
        <w:keepNext w:val="0"/>
        <w:keepLines w:val="0"/>
        <w:pageBreakBefore w:val="0"/>
        <w:kinsoku/>
        <w:wordWrap/>
        <w:overflowPunct/>
        <w:topLinePunct w:val="0"/>
        <w:autoSpaceDE/>
        <w:autoSpaceDN/>
        <w:bidi w:val="0"/>
        <w:adjustRightInd/>
        <w:snapToGrid w:val="0"/>
        <w:spacing w:line="240" w:lineRule="auto"/>
        <w:ind w:left="0"/>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2.Materials and methods</w:t>
      </w:r>
    </w:p>
    <w:p w14:paraId="1692862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w:t>
      </w:r>
      <w:r>
        <w:rPr>
          <w:rStyle w:val="8"/>
          <w:rFonts w:hint="default" w:ascii="Times New Roman" w:hAnsi="Times New Roman" w:eastAsia="Segoe UI" w:cs="Times New Roman"/>
          <w:b/>
          <w:bCs/>
          <w:i w:val="0"/>
          <w:iCs w:val="0"/>
          <w:caps w:val="0"/>
          <w:color w:val="0F1115"/>
          <w:spacing w:val="0"/>
          <w:sz w:val="24"/>
          <w:szCs w:val="24"/>
          <w:shd w:val="clear" w:fill="FFFFFF"/>
        </w:rPr>
        <w:t>.1</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Segoe UI" w:cs="Times New Roman"/>
          <w:b/>
          <w:bCs/>
          <w:i w:val="0"/>
          <w:iCs w:val="0"/>
          <w:caps w:val="0"/>
          <w:color w:val="0F1115"/>
          <w:spacing w:val="0"/>
          <w:sz w:val="24"/>
          <w:szCs w:val="24"/>
          <w:shd w:val="clear" w:fill="FFFFFF"/>
        </w:rPr>
        <w:t xml:space="preserve"> Experimental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a</w:t>
      </w:r>
      <w:r>
        <w:rPr>
          <w:rStyle w:val="8"/>
          <w:rFonts w:hint="default" w:ascii="Times New Roman" w:hAnsi="Times New Roman" w:eastAsia="Segoe UI" w:cs="Times New Roman"/>
          <w:b/>
          <w:bCs/>
          <w:i w:val="0"/>
          <w:iCs w:val="0"/>
          <w:caps w:val="0"/>
          <w:color w:val="0F1115"/>
          <w:spacing w:val="0"/>
          <w:sz w:val="24"/>
          <w:szCs w:val="24"/>
          <w:shd w:val="clear" w:fill="FFFFFF"/>
        </w:rPr>
        <w:t xml:space="preserve">nimals and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g</w:t>
      </w:r>
      <w:r>
        <w:rPr>
          <w:rStyle w:val="8"/>
          <w:rFonts w:hint="default" w:ascii="Times New Roman" w:hAnsi="Times New Roman" w:eastAsia="Segoe UI" w:cs="Times New Roman"/>
          <w:b/>
          <w:bCs/>
          <w:i w:val="0"/>
          <w:iCs w:val="0"/>
          <w:caps w:val="0"/>
          <w:color w:val="0F1115"/>
          <w:spacing w:val="0"/>
          <w:sz w:val="24"/>
          <w:szCs w:val="24"/>
          <w:shd w:val="clear" w:fill="FFFFFF"/>
        </w:rPr>
        <w:t>rouping</w:t>
      </w:r>
    </w:p>
    <w:p w14:paraId="41A4204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Forty healthy male C57BL/6 mice (28–30 g, Shanghai Laboratory Animal Center, CAS) were housed under SPF conditions with free access to chow and water. They were equally divided into four groups (n = 10): (1) lentiCRISPR v2 + sham; (2) lentiCRISPR v2 + immobilization (Imo); (3) lentiCRISPR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 sham; (4) lentiCRISPR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 Imo. All procedures were approved by our institutional Animal Ethics Committee.</w:t>
      </w:r>
    </w:p>
    <w:p w14:paraId="72B417C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p>
    <w:p w14:paraId="6DAB492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2.2</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Main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r</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eagents and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i</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nstruments</w:t>
      </w:r>
    </w:p>
    <w:p w14:paraId="34B0DB7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Paraformaldehyde (Kaiji Biotechnology); WGA staining solution (Sigma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Aldrich); TRIzol reagent (Thermo Fisher Scientific); RevertAid First Strand cDNA Synthesis Kit (Thermo Fisher Scientific); SYBR Premix Ex Taq (Thermo Fisher Scientific); protein lysis buffer and protease inhibitor cocktail (KeyGEN); BCA protein assay kit (TAKARA); PVDF membrane (Sigma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Aldrich); horseradish peroxidase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conjugated goat anti</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rabbit IgG antibody (Boster Biological Technology); ECL chemiluminescence substrate (Tanon Bio); T7 endonuclease I (T7EI, NEB).</w:t>
      </w:r>
    </w:p>
    <w:p w14:paraId="5385F9C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5427E74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2.3</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Design of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s</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ingle</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g</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uide RNAs (sgRNAs) and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c</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onstruction of lentiCRISPR miR</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146a</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3# Vector</w:t>
      </w:r>
    </w:p>
    <w:p w14:paraId="5FFD3F6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Four pairs of sgRNA oligonucleotides were designed against the stem</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loop region and the Dicer cleavage site of the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precursor sequence using the online tool CRISPR DESIGN (</w:t>
      </w:r>
      <w:r>
        <w:rPr>
          <w:rFonts w:hint="default" w:ascii="Times New Roman" w:hAnsi="Times New Roman" w:eastAsia="Segoe UI" w:cs="Times New Roman"/>
          <w:i w:val="0"/>
          <w:iCs w:val="0"/>
          <w:caps w:val="0"/>
          <w:color w:val="0F1115"/>
          <w:spacing w:val="0"/>
          <w:sz w:val="24"/>
          <w:szCs w:val="24"/>
          <w:shd w:val="clear" w:fill="FFFFFF"/>
        </w:rPr>
        <w:fldChar w:fldCharType="begin"/>
      </w:r>
      <w:r>
        <w:rPr>
          <w:rFonts w:hint="default" w:ascii="Times New Roman" w:hAnsi="Times New Roman" w:eastAsia="Segoe UI" w:cs="Times New Roman"/>
          <w:i w:val="0"/>
          <w:iCs w:val="0"/>
          <w:caps w:val="0"/>
          <w:color w:val="0F1115"/>
          <w:spacing w:val="0"/>
          <w:sz w:val="24"/>
          <w:szCs w:val="24"/>
          <w:shd w:val="clear" w:fill="FFFFFF"/>
        </w:rPr>
        <w:instrText xml:space="preserve"> HYPERLINK "http://crispr.mit.edu/" \t "https://chat.deepseek.com/a/chat/s/_blank" </w:instrText>
      </w:r>
      <w:r>
        <w:rPr>
          <w:rFonts w:hint="default" w:ascii="Times New Roman" w:hAnsi="Times New Roman" w:eastAsia="Segoe UI" w:cs="Times New Roman"/>
          <w:i w:val="0"/>
          <w:iCs w:val="0"/>
          <w:caps w:val="0"/>
          <w:color w:val="0F1115"/>
          <w:spacing w:val="0"/>
          <w:sz w:val="24"/>
          <w:szCs w:val="24"/>
          <w:shd w:val="clear" w:fill="FFFFFF"/>
        </w:rPr>
        <w:fldChar w:fldCharType="separate"/>
      </w:r>
      <w:r>
        <w:rPr>
          <w:rFonts w:hint="default" w:ascii="Times New Roman" w:hAnsi="Times New Roman" w:eastAsia="Segoe UI" w:cs="Times New Roman"/>
          <w:i w:val="0"/>
          <w:iCs w:val="0"/>
          <w:caps w:val="0"/>
          <w:color w:val="0F1115"/>
          <w:spacing w:val="0"/>
          <w:sz w:val="24"/>
          <w:szCs w:val="24"/>
          <w:shd w:val="clear" w:fill="FFFFFF"/>
        </w:rPr>
        <w:t>http://crispr.mit.edu/</w:t>
      </w:r>
      <w:r>
        <w:rPr>
          <w:rFonts w:hint="default" w:ascii="Times New Roman" w:hAnsi="Times New Roman" w:eastAsia="Segoe UI" w:cs="Times New Roman"/>
          <w:i w:val="0"/>
          <w:iCs w:val="0"/>
          <w:caps w:val="0"/>
          <w:color w:val="0F1115"/>
          <w:spacing w:val="0"/>
          <w:sz w:val="24"/>
          <w:szCs w:val="24"/>
          <w:shd w:val="clear" w:fill="FFFFFF"/>
        </w:rPr>
        <w:fldChar w:fldCharType="end"/>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eastAsia" w:ascii="Times New Roman" w:hAnsi="Times New Roman" w:eastAsia="宋体" w:cs="Times New Roman"/>
          <w:i w:val="0"/>
          <w:iCs w:val="0"/>
          <w:caps w:val="0"/>
          <w:color w:val="0F1115"/>
          <w:spacing w:val="0"/>
          <w:sz w:val="24"/>
          <w:szCs w:val="24"/>
          <w:shd w:val="clear" w:fill="FFFFFF"/>
          <w:lang w:val="en-US" w:eastAsia="zh-CN"/>
        </w:rPr>
        <w:t>E</w:t>
      </w:r>
      <w:r>
        <w:rPr>
          <w:rFonts w:hint="default" w:ascii="Times New Roman" w:hAnsi="Times New Roman" w:eastAsia="Segoe UI" w:cs="Times New Roman"/>
          <w:i w:val="0"/>
          <w:iCs w:val="0"/>
          <w:caps w:val="0"/>
          <w:color w:val="0F1115"/>
          <w:spacing w:val="0"/>
          <w:sz w:val="24"/>
          <w:szCs w:val="24"/>
          <w:shd w:val="clear" w:fill="FFFFFF"/>
        </w:rPr>
        <w:t xml:space="preserve">ach pair of sgRNAs was annealed and ligated into the digested lentiCRISPR v2 vector at 37 °C for 1 h.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recombinant plasmids were transformed and subsequently verified.</w:t>
      </w:r>
    </w:p>
    <w:p w14:paraId="5D3C738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4873F22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2.4</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T7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e</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ndonuclease I (T7EI)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c</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leavage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a</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ssay</w:t>
      </w:r>
    </w:p>
    <w:p w14:paraId="19663D1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Using 100 ng of mouse genomic DNA as template, a genomic fragment targeting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was amplified with primers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F: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CAATCAGCAATCTCTGCCAT</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R: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CCTCTTTTTGCCTTGTTTGA</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3′).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PCR product was purified and then denatured at 95 °C for 5 min, followed by annealing from 95 °C to 75 °C at a rate of 0.1 °C per cycle (200 cycles) and then from 75 °C to 15 °C at the same rate (600 cycles), with a final hold at 4 °C. One unit of T7EI was added and the mixture was incubated at 37 °C for 1 h. The reaction products were analyzed by 2% agarose gel electrophoresis.</w:t>
      </w:r>
    </w:p>
    <w:p w14:paraId="39A2640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072FC5B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2.5</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Lentivirus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p</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ackaging and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i</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n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v</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ivo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i</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njection</w:t>
      </w:r>
    </w:p>
    <w:p w14:paraId="0144D1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The three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plasmid system (lentiCRISPR sgRNA 6 μg, psPAX2 4.5 μg, pMD2.G 3 μg) was co</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transfected into HEK293T cells at 70% confluency. </w:t>
      </w:r>
      <w:r>
        <w:rPr>
          <w:rFonts w:hint="eastAsia" w:ascii="Times New Roman" w:hAnsi="Times New Roman" w:eastAsia="宋体" w:cs="Times New Roman"/>
          <w:i w:val="0"/>
          <w:iCs w:val="0"/>
          <w:caps w:val="0"/>
          <w:color w:val="0F1115"/>
          <w:spacing w:val="0"/>
          <w:sz w:val="24"/>
          <w:szCs w:val="24"/>
          <w:shd w:val="clear" w:fill="FFFFFF"/>
          <w:lang w:val="en-US" w:eastAsia="zh-CN"/>
        </w:rPr>
        <w:t>E</w:t>
      </w:r>
      <w:r>
        <w:rPr>
          <w:rFonts w:hint="default" w:ascii="Times New Roman" w:hAnsi="Times New Roman" w:eastAsia="Segoe UI" w:cs="Times New Roman"/>
          <w:i w:val="0"/>
          <w:iCs w:val="0"/>
          <w:caps w:val="0"/>
          <w:color w:val="0F1115"/>
          <w:spacing w:val="0"/>
          <w:sz w:val="24"/>
          <w:szCs w:val="24"/>
          <w:shd w:val="clear" w:fill="FFFFFF"/>
        </w:rPr>
        <w:t xml:space="preserve">ight hours after transfection, the medium was replaced, and the viral supernatant was collected 72 h later, followed by centrifugation at 1500×g for 15 min to remove debris. </w:t>
      </w:r>
      <w:r>
        <w:rPr>
          <w:rFonts w:hint="eastAsia" w:ascii="Times New Roman" w:hAnsi="Times New Roman" w:eastAsia="宋体" w:cs="Times New Roman"/>
          <w:i w:val="0"/>
          <w:iCs w:val="0"/>
          <w:caps w:val="0"/>
          <w:color w:val="0F1115"/>
          <w:spacing w:val="0"/>
          <w:sz w:val="24"/>
          <w:szCs w:val="24"/>
          <w:shd w:val="clear" w:fill="FFFFFF"/>
          <w:lang w:val="en-US" w:eastAsia="zh-CN"/>
        </w:rPr>
        <w:t>C</w:t>
      </w:r>
      <w:r>
        <w:rPr>
          <w:rFonts w:hint="default" w:ascii="Times New Roman" w:hAnsi="Times New Roman" w:eastAsia="Segoe UI" w:cs="Times New Roman"/>
          <w:i w:val="0"/>
          <w:iCs w:val="0"/>
          <w:caps w:val="0"/>
          <w:color w:val="0F1115"/>
          <w:spacing w:val="0"/>
          <w:sz w:val="24"/>
          <w:szCs w:val="24"/>
          <w:shd w:val="clear" w:fill="FFFFFF"/>
        </w:rPr>
        <w:t>oncentrated lentivirus (1×10⁴ GU) was injected into the gastrocnemius muscle of mice using a three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point injection method.</w:t>
      </w:r>
    </w:p>
    <w:p w14:paraId="410352E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6F447DB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2.6</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Hindlimb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i</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mmobilization</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i</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nduced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m</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uscle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a</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trophy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m</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odel</w:t>
      </w:r>
    </w:p>
    <w:p w14:paraId="50FE6BF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Forty 8</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week</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old C57BL/6 mice were randomly divided into immobilization and sham groups. </w:t>
      </w:r>
      <w:r>
        <w:rPr>
          <w:rFonts w:hint="eastAsia" w:ascii="Times New Roman" w:hAnsi="Times New Roman" w:eastAsia="宋体" w:cs="Times New Roman"/>
          <w:i w:val="0"/>
          <w:iCs w:val="0"/>
          <w:caps w:val="0"/>
          <w:color w:val="0F1115"/>
          <w:spacing w:val="0"/>
          <w:sz w:val="24"/>
          <w:szCs w:val="24"/>
          <w:shd w:val="clear" w:fill="FFFFFF"/>
          <w:lang w:val="en-US" w:eastAsia="zh-CN"/>
        </w:rPr>
        <w:t>A</w:t>
      </w:r>
      <w:r>
        <w:rPr>
          <w:rFonts w:hint="default" w:ascii="Times New Roman" w:hAnsi="Times New Roman" w:eastAsia="Segoe UI" w:cs="Times New Roman"/>
          <w:i w:val="0"/>
          <w:iCs w:val="0"/>
          <w:caps w:val="0"/>
          <w:color w:val="0F1115"/>
          <w:spacing w:val="0"/>
          <w:sz w:val="24"/>
          <w:szCs w:val="24"/>
          <w:shd w:val="clear" w:fill="FFFFFF"/>
        </w:rPr>
        <w:t xml:space="preserve">fter intraperitoneal anesthesia with 4% chloral hydrate, the skin was shaved and disinfected. </w:t>
      </w:r>
      <w:r>
        <w:rPr>
          <w:rFonts w:hint="eastAsia" w:ascii="Times New Roman" w:hAnsi="Times New Roman" w:eastAsia="宋体" w:cs="Times New Roman"/>
          <w:i w:val="0"/>
          <w:iCs w:val="0"/>
          <w:caps w:val="0"/>
          <w:color w:val="0F1115"/>
          <w:spacing w:val="0"/>
          <w:sz w:val="24"/>
          <w:szCs w:val="24"/>
          <w:shd w:val="clear" w:fill="FFFFFF"/>
          <w:lang w:val="en-US" w:eastAsia="zh-CN"/>
        </w:rPr>
        <w:t>I</w:t>
      </w:r>
      <w:r>
        <w:rPr>
          <w:rFonts w:hint="default" w:ascii="Times New Roman" w:hAnsi="Times New Roman" w:eastAsia="Segoe UI" w:cs="Times New Roman"/>
          <w:i w:val="0"/>
          <w:iCs w:val="0"/>
          <w:caps w:val="0"/>
          <w:color w:val="0F1115"/>
          <w:spacing w:val="0"/>
          <w:sz w:val="24"/>
          <w:szCs w:val="24"/>
          <w:shd w:val="clear" w:fill="FFFFFF"/>
        </w:rPr>
        <w:t xml:space="preserve">n the immobilization group, the left forelimb, right forelimb and left hindlimb were fixed to the operating table, and a bone pin was inserted into the right hindlimb joint and slowly screwed in. </w:t>
      </w:r>
      <w:r>
        <w:rPr>
          <w:rFonts w:hint="eastAsia" w:ascii="Times New Roman" w:hAnsi="Times New Roman" w:eastAsia="宋体" w:cs="Times New Roman"/>
          <w:i w:val="0"/>
          <w:iCs w:val="0"/>
          <w:caps w:val="0"/>
          <w:color w:val="0F1115"/>
          <w:spacing w:val="0"/>
          <w:sz w:val="24"/>
          <w:szCs w:val="24"/>
          <w:shd w:val="clear" w:fill="FFFFFF"/>
          <w:lang w:val="en-US" w:eastAsia="zh-CN"/>
        </w:rPr>
        <w:t>I</w:t>
      </w:r>
      <w:r>
        <w:rPr>
          <w:rFonts w:hint="default" w:ascii="Times New Roman" w:hAnsi="Times New Roman" w:eastAsia="Segoe UI" w:cs="Times New Roman"/>
          <w:i w:val="0"/>
          <w:iCs w:val="0"/>
          <w:caps w:val="0"/>
          <w:color w:val="0F1115"/>
          <w:spacing w:val="0"/>
          <w:sz w:val="24"/>
          <w:szCs w:val="24"/>
          <w:shd w:val="clear" w:fill="FFFFFF"/>
        </w:rPr>
        <w:t xml:space="preserve">n the sham group, the same procedure was performed without inserting the bone pin. </w:t>
      </w:r>
      <w:r>
        <w:rPr>
          <w:rFonts w:hint="eastAsia" w:ascii="Times New Roman" w:hAnsi="Times New Roman" w:eastAsia="宋体" w:cs="Times New Roman"/>
          <w:i w:val="0"/>
          <w:iCs w:val="0"/>
          <w:caps w:val="0"/>
          <w:color w:val="0F1115"/>
          <w:spacing w:val="0"/>
          <w:sz w:val="24"/>
          <w:szCs w:val="24"/>
          <w:shd w:val="clear" w:fill="FFFFFF"/>
          <w:lang w:val="en-US" w:eastAsia="zh-CN"/>
        </w:rPr>
        <w:t>P</w:t>
      </w:r>
      <w:r>
        <w:rPr>
          <w:rFonts w:hint="default" w:ascii="Times New Roman" w:hAnsi="Times New Roman" w:eastAsia="Segoe UI" w:cs="Times New Roman"/>
          <w:i w:val="0"/>
          <w:iCs w:val="0"/>
          <w:caps w:val="0"/>
          <w:color w:val="0F1115"/>
          <w:spacing w:val="0"/>
          <w:sz w:val="24"/>
          <w:szCs w:val="24"/>
          <w:shd w:val="clear" w:fill="FFFFFF"/>
        </w:rPr>
        <w:t>ostoperatively, mice were placed on a 37 °C warming blanket for recovery and then returned to their cages for normal housing.</w:t>
      </w:r>
    </w:p>
    <w:p w14:paraId="5B78B65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2CCABE1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2.7</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Western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b</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lot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a</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nalysis</w:t>
      </w:r>
    </w:p>
    <w:p w14:paraId="393B56C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Small pieces of mouse gastrocnemius muscle were excised, disrupted by vibration, and placed into EP tubes containing RIPA protein lysis buffer. </w:t>
      </w:r>
      <w:r>
        <w:rPr>
          <w:rFonts w:hint="default" w:ascii="Times New Roman" w:hAnsi="Times New Roman" w:eastAsia="宋体" w:cs="Times New Roman"/>
          <w:i w:val="0"/>
          <w:iCs w:val="0"/>
          <w:caps w:val="0"/>
          <w:color w:val="0F1115"/>
          <w:spacing w:val="0"/>
          <w:sz w:val="24"/>
          <w:szCs w:val="24"/>
          <w:shd w:val="clear" w:fill="FFFFFF"/>
          <w:lang w:val="en-US" w:eastAsia="zh-CN"/>
        </w:rPr>
        <w:t>p</w:t>
      </w:r>
      <w:r>
        <w:rPr>
          <w:rFonts w:hint="default" w:ascii="Times New Roman" w:hAnsi="Times New Roman" w:eastAsia="Segoe UI" w:cs="Times New Roman"/>
          <w:i w:val="0"/>
          <w:iCs w:val="0"/>
          <w:caps w:val="0"/>
          <w:color w:val="0F1115"/>
          <w:spacing w:val="0"/>
          <w:sz w:val="24"/>
          <w:szCs w:val="24"/>
          <w:shd w:val="clear" w:fill="FFFFFF"/>
        </w:rPr>
        <w:t xml:space="preserve">rotein samples were extracted from muscle tissue using protein and immunoprecipitation lysis buffer supplemented with a protease inhibitor cocktail. </w:t>
      </w:r>
      <w:r>
        <w:rPr>
          <w:rFonts w:hint="default" w:ascii="Times New Roman" w:hAnsi="Times New Roman" w:eastAsia="宋体" w:cs="Times New Roman"/>
          <w:i w:val="0"/>
          <w:iCs w:val="0"/>
          <w:caps w:val="0"/>
          <w:color w:val="0F1115"/>
          <w:spacing w:val="0"/>
          <w:sz w:val="24"/>
          <w:szCs w:val="24"/>
          <w:shd w:val="clear" w:fill="FFFFFF"/>
          <w:lang w:val="en-US" w:eastAsia="zh-CN"/>
        </w:rPr>
        <w:t>e</w:t>
      </w:r>
      <w:r>
        <w:rPr>
          <w:rFonts w:hint="default" w:ascii="Times New Roman" w:hAnsi="Times New Roman" w:eastAsia="Segoe UI" w:cs="Times New Roman"/>
          <w:i w:val="0"/>
          <w:iCs w:val="0"/>
          <w:caps w:val="0"/>
          <w:color w:val="0F1115"/>
          <w:spacing w:val="0"/>
          <w:sz w:val="24"/>
          <w:szCs w:val="24"/>
          <w:shd w:val="clear" w:fill="FFFFFF"/>
        </w:rPr>
        <w:t>qual amounts of protein, determined using a BCA protein assay kit, were separated by SDS</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PAGE and then transferred onto PVDF membranes.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membranes were blocked with 5% BSA at room temperature, incubated with primary antibodies overnight at 4 °C, and then incubated with horseradish peroxidase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conjugated secondary antibodies at room temperature. </w:t>
      </w:r>
      <w:r>
        <w:rPr>
          <w:rFonts w:hint="default" w:ascii="Times New Roman" w:hAnsi="Times New Roman" w:eastAsia="宋体" w:cs="Times New Roman"/>
          <w:i w:val="0"/>
          <w:iCs w:val="0"/>
          <w:caps w:val="0"/>
          <w:color w:val="0F1115"/>
          <w:spacing w:val="0"/>
          <w:sz w:val="24"/>
          <w:szCs w:val="24"/>
          <w:shd w:val="clear" w:fill="FFFFFF"/>
          <w:lang w:val="en-US" w:eastAsia="zh-CN"/>
        </w:rPr>
        <w:t>p</w:t>
      </w:r>
      <w:r>
        <w:rPr>
          <w:rFonts w:hint="default" w:ascii="Times New Roman" w:hAnsi="Times New Roman" w:eastAsia="Segoe UI" w:cs="Times New Roman"/>
          <w:i w:val="0"/>
          <w:iCs w:val="0"/>
          <w:caps w:val="0"/>
          <w:color w:val="0F1115"/>
          <w:spacing w:val="0"/>
          <w:sz w:val="24"/>
          <w:szCs w:val="24"/>
          <w:shd w:val="clear" w:fill="FFFFFF"/>
        </w:rPr>
        <w:t>rotein signals were visualized using an ECL chemiluminescence kit and a Bio</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Rad chemiluminescence imaging system.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primary antibodies used in this study were as follows: Cas9 (1:1,000; Bioworld Technology, Nanjing, China),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mTOR (1:1,000; Cell Signaling Technology, MA, USA), mTOR (1:1,000; Cell Signaling Technology),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Akt (1:1,000; Cell Signaling Technology), Akt (1:1,000; Cell Signaling Technology), and GAPDH (1:1,000; Bioworld Technology).</w:t>
      </w:r>
    </w:p>
    <w:p w14:paraId="48E8C7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0CCA148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2.8</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RT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qPCR</w:t>
      </w:r>
    </w:p>
    <w:p w14:paraId="4ABDD65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Small pieces of mouse muscle tissue were excised, disrupted by vibration, and total RNA was extracted using TRIzol reagent. RNA concentration and purity were determined using a UV spectrophotometer.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wo micrograms of mRNA were reverse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transcribed into cDNA using the RevertAid First Strand cDNA Synthesis Kit (Thermo Fisher Scientific, MA, USA). Using the cDNA as template and specific primers, PCR amplification was performed on a Roche real</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time PCR detection system with SYBR Premix Ex Taq.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reaction conditions were: initial denaturation at 95 °C for 30 s, followed by 40 cycles of denaturation at 95 °C for 5 s, annealing at 60 °C for 30 s, and extension at 60 °C for 37 s. The primer sequences used for RT</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qPCR were: Atrogin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forward,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ATCACCGACCTGCCTGT</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Atrogin</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reverse,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CCCGTCACTCAGCCTCT</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MuRF</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forward,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CCTCATCCGCCAGTACG</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MuRF</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 reverse, 5′</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ATTGCCCCGACCTTGTT</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3′. 18S rRNA was used as an internal control.</w:t>
      </w:r>
    </w:p>
    <w:p w14:paraId="7E934F6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1BADCF7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2.9</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WGA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s</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taining</w:t>
      </w:r>
    </w:p>
    <w:p w14:paraId="59EF66B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Frozen sections of mouse hindlimb muscle were removed from −80 °C, warmed to room temperature for 10 min, and washed with PBS to remove OCT. </w:t>
      </w:r>
      <w:r>
        <w:rPr>
          <w:rFonts w:hint="default"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he sections were fixed with 4% paraformaldehyde for 20 min, permeabilized with 0.5% Triton X</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100, incubated with WGA staining solution for 30 min at room temperature, and counterstained with DAPI for 20 min. </w:t>
      </w:r>
      <w:r>
        <w:rPr>
          <w:rFonts w:hint="default" w:ascii="Times New Roman" w:hAnsi="Times New Roman" w:eastAsia="宋体" w:cs="Times New Roman"/>
          <w:i w:val="0"/>
          <w:iCs w:val="0"/>
          <w:caps w:val="0"/>
          <w:color w:val="0F1115"/>
          <w:spacing w:val="0"/>
          <w:sz w:val="24"/>
          <w:szCs w:val="24"/>
          <w:shd w:val="clear" w:fill="FFFFFF"/>
          <w:lang w:val="en-US" w:eastAsia="zh-CN"/>
        </w:rPr>
        <w:t>a</w:t>
      </w:r>
      <w:r>
        <w:rPr>
          <w:rFonts w:hint="default" w:ascii="Times New Roman" w:hAnsi="Times New Roman" w:eastAsia="Segoe UI" w:cs="Times New Roman"/>
          <w:i w:val="0"/>
          <w:iCs w:val="0"/>
          <w:caps w:val="0"/>
          <w:color w:val="0F1115"/>
          <w:spacing w:val="0"/>
          <w:sz w:val="24"/>
          <w:szCs w:val="24"/>
          <w:shd w:val="clear" w:fill="FFFFFF"/>
        </w:rPr>
        <w:t>fter washing with PBS, images were acquired under a fluorescence microscope.</w:t>
      </w:r>
    </w:p>
    <w:p w14:paraId="2CB85BA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p>
    <w:p w14:paraId="692C7C7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2.10</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Statistical </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a</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nalysis</w:t>
      </w:r>
    </w:p>
    <w:p w14:paraId="572F2B5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宋体"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rPr>
        <w:t xml:space="preserve">Data were analyzed using SPSS 22.0 software and presented as mean ± standard deviation. </w:t>
      </w:r>
      <w:r>
        <w:rPr>
          <w:rFonts w:hint="default" w:ascii="Times New Roman" w:hAnsi="Times New Roman" w:eastAsia="宋体" w:cs="Times New Roman"/>
          <w:i w:val="0"/>
          <w:iCs w:val="0"/>
          <w:caps w:val="0"/>
          <w:color w:val="0F1115"/>
          <w:spacing w:val="0"/>
          <w:sz w:val="24"/>
          <w:szCs w:val="24"/>
          <w:shd w:val="clear" w:fill="FFFFFF"/>
          <w:lang w:val="en-US" w:eastAsia="zh-CN"/>
        </w:rPr>
        <w:t>c</w:t>
      </w:r>
      <w:r>
        <w:rPr>
          <w:rFonts w:hint="default" w:ascii="Times New Roman" w:hAnsi="Times New Roman" w:eastAsia="Segoe UI" w:cs="Times New Roman"/>
          <w:i w:val="0"/>
          <w:iCs w:val="0"/>
          <w:caps w:val="0"/>
          <w:color w:val="0F1115"/>
          <w:spacing w:val="0"/>
          <w:sz w:val="24"/>
          <w:szCs w:val="24"/>
          <w:shd w:val="clear" w:fill="FFFFFF"/>
        </w:rPr>
        <w:t>omparisons among multiple groups were performed by one</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way analysis of variance (ANOVA), with a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value &lt;0.05 considered statistically significant. Graphs were generated using GraphPad Prism 8.0 software</w:t>
      </w:r>
      <w:r>
        <w:rPr>
          <w:rFonts w:hint="eastAsia" w:ascii="Times New Roman" w:hAnsi="Times New Roman" w:eastAsia="宋体" w:cs="Times New Roman"/>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i w:val="0"/>
          <w:iCs w:val="0"/>
          <w:caps w:val="0"/>
          <w:color w:val="0F1115"/>
          <w:spacing w:val="0"/>
          <w:sz w:val="24"/>
          <w:szCs w:val="24"/>
          <w:shd w:val="clear" w:fill="FFFFFF"/>
        </w:rPr>
        <w:t>subsequent</w:t>
      </w:r>
      <w:r>
        <w:rPr>
          <w:rFonts w:hint="default" w:ascii="Times New Roman" w:hAnsi="Times New Roman" w:eastAsia="宋体" w:cs="Times New Roman"/>
          <w:i w:val="0"/>
          <w:iCs w:val="0"/>
          <w:caps w:val="0"/>
          <w:color w:val="0F1115"/>
          <w:spacing w:val="0"/>
          <w:sz w:val="24"/>
          <w:szCs w:val="24"/>
          <w:shd w:val="clear" w:fill="FFFFFF"/>
          <w:lang w:val="en-US" w:eastAsia="zh-CN"/>
        </w:rPr>
        <w:t xml:space="preserve"> work.</w:t>
      </w:r>
    </w:p>
    <w:p w14:paraId="4BB39A0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宋体" w:cs="Times New Roman"/>
          <w:i w:val="0"/>
          <w:iCs w:val="0"/>
          <w:caps w:val="0"/>
          <w:color w:val="0F1115"/>
          <w:spacing w:val="0"/>
          <w:sz w:val="24"/>
          <w:szCs w:val="24"/>
          <w:shd w:val="clear" w:fill="FFFFFF"/>
          <w:lang w:val="en-US" w:eastAsia="zh-CN"/>
        </w:rPr>
      </w:pPr>
    </w:p>
    <w:p w14:paraId="231C90F3">
      <w:pPr>
        <w:pStyle w:val="2"/>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0"/>
        <w:textAlignment w:val="auto"/>
        <w:rPr>
          <w:rFonts w:hint="default" w:ascii="Times New Roman" w:hAnsi="Times New Roman" w:eastAsia="Georgia" w:cs="Times New Roman"/>
          <w:color w:val="000000" w:themeColor="text1"/>
          <w:sz w:val="24"/>
          <w:szCs w:val="24"/>
          <w:highlight w:val="none"/>
          <w14:textFill>
            <w14:solidFill>
              <w14:schemeClr w14:val="tx1"/>
            </w14:solidFill>
          </w14:textFill>
        </w:rPr>
      </w:pPr>
      <w:r>
        <w:rPr>
          <w:rFonts w:hint="default" w:ascii="Times New Roman" w:hAnsi="Times New Roman" w:eastAsia="Georgia" w:cs="Times New Roman"/>
          <w:b/>
          <w:bCs/>
          <w:color w:val="000000" w:themeColor="text1"/>
          <w:kern w:val="0"/>
          <w:sz w:val="24"/>
          <w:szCs w:val="24"/>
          <w:lang w:val="en-US" w:eastAsia="zh-CN" w:bidi="ar-SA"/>
          <w14:textFill>
            <w14:solidFill>
              <w14:schemeClr w14:val="tx1"/>
            </w14:solidFill>
          </w14:textFill>
        </w:rPr>
        <w:t>3.</w:t>
      </w:r>
      <w:r>
        <w:rPr>
          <w:rFonts w:hint="eastAsia" w:ascii="Times New Roman" w:hAnsi="Times New Roman" w:eastAsia="Georgia" w:cs="Times New Roman"/>
          <w:b/>
          <w:bCs/>
          <w:color w:val="000000" w:themeColor="text1"/>
          <w:kern w:val="0"/>
          <w:sz w:val="24"/>
          <w:szCs w:val="24"/>
          <w:lang w:val="en-US" w:eastAsia="zh-CN" w:bidi="ar-SA"/>
          <w14:textFill>
            <w14:solidFill>
              <w14:schemeClr w14:val="tx1"/>
            </w14:solidFill>
          </w14:textFill>
        </w:rPr>
        <w:t xml:space="preserve"> </w:t>
      </w:r>
      <w:r>
        <w:rPr>
          <w:rFonts w:hint="default" w:ascii="Times New Roman" w:hAnsi="Times New Roman" w:eastAsia="Georgia" w:cs="Times New Roman"/>
          <w:color w:val="000000" w:themeColor="text1"/>
          <w:sz w:val="24"/>
          <w:szCs w:val="24"/>
          <w:highlight w:val="none"/>
          <w14:textFill>
            <w14:solidFill>
              <w14:schemeClr w14:val="tx1"/>
            </w14:solidFill>
          </w14:textFill>
        </w:rPr>
        <w:t>Results</w:t>
      </w:r>
    </w:p>
    <w:p w14:paraId="5038484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3.1</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Successful construction of sgRNAs targeting miR-146a</w:t>
      </w:r>
    </w:p>
    <w:p w14:paraId="529628E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宋体" w:cs="Times New Roman"/>
          <w:bCs/>
          <w:sz w:val="24"/>
          <w:szCs w:val="24"/>
        </w:rPr>
      </w:pPr>
      <w:r>
        <w:rPr>
          <w:rFonts w:hint="default" w:ascii="Times New Roman" w:hAnsi="Times New Roman" w:eastAsia="Segoe UI" w:cs="Times New Roman"/>
          <w:i w:val="0"/>
          <w:iCs w:val="0"/>
          <w:caps w:val="0"/>
          <w:color w:val="0F1115"/>
          <w:spacing w:val="0"/>
          <w:sz w:val="24"/>
          <w:szCs w:val="24"/>
          <w:shd w:val="clear" w:fill="FFFFFF"/>
        </w:rPr>
        <w:t>The mouse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precursor (71 nt) was targeted by four sgRNAs covering the stem</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loop and Dicer sites (</w:t>
      </w:r>
      <w:r>
        <w:rPr>
          <w:rFonts w:hint="default" w:ascii="Times New Roman" w:hAnsi="Times New Roman" w:eastAsia="Segoe UI" w:cs="Times New Roman"/>
          <w:b/>
          <w:bCs/>
          <w:i w:val="0"/>
          <w:iCs w:val="0"/>
          <w:caps w:val="0"/>
          <w:color w:val="0F1115"/>
          <w:spacing w:val="0"/>
          <w:sz w:val="24"/>
          <w:szCs w:val="24"/>
          <w:shd w:val="clear" w:fill="FFFFFF"/>
        </w:rPr>
        <w:t>Fig</w:t>
      </w:r>
      <w:r>
        <w:rPr>
          <w:rFonts w:hint="eastAsia" w:ascii="Times New Roman" w:hAnsi="Times New Roman" w:eastAsia="宋体" w:cs="Times New Roman"/>
          <w:b/>
          <w:bCs/>
          <w:i w:val="0"/>
          <w:iCs w:val="0"/>
          <w:caps w:val="0"/>
          <w:color w:val="0F1115"/>
          <w:spacing w:val="0"/>
          <w:sz w:val="24"/>
          <w:szCs w:val="24"/>
          <w:shd w:val="clear" w:fill="FFFFFF"/>
          <w:lang w:val="en-US" w:eastAsia="zh-CN"/>
        </w:rPr>
        <w:t>ure</w:t>
      </w:r>
      <w:r>
        <w:rPr>
          <w:rFonts w:hint="default" w:ascii="Times New Roman" w:hAnsi="Times New Roman" w:eastAsia="Segoe UI" w:cs="Times New Roman"/>
          <w:b/>
          <w:bCs/>
          <w:i w:val="0"/>
          <w:iCs w:val="0"/>
          <w:caps w:val="0"/>
          <w:color w:val="0F1115"/>
          <w:spacing w:val="0"/>
          <w:sz w:val="24"/>
          <w:szCs w:val="24"/>
          <w:shd w:val="clear" w:fill="FFFFFF"/>
        </w:rPr>
        <w:t xml:space="preserve"> 1A</w:t>
      </w:r>
      <w:r>
        <w:rPr>
          <w:rFonts w:hint="default" w:ascii="Times New Roman" w:hAnsi="Times New Roman" w:eastAsia="Segoe UI" w:cs="Times New Roman"/>
          <w:i w:val="0"/>
          <w:iCs w:val="0"/>
          <w:caps w:val="0"/>
          <w:color w:val="0F1115"/>
          <w:spacing w:val="0"/>
          <w:sz w:val="24"/>
          <w:szCs w:val="24"/>
          <w:shd w:val="clear" w:fill="FFFFFF"/>
        </w:rPr>
        <w:t>). After cloning into lentiCRISPR v2 and transfection into HEK293T cells, puromycin selection and T7EI digestion revealed that sgRNA #1 yielded ~50% cleavage, sgRNA #3 ~80%, and sgRNAs #2 and #4 showed lower activities (</w:t>
      </w:r>
      <w:r>
        <w:rPr>
          <w:rFonts w:hint="default" w:ascii="Times New Roman" w:hAnsi="Times New Roman" w:eastAsia="Segoe UI" w:cs="Times New Roman"/>
          <w:b/>
          <w:bCs/>
          <w:i w:val="0"/>
          <w:iCs w:val="0"/>
          <w:caps w:val="0"/>
          <w:color w:val="0F1115"/>
          <w:spacing w:val="0"/>
          <w:sz w:val="24"/>
          <w:szCs w:val="24"/>
          <w:shd w:val="clear" w:fill="FFFFFF"/>
        </w:rPr>
        <w:t>Fig</w:t>
      </w:r>
      <w:r>
        <w:rPr>
          <w:rFonts w:hint="eastAsia" w:ascii="Times New Roman" w:hAnsi="Times New Roman" w:eastAsia="宋体" w:cs="Times New Roman"/>
          <w:b/>
          <w:bCs/>
          <w:i w:val="0"/>
          <w:iCs w:val="0"/>
          <w:caps w:val="0"/>
          <w:color w:val="0F1115"/>
          <w:spacing w:val="0"/>
          <w:sz w:val="24"/>
          <w:szCs w:val="24"/>
          <w:shd w:val="clear" w:fill="FFFFFF"/>
          <w:lang w:val="en-US" w:eastAsia="zh-CN"/>
        </w:rPr>
        <w:t>ure</w:t>
      </w:r>
      <w:r>
        <w:rPr>
          <w:rFonts w:hint="default" w:ascii="Times New Roman" w:hAnsi="Times New Roman" w:eastAsia="Segoe UI" w:cs="Times New Roman"/>
          <w:b/>
          <w:bCs/>
          <w:i w:val="0"/>
          <w:iCs w:val="0"/>
          <w:caps w:val="0"/>
          <w:color w:val="0F1115"/>
          <w:spacing w:val="0"/>
          <w:sz w:val="24"/>
          <w:szCs w:val="24"/>
          <w:shd w:val="clear" w:fill="FFFFFF"/>
        </w:rPr>
        <w:t xml:space="preserve"> 1B</w:t>
      </w:r>
      <w:r>
        <w:rPr>
          <w:rFonts w:hint="default" w:ascii="Times New Roman" w:hAnsi="Times New Roman" w:eastAsia="Segoe UI" w:cs="Times New Roman"/>
          <w:i w:val="0"/>
          <w:iCs w:val="0"/>
          <w:caps w:val="0"/>
          <w:color w:val="0F1115"/>
          <w:spacing w:val="0"/>
          <w:sz w:val="24"/>
          <w:szCs w:val="24"/>
          <w:shd w:val="clear" w:fill="FFFFFF"/>
        </w:rPr>
        <w:t>). Therefore, sgRNA #3 was chosen for all subsequent</w:t>
      </w:r>
      <w:r>
        <w:rPr>
          <w:rFonts w:hint="default" w:ascii="Times New Roman" w:hAnsi="Times New Roman" w:eastAsia="宋体" w:cs="Times New Roman"/>
          <w:i w:val="0"/>
          <w:iCs w:val="0"/>
          <w:caps w:val="0"/>
          <w:color w:val="0F1115"/>
          <w:spacing w:val="0"/>
          <w:sz w:val="24"/>
          <w:szCs w:val="24"/>
          <w:shd w:val="clear" w:fill="FFFFFF"/>
          <w:lang w:val="en-US" w:eastAsia="zh-CN"/>
        </w:rPr>
        <w:t xml:space="preserve"> work.</w:t>
      </w:r>
    </w:p>
    <w:p w14:paraId="6198841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宋体" w:cs="Times New Roman"/>
          <w:bCs/>
          <w:sz w:val="20"/>
          <w:szCs w:val="20"/>
        </w:rPr>
        <w:drawing>
          <wp:anchor distT="0" distB="0" distL="0" distR="0" simplePos="0" relativeHeight="251659264" behindDoc="0" locked="0" layoutInCell="1" allowOverlap="1">
            <wp:simplePos x="0" y="0"/>
            <wp:positionH relativeFrom="column">
              <wp:posOffset>63500</wp:posOffset>
            </wp:positionH>
            <wp:positionV relativeFrom="paragraph">
              <wp:posOffset>16510</wp:posOffset>
            </wp:positionV>
            <wp:extent cx="4818380" cy="2161540"/>
            <wp:effectExtent l="0" t="0" r="12700" b="2540"/>
            <wp:wrapTopAndBottom/>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835255" cy="2169053"/>
                    </a:xfrm>
                    <a:prstGeom prst="rect">
                      <a:avLst/>
                    </a:prstGeom>
                    <a:noFill/>
                    <a:ln>
                      <a:noFill/>
                    </a:ln>
                  </pic:spPr>
                </pic:pic>
              </a:graphicData>
            </a:graphic>
          </wp:anchor>
        </w:drawing>
      </w:r>
      <w:r>
        <w:rPr>
          <w:rFonts w:hint="default" w:ascii="Times New Roman" w:hAnsi="Times New Roman" w:eastAsia="Segoe UI" w:cs="Times New Roman"/>
          <w:b/>
          <w:bCs/>
          <w:i w:val="0"/>
          <w:iCs w:val="0"/>
          <w:caps w:val="0"/>
          <w:color w:val="0F1115"/>
          <w:spacing w:val="0"/>
          <w:sz w:val="20"/>
          <w:szCs w:val="20"/>
          <w:shd w:val="clear" w:fill="FFFFFF"/>
        </w:rPr>
        <w:t>Figure 1</w:t>
      </w:r>
      <w:r>
        <w:rPr>
          <w:rFonts w:hint="eastAsia" w:ascii="Times New Roman" w:hAnsi="Times New Roman" w:eastAsia="宋体" w:cs="Times New Roman"/>
          <w:b/>
          <w:bCs/>
          <w:i w:val="0"/>
          <w:iCs w:val="0"/>
          <w:caps w:val="0"/>
          <w:color w:val="0F1115"/>
          <w:spacing w:val="0"/>
          <w:sz w:val="20"/>
          <w:szCs w:val="20"/>
          <w:shd w:val="clear" w:fill="FFFFFF"/>
          <w:lang w:val="en-US" w:eastAsia="zh-CN"/>
        </w:rPr>
        <w:t>.</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(A) Schematic representation of the four gRNA target sites within the genomic locus of pri-miR-146a. (B) Detection of the editing efficiencies of different gRNAs by T7 endonuclease I (T7EI) cleavage assay.</w:t>
      </w:r>
    </w:p>
    <w:p w14:paraId="4310CFA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p>
    <w:p w14:paraId="6692C7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3.2</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The lentiCRISPR/Cas9 system effectively reduces miR-146a expression in the gastrocnemius muscle of hindlimb</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immobilized mice</w:t>
      </w:r>
    </w:p>
    <w:p w14:paraId="44E4E16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The constructed lentiCRISPR miR-146a-3# recombinant plasmid or the empty lentiCRISPR v2 control vector was co</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transfected with the helper plasmids psPAX2 and pMD2.G to package lentiviruses, which were then injected into the gastrocnemius muscle of hindlimb</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immobilized (Imo) and sham</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 xml:space="preserve">operated mice. </w:t>
      </w:r>
      <w:r>
        <w:rPr>
          <w:rFonts w:hint="default" w:ascii="Times New Roman" w:hAnsi="Times New Roman" w:eastAsia="宋体" w:cs="Times New Roman"/>
          <w:i w:val="0"/>
          <w:iCs w:val="0"/>
          <w:caps w:val="0"/>
          <w:color w:val="0F1115"/>
          <w:spacing w:val="0"/>
          <w:sz w:val="24"/>
          <w:szCs w:val="24"/>
          <w:shd w:val="clear" w:fill="FFFFFF"/>
          <w:lang w:val="en-US" w:eastAsia="zh-CN"/>
        </w:rPr>
        <w:t>w</w:t>
      </w:r>
      <w:r>
        <w:rPr>
          <w:rFonts w:hint="default" w:ascii="Times New Roman" w:hAnsi="Times New Roman" w:eastAsia="Segoe UI" w:cs="Times New Roman"/>
          <w:i w:val="0"/>
          <w:iCs w:val="0"/>
          <w:caps w:val="0"/>
          <w:color w:val="0F1115"/>
          <w:spacing w:val="0"/>
          <w:sz w:val="24"/>
          <w:szCs w:val="24"/>
          <w:shd w:val="clear" w:fill="FFFFFF"/>
        </w:rPr>
        <w:t>estern blot analysis revealed a marked increase in Cas9 protein expression in the gastrocnemius muscle of mice injected with lentiCRISPR miR-146a (</w:t>
      </w:r>
      <w:r>
        <w:rPr>
          <w:rFonts w:hint="default" w:ascii="Times New Roman" w:hAnsi="Times New Roman" w:eastAsia="Segoe UI" w:cs="Times New Roman"/>
          <w:b/>
          <w:bCs/>
          <w:i w:val="0"/>
          <w:iCs w:val="0"/>
          <w:caps w:val="0"/>
          <w:color w:val="0F1115"/>
          <w:spacing w:val="0"/>
          <w:sz w:val="24"/>
          <w:szCs w:val="24"/>
          <w:shd w:val="clear" w:fill="FFFFFF"/>
        </w:rPr>
        <w:t>Figure 2A</w:t>
      </w:r>
      <w:r>
        <w:rPr>
          <w:rFonts w:hint="default" w:ascii="Times New Roman" w:hAnsi="Times New Roman" w:eastAsia="Segoe UI" w:cs="Times New Roman"/>
          <w:i w:val="0"/>
          <w:iCs w:val="0"/>
          <w:caps w:val="0"/>
          <w:color w:val="0F1115"/>
          <w:spacing w:val="0"/>
          <w:sz w:val="24"/>
          <w:szCs w:val="24"/>
          <w:shd w:val="clear" w:fill="FFFFFF"/>
        </w:rPr>
        <w:t>). qPCR analysis showed that, compared with the sham group, miR-146a expression was significantly upregulated in the gastrocnemius muscle of the Imo group; conversely, injection of lentiCRISPR miR-146a lentivirus substantially reduced its expression (</w:t>
      </w:r>
      <w:r>
        <w:rPr>
          <w:rFonts w:hint="default" w:ascii="Times New Roman" w:hAnsi="Times New Roman" w:eastAsia="Segoe UI" w:cs="Times New Roman"/>
          <w:b/>
          <w:bCs/>
          <w:i w:val="0"/>
          <w:iCs w:val="0"/>
          <w:caps w:val="0"/>
          <w:color w:val="0F1115"/>
          <w:spacing w:val="0"/>
          <w:sz w:val="24"/>
          <w:szCs w:val="24"/>
          <w:shd w:val="clear" w:fill="FFFFFF"/>
        </w:rPr>
        <w:t>Figure 2B</w:t>
      </w:r>
      <w:r>
        <w:rPr>
          <w:rFonts w:hint="default" w:ascii="Times New Roman" w:hAnsi="Times New Roman" w:eastAsia="Segoe UI" w:cs="Times New Roman"/>
          <w:i w:val="0"/>
          <w:iCs w:val="0"/>
          <w:caps w:val="0"/>
          <w:color w:val="0F1115"/>
          <w:spacing w:val="0"/>
          <w:sz w:val="24"/>
          <w:szCs w:val="24"/>
          <w:shd w:val="clear" w:fill="FFFFFF"/>
        </w:rPr>
        <w:t>).</w:t>
      </w:r>
    </w:p>
    <w:p w14:paraId="5468EB7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drawing>
          <wp:inline distT="0" distB="0" distL="0" distR="0">
            <wp:extent cx="5528945" cy="1325880"/>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603422" cy="1343918"/>
                    </a:xfrm>
                    <a:prstGeom prst="rect">
                      <a:avLst/>
                    </a:prstGeom>
                    <a:noFill/>
                  </pic:spPr>
                </pic:pic>
              </a:graphicData>
            </a:graphic>
          </wp:inline>
        </w:drawing>
      </w:r>
    </w:p>
    <w:p w14:paraId="54E5C20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b/>
          <w:bCs/>
          <w:i w:val="0"/>
          <w:iCs w:val="0"/>
          <w:caps w:val="0"/>
          <w:color w:val="0F1115"/>
          <w:spacing w:val="0"/>
          <w:sz w:val="20"/>
          <w:szCs w:val="20"/>
          <w:shd w:val="clear" w:fill="FFFFFF"/>
        </w:rPr>
        <w:t>Figure 2</w:t>
      </w:r>
      <w:r>
        <w:rPr>
          <w:rFonts w:hint="eastAsia" w:ascii="Times New Roman" w:hAnsi="Times New Roman" w:eastAsia="宋体" w:cs="Times New Roman"/>
          <w:b/>
          <w:bCs/>
          <w:i w:val="0"/>
          <w:iCs w:val="0"/>
          <w:caps w:val="0"/>
          <w:color w:val="0F1115"/>
          <w:spacing w:val="0"/>
          <w:sz w:val="20"/>
          <w:szCs w:val="20"/>
          <w:shd w:val="clear" w:fill="FFFFFF"/>
          <w:lang w:val="en-US" w:eastAsia="zh-CN"/>
        </w:rPr>
        <w:t>.</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(A) Western blot analysis of Cas9 protein expression in the gastrocnemius muscle of mice from each group. (B) qPCR detection of miR-146a expression levels in the gastrocnemius muscle</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w:t>
      </w:r>
      <w:r>
        <w:rPr>
          <w:rFonts w:hint="default" w:ascii="Times New Roman" w:hAnsi="Times New Roman" w:eastAsia="Segoe UI" w:cs="Times New Roman"/>
          <w:i/>
          <w:iCs/>
          <w:caps w:val="0"/>
          <w:color w:val="0F1115"/>
          <w:spacing w:val="0"/>
          <w:sz w:val="20"/>
          <w:szCs w:val="20"/>
          <w:shd w:val="clear" w:fill="FFFFFF"/>
        </w:rPr>
        <w:t>P</w:t>
      </w:r>
      <w:r>
        <w:rPr>
          <w:rFonts w:hint="default" w:ascii="Times New Roman" w:hAnsi="Times New Roman" w:eastAsia="Segoe UI" w:cs="Times New Roman"/>
          <w:i w:val="0"/>
          <w:iCs w:val="0"/>
          <w:caps w:val="0"/>
          <w:color w:val="0F1115"/>
          <w:spacing w:val="0"/>
          <w:sz w:val="20"/>
          <w:szCs w:val="20"/>
          <w:shd w:val="clear" w:fill="FFFFFF"/>
        </w:rPr>
        <w:t>&lt;0.05)</w:t>
      </w:r>
    </w:p>
    <w:p w14:paraId="1DE445B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auto"/>
        <w:rPr>
          <w:rFonts w:hint="default" w:ascii="Times New Roman" w:hAnsi="Times New Roman" w:eastAsia="Segoe UI" w:cs="Times New Roman"/>
          <w:i w:val="0"/>
          <w:iCs w:val="0"/>
          <w:caps w:val="0"/>
          <w:color w:val="0F1115"/>
          <w:spacing w:val="0"/>
          <w:sz w:val="20"/>
          <w:szCs w:val="20"/>
          <w:shd w:val="clear" w:fill="FFFFFF"/>
        </w:rPr>
      </w:pPr>
    </w:p>
    <w:p w14:paraId="0B12A45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3.3</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lentiCRISPR miR-146a inhibits hindlimb immobilization</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induced muscle atrophy</w:t>
      </w:r>
    </w:p>
    <w:p w14:paraId="46D57F5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qPCR results demonstrated that, compared with the control group, the expression levels of the muscle atrophy marker genes Atrogin-1 and MuRF-1 were markedly increased in the gastrocnemius muscle of the Imo group. </w:t>
      </w:r>
      <w:r>
        <w:rPr>
          <w:rFonts w:hint="default" w:ascii="Times New Roman" w:hAnsi="Times New Roman" w:eastAsia="宋体" w:cs="Times New Roman"/>
          <w:i w:val="0"/>
          <w:iCs w:val="0"/>
          <w:caps w:val="0"/>
          <w:color w:val="0F1115"/>
          <w:spacing w:val="0"/>
          <w:sz w:val="24"/>
          <w:szCs w:val="24"/>
          <w:shd w:val="clear" w:fill="FFFFFF"/>
          <w:lang w:val="en-US" w:eastAsia="zh-CN"/>
        </w:rPr>
        <w:t>h</w:t>
      </w:r>
      <w:r>
        <w:rPr>
          <w:rFonts w:hint="default" w:ascii="Times New Roman" w:hAnsi="Times New Roman" w:eastAsia="Segoe UI" w:cs="Times New Roman"/>
          <w:i w:val="0"/>
          <w:iCs w:val="0"/>
          <w:caps w:val="0"/>
          <w:color w:val="0F1115"/>
          <w:spacing w:val="0"/>
          <w:sz w:val="24"/>
          <w:szCs w:val="24"/>
          <w:shd w:val="clear" w:fill="FFFFFF"/>
        </w:rPr>
        <w:t>owever, following lentiCRISPR miR-146a treatment, the expression of both genes was significantly downregulated (</w:t>
      </w:r>
      <w:r>
        <w:rPr>
          <w:rFonts w:hint="default" w:ascii="Times New Roman" w:hAnsi="Times New Roman" w:eastAsia="Segoe UI" w:cs="Times New Roman"/>
          <w:b/>
          <w:bCs/>
          <w:i w:val="0"/>
          <w:iCs w:val="0"/>
          <w:caps w:val="0"/>
          <w:color w:val="0F1115"/>
          <w:spacing w:val="0"/>
          <w:sz w:val="24"/>
          <w:szCs w:val="24"/>
          <w:shd w:val="clear" w:fill="FFFFFF"/>
        </w:rPr>
        <w:t>Figure 3A</w:t>
      </w:r>
      <w:r>
        <w:rPr>
          <w:rFonts w:hint="default" w:ascii="Times New Roman" w:hAnsi="Times New Roman" w:eastAsia="Segoe UI" w:cs="Times New Roman"/>
          <w:i w:val="0"/>
          <w:iCs w:val="0"/>
          <w:caps w:val="0"/>
          <w:color w:val="0F1115"/>
          <w:spacing w:val="0"/>
          <w:sz w:val="24"/>
          <w:szCs w:val="24"/>
          <w:shd w:val="clear" w:fill="FFFFFF"/>
        </w:rPr>
        <w:t>). WGA staining showed that the cross</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sectional area of myofibers was substantially reduced in the Imo group, whereas lentiCRISPR miR-146a intervention significantly restored myofiber size (</w:t>
      </w:r>
      <w:r>
        <w:rPr>
          <w:rFonts w:hint="default" w:ascii="Times New Roman" w:hAnsi="Times New Roman" w:eastAsia="Segoe UI" w:cs="Times New Roman"/>
          <w:b/>
          <w:bCs/>
          <w:i w:val="0"/>
          <w:iCs w:val="0"/>
          <w:caps w:val="0"/>
          <w:color w:val="0F1115"/>
          <w:spacing w:val="0"/>
          <w:sz w:val="24"/>
          <w:szCs w:val="24"/>
          <w:shd w:val="clear" w:fill="FFFFFF"/>
        </w:rPr>
        <w:t>Figure 3B</w:t>
      </w:r>
      <w:r>
        <w:rPr>
          <w:rFonts w:hint="default" w:ascii="Times New Roman" w:hAnsi="Times New Roman" w:eastAsia="Segoe UI" w:cs="Times New Roman"/>
          <w:i w:val="0"/>
          <w:iCs w:val="0"/>
          <w:caps w:val="0"/>
          <w:color w:val="0F1115"/>
          <w:spacing w:val="0"/>
          <w:sz w:val="24"/>
          <w:szCs w:val="24"/>
          <w:shd w:val="clear" w:fill="FFFFFF"/>
        </w:rPr>
        <w:t>).</w:t>
      </w:r>
    </w:p>
    <w:p w14:paraId="65D8DA8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drawing>
          <wp:inline distT="0" distB="0" distL="0" distR="0">
            <wp:extent cx="5236210" cy="3292475"/>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55007" cy="3304297"/>
                    </a:xfrm>
                    <a:prstGeom prst="rect">
                      <a:avLst/>
                    </a:prstGeom>
                    <a:noFill/>
                  </pic:spPr>
                </pic:pic>
              </a:graphicData>
            </a:graphic>
          </wp:inline>
        </w:drawing>
      </w:r>
    </w:p>
    <w:p w14:paraId="1487B14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b/>
          <w:bCs/>
          <w:i w:val="0"/>
          <w:iCs w:val="0"/>
          <w:caps w:val="0"/>
          <w:color w:val="0F1115"/>
          <w:spacing w:val="0"/>
          <w:sz w:val="20"/>
          <w:szCs w:val="20"/>
          <w:shd w:val="clear" w:fill="FFFFFF"/>
        </w:rPr>
        <w:t>Figure 3</w:t>
      </w:r>
      <w:r>
        <w:rPr>
          <w:rFonts w:hint="eastAsia" w:ascii="Times New Roman" w:hAnsi="Times New Roman" w:eastAsia="宋体" w:cs="Times New Roman"/>
          <w:i w:val="0"/>
          <w:iCs w:val="0"/>
          <w:caps w:val="0"/>
          <w:color w:val="0F1115"/>
          <w:spacing w:val="0"/>
          <w:sz w:val="20"/>
          <w:szCs w:val="20"/>
          <w:shd w:val="clear" w:fill="FFFFFF"/>
          <w:lang w:val="en-US" w:eastAsia="zh-CN"/>
        </w:rPr>
        <w:t>.</w:t>
      </w:r>
      <w:r>
        <w:rPr>
          <w:rFonts w:hint="default" w:ascii="Times New Roman" w:hAnsi="Times New Roman" w:eastAsia="Segoe UI" w:cs="Times New Roman"/>
          <w:i w:val="0"/>
          <w:iCs w:val="0"/>
          <w:caps w:val="0"/>
          <w:color w:val="0F1115"/>
          <w:spacing w:val="0"/>
          <w:sz w:val="20"/>
          <w:szCs w:val="20"/>
          <w:shd w:val="clear" w:fill="FFFFFF"/>
        </w:rPr>
        <w:t>(A) qPCR analysis of Atrogin-1 and MuRF-1 mRNA expression in the gastrocnemius muscle. (B) WGA staining showing myofiber morphology (scale bar: 100 μm).</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w:t>
      </w:r>
      <w:r>
        <w:rPr>
          <w:rFonts w:hint="default" w:ascii="Times New Roman" w:hAnsi="Times New Roman" w:eastAsia="Segoe UI" w:cs="Times New Roman"/>
          <w:i/>
          <w:iCs/>
          <w:caps w:val="0"/>
          <w:color w:val="0F1115"/>
          <w:spacing w:val="0"/>
          <w:sz w:val="20"/>
          <w:szCs w:val="20"/>
          <w:shd w:val="clear" w:fill="FFFFFF"/>
        </w:rPr>
        <w:t>P</w:t>
      </w:r>
      <w:r>
        <w:rPr>
          <w:rFonts w:hint="default" w:ascii="Times New Roman" w:hAnsi="Times New Roman" w:eastAsia="Segoe UI" w:cs="Times New Roman"/>
          <w:i w:val="0"/>
          <w:iCs w:val="0"/>
          <w:caps w:val="0"/>
          <w:color w:val="0F1115"/>
          <w:spacing w:val="0"/>
          <w:sz w:val="20"/>
          <w:szCs w:val="20"/>
          <w:shd w:val="clear" w:fill="FFFFFF"/>
        </w:rPr>
        <w:t>&lt;0.05)</w:t>
      </w:r>
    </w:p>
    <w:p w14:paraId="2684FAA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p>
    <w:p w14:paraId="39808AA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Style w:val="8"/>
          <w:rFonts w:hint="default" w:ascii="Times New Roman" w:hAnsi="Times New Roman" w:eastAsia="宋体" w:cs="Times New Roman"/>
          <w:b/>
          <w:bCs/>
          <w:i w:val="0"/>
          <w:iCs w:val="0"/>
          <w:caps w:val="0"/>
          <w:color w:val="0F1115"/>
          <w:spacing w:val="0"/>
          <w:sz w:val="24"/>
          <w:szCs w:val="24"/>
          <w:shd w:val="clear" w:fill="FFFFFF"/>
          <w:lang w:val="en-US" w:eastAsia="zh-CN"/>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3.4</w:t>
      </w:r>
      <w:r>
        <w:rPr>
          <w:rStyle w:val="8"/>
          <w:rFonts w:hint="eastAsia" w:ascii="Times New Roman" w:hAnsi="Times New Roman" w:eastAsia="宋体" w:cs="Times New Roman"/>
          <w:b/>
          <w:bCs/>
          <w:i w:val="0"/>
          <w:iCs w:val="0"/>
          <w:caps w:val="0"/>
          <w:color w:val="0F1115"/>
          <w:spacing w:val="0"/>
          <w:sz w:val="24"/>
          <w:szCs w:val="24"/>
          <w:shd w:val="clear" w:fill="FFFFFF"/>
          <w:lang w:val="en-US" w:eastAsia="zh-CN"/>
        </w:rPr>
        <w:t>.</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 xml:space="preserve"> miR</w:t>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noBreakHyphen/>
      </w: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146a knockdown restores mTOR/Akt phosphorylation</w:t>
      </w:r>
    </w:p>
    <w:p w14:paraId="4A082DC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Western blot analysis of the gastrocnemius revealed that immobilization reduced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mTOR and p</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Akt levels relative to total mTOR and Akt. Importantly, lentiCRISPR miR</w:t>
      </w:r>
      <w:r>
        <w:rPr>
          <w:rFonts w:hint="default" w:ascii="Times New Roman" w:hAnsi="Times New Roman" w:eastAsia="Segoe UI" w:cs="Times New Roman"/>
          <w:i w:val="0"/>
          <w:iCs w:val="0"/>
          <w:caps w:val="0"/>
          <w:color w:val="0F1115"/>
          <w:spacing w:val="0"/>
          <w:sz w:val="24"/>
          <w:szCs w:val="24"/>
          <w:shd w:val="clear" w:fill="FFFFFF"/>
        </w:rPr>
        <w:noBreakHyphen/>
      </w:r>
      <w:r>
        <w:rPr>
          <w:rFonts w:hint="default" w:ascii="Times New Roman" w:hAnsi="Times New Roman" w:eastAsia="Segoe UI" w:cs="Times New Roman"/>
          <w:i w:val="0"/>
          <w:iCs w:val="0"/>
          <w:caps w:val="0"/>
          <w:color w:val="0F1115"/>
          <w:spacing w:val="0"/>
          <w:sz w:val="24"/>
          <w:szCs w:val="24"/>
          <w:shd w:val="clear" w:fill="FFFFFF"/>
        </w:rPr>
        <w:t>146a treatment significantly elevated both phosphorylated proteins (</w:t>
      </w:r>
      <w:r>
        <w:rPr>
          <w:rFonts w:hint="default" w:ascii="Times New Roman" w:hAnsi="Times New Roman" w:eastAsia="Segoe UI" w:cs="Times New Roman"/>
          <w:b/>
          <w:bCs/>
          <w:i w:val="0"/>
          <w:iCs w:val="0"/>
          <w:caps w:val="0"/>
          <w:color w:val="0F1115"/>
          <w:spacing w:val="0"/>
          <w:sz w:val="24"/>
          <w:szCs w:val="24"/>
          <w:shd w:val="clear" w:fill="FFFFFF"/>
        </w:rPr>
        <w:t>Figure 4</w:t>
      </w:r>
      <w:r>
        <w:rPr>
          <w:rFonts w:hint="default" w:ascii="Times New Roman" w:hAnsi="Times New Roman" w:eastAsia="Segoe UI" w:cs="Times New Roman"/>
          <w:i w:val="0"/>
          <w:iCs w:val="0"/>
          <w:caps w:val="0"/>
          <w:color w:val="0F1115"/>
          <w:spacing w:val="0"/>
          <w:sz w:val="24"/>
          <w:szCs w:val="24"/>
          <w:shd w:val="clear" w:fill="FFFFFF"/>
        </w:rPr>
        <w:t>).</w:t>
      </w:r>
    </w:p>
    <w:p w14:paraId="00075A1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drawing>
          <wp:inline distT="0" distB="0" distL="0" distR="0">
            <wp:extent cx="5431790" cy="164528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496704" cy="1665354"/>
                    </a:xfrm>
                    <a:prstGeom prst="rect">
                      <a:avLst/>
                    </a:prstGeom>
                    <a:noFill/>
                  </pic:spPr>
                </pic:pic>
              </a:graphicData>
            </a:graphic>
          </wp:inline>
        </w:drawing>
      </w:r>
    </w:p>
    <w:p w14:paraId="6E5FC6C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b/>
          <w:bCs/>
          <w:i w:val="0"/>
          <w:iCs w:val="0"/>
          <w:caps w:val="0"/>
          <w:color w:val="0F1115"/>
          <w:spacing w:val="0"/>
          <w:sz w:val="20"/>
          <w:szCs w:val="20"/>
          <w:shd w:val="clear" w:fill="FFFFFF"/>
        </w:rPr>
        <w:t>Figure 4</w:t>
      </w:r>
      <w:r>
        <w:rPr>
          <w:rFonts w:hint="eastAsia" w:ascii="Times New Roman" w:hAnsi="Times New Roman" w:eastAsia="宋体" w:cs="Times New Roman"/>
          <w:i w:val="0"/>
          <w:iCs w:val="0"/>
          <w:caps w:val="0"/>
          <w:color w:val="0F1115"/>
          <w:spacing w:val="0"/>
          <w:sz w:val="20"/>
          <w:szCs w:val="20"/>
          <w:shd w:val="clear" w:fill="FFFFFF"/>
          <w:lang w:val="en-US" w:eastAsia="zh-CN"/>
        </w:rPr>
        <w:t>.</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Western blot analysis of p-mTOR, mTOR, p-Akt, and Akt protein expression levels in the gastrocnemius muscle, along with statistical quantification of their relative expression levels.</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w:t>
      </w:r>
      <w:r>
        <w:rPr>
          <w:rFonts w:hint="default" w:ascii="Times New Roman" w:hAnsi="Times New Roman" w:eastAsia="Segoe UI" w:cs="Times New Roman"/>
          <w:i/>
          <w:iCs/>
          <w:caps w:val="0"/>
          <w:color w:val="0F1115"/>
          <w:spacing w:val="0"/>
          <w:sz w:val="20"/>
          <w:szCs w:val="20"/>
          <w:shd w:val="clear" w:fill="FFFFFF"/>
        </w:rPr>
        <w:t>P</w:t>
      </w:r>
      <w:r>
        <w:rPr>
          <w:rFonts w:hint="default" w:ascii="Times New Roman" w:hAnsi="Times New Roman" w:eastAsia="Segoe UI" w:cs="Times New Roman"/>
          <w:i w:val="0"/>
          <w:iCs w:val="0"/>
          <w:caps w:val="0"/>
          <w:color w:val="0F1115"/>
          <w:spacing w:val="0"/>
          <w:sz w:val="20"/>
          <w:szCs w:val="20"/>
          <w:shd w:val="clear" w:fill="FFFFFF"/>
        </w:rPr>
        <w:t>&lt;0.05)</w:t>
      </w:r>
    </w:p>
    <w:p w14:paraId="38DBD08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0"/>
          <w:szCs w:val="20"/>
          <w:shd w:val="clear" w:fill="FFFFFF"/>
        </w:rPr>
      </w:pPr>
    </w:p>
    <w:p w14:paraId="1CE3B42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Style w:val="8"/>
          <w:rFonts w:hint="default" w:ascii="Times New Roman" w:hAnsi="Times New Roman" w:eastAsia="宋体" w:cs="Times New Roman"/>
          <w:b/>
          <w:bCs/>
          <w:i w:val="0"/>
          <w:iCs w:val="0"/>
          <w:caps w:val="0"/>
          <w:color w:val="0F1115"/>
          <w:spacing w:val="0"/>
          <w:sz w:val="24"/>
          <w:szCs w:val="24"/>
          <w:shd w:val="clear" w:fill="FFFFFF"/>
          <w:lang w:val="en-US" w:eastAsia="zh-CN"/>
        </w:rPr>
        <w:t>4</w:t>
      </w:r>
      <w:r>
        <w:rPr>
          <w:rStyle w:val="8"/>
          <w:rFonts w:hint="default" w:ascii="Times New Roman" w:hAnsi="Times New Roman" w:eastAsia="Segoe UI" w:cs="Times New Roman"/>
          <w:b/>
          <w:bCs/>
          <w:i w:val="0"/>
          <w:iCs w:val="0"/>
          <w:caps w:val="0"/>
          <w:color w:val="0F1115"/>
          <w:spacing w:val="0"/>
          <w:sz w:val="24"/>
          <w:szCs w:val="24"/>
          <w:shd w:val="clear" w:fill="FFFFFF"/>
        </w:rPr>
        <w:t>. Discussion</w:t>
      </w:r>
    </w:p>
    <w:p w14:paraId="199E99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lang w:val="en-US" w:eastAsia="zh-CN"/>
        </w:rPr>
        <w:t>We started with a simple question: would editing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in muscle alter the course of disuse atrophy? The idea was not without precedent—CRISPR had been used to knock down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21 in cancer cells, with some success in xenograft models</w:t>
      </w:r>
      <w:r>
        <w:rPr>
          <w:rFonts w:hint="default" w:ascii="Times New Roman" w:hAnsi="Times New Roman" w:eastAsia="Segoe UI" w:cs="Times New Roman"/>
          <w:i w:val="0"/>
          <w:iCs w:val="0"/>
          <w:caps w:val="0"/>
          <w:color w:val="0F1115"/>
          <w:spacing w:val="0"/>
          <w:sz w:val="24"/>
          <w:szCs w:val="24"/>
          <w:shd w:val="clear" w:fill="FFFFFF"/>
          <w:vertAlign w:val="superscript"/>
          <w:lang w:val="en-US" w:eastAsia="zh-CN"/>
        </w:rPr>
        <w:t xml:space="preserve"> [17]</w:t>
      </w:r>
      <w:r>
        <w:rPr>
          <w:rFonts w:hint="default" w:ascii="Times New Roman" w:hAnsi="Times New Roman" w:eastAsia="Segoe UI" w:cs="Times New Roman"/>
          <w:i w:val="0"/>
          <w:iCs w:val="0"/>
          <w:caps w:val="0"/>
          <w:color w:val="0F1115"/>
          <w:spacing w:val="0"/>
          <w:sz w:val="24"/>
          <w:szCs w:val="24"/>
          <w:shd w:val="clear" w:fill="FFFFFF"/>
          <w:lang w:val="en-US" w:eastAsia="zh-CN"/>
        </w:rPr>
        <w:t>. So we took a similar approach, delivered a lentiviral SpCas9 system into mouse gastrocnemius, and watched what happened. The editing worked: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dropped, and the muscle held up better against immobilisation. Myofibres stayed larger, and the usual surge of Atrogin</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 and MuRF</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 transcripts was blunted. These findings, we think, make a reasonable case for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ablation as a protective manoeuvre in muscle wasting, and they give us enough confidence to propose further preclinical work.</w:t>
      </w:r>
    </w:p>
    <w:p w14:paraId="7DB3008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lang w:val="en-US" w:eastAsia="zh-CN"/>
        </w:rPr>
        <w:t>Why choose CRISPR over other methods? The older tools—antisense inhibitors and sponges—are fine for short</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 xml:space="preserve">term experiments, but they are transient and not always faithful to their intended targets </w:t>
      </w:r>
      <w:r>
        <w:rPr>
          <w:rFonts w:hint="default" w:ascii="Times New Roman" w:hAnsi="Times New Roman" w:eastAsia="Segoe UI" w:cs="Times New Roman"/>
          <w:i w:val="0"/>
          <w:iCs w:val="0"/>
          <w:caps w:val="0"/>
          <w:color w:val="0F1115"/>
          <w:spacing w:val="0"/>
          <w:sz w:val="24"/>
          <w:szCs w:val="24"/>
          <w:shd w:val="clear" w:fill="FFFFFF"/>
          <w:vertAlign w:val="superscript"/>
          <w:lang w:val="en-US" w:eastAsia="zh-CN"/>
        </w:rPr>
        <w:t>[18,19]</w:t>
      </w:r>
      <w:r>
        <w:rPr>
          <w:rFonts w:hint="default" w:ascii="Times New Roman" w:hAnsi="Times New Roman" w:eastAsia="Segoe UI" w:cs="Times New Roman"/>
          <w:i w:val="0"/>
          <w:iCs w:val="0"/>
          <w:caps w:val="0"/>
          <w:color w:val="0F1115"/>
          <w:spacing w:val="0"/>
          <w:sz w:val="24"/>
          <w:szCs w:val="24"/>
          <w:shd w:val="clear" w:fill="FFFFFF"/>
          <w:lang w:val="en-US" w:eastAsia="zh-CN"/>
        </w:rPr>
        <w:t xml:space="preserve">. Homologous recombination is precise, no doubt, but it is cumbersome and slow for everyday use in animals. CRISPR sits in a sweet spot: efficient, relatively clean, and easy to adapt </w:t>
      </w:r>
      <w:r>
        <w:rPr>
          <w:rFonts w:hint="default" w:ascii="Times New Roman" w:hAnsi="Times New Roman" w:eastAsia="Segoe UI" w:cs="Times New Roman"/>
          <w:i w:val="0"/>
          <w:iCs w:val="0"/>
          <w:caps w:val="0"/>
          <w:color w:val="0F1115"/>
          <w:spacing w:val="0"/>
          <w:sz w:val="24"/>
          <w:szCs w:val="24"/>
          <w:shd w:val="clear" w:fill="FFFFFF"/>
          <w:vertAlign w:val="superscript"/>
          <w:lang w:val="en-US" w:eastAsia="zh-CN"/>
        </w:rPr>
        <w:t>[20,21]</w:t>
      </w:r>
      <w:r>
        <w:rPr>
          <w:rFonts w:hint="default" w:ascii="Times New Roman" w:hAnsi="Times New Roman" w:eastAsia="Segoe UI" w:cs="Times New Roman"/>
          <w:i w:val="0"/>
          <w:iCs w:val="0"/>
          <w:caps w:val="0"/>
          <w:color w:val="0F1115"/>
          <w:spacing w:val="0"/>
          <w:sz w:val="24"/>
          <w:szCs w:val="24"/>
          <w:shd w:val="clear" w:fill="FFFFFF"/>
          <w:lang w:val="en-US" w:eastAsia="zh-CN"/>
        </w:rPr>
        <w:t>. We aimed for the endogenous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locus and avoided its close cousin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146b, which tells us the targeting was reasonably specific. We also injected locally into the muscle, a route that feels closer to how one might treat a patient than pumping virus into the bloodstream. That adds some practical appeal, though we would be the first to admit that clinical translation is still a long way off.</w:t>
      </w:r>
    </w:p>
    <w:p w14:paraId="6974F9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lang w:val="en-US" w:eastAsia="zh-CN"/>
        </w:rPr>
        <w:t xml:space="preserve">What about the mechanism? The PI3K/Akt/mTOR axis is central to protein synthesis in muscle </w:t>
      </w:r>
      <w:r>
        <w:rPr>
          <w:rFonts w:hint="default" w:ascii="Times New Roman" w:hAnsi="Times New Roman" w:eastAsia="Segoe UI" w:cs="Times New Roman"/>
          <w:i w:val="0"/>
          <w:iCs w:val="0"/>
          <w:caps w:val="0"/>
          <w:color w:val="0F1115"/>
          <w:spacing w:val="0"/>
          <w:sz w:val="24"/>
          <w:szCs w:val="24"/>
          <w:shd w:val="clear" w:fill="FFFFFF"/>
          <w:vertAlign w:val="superscript"/>
          <w:lang w:val="en-US" w:eastAsia="zh-CN"/>
        </w:rPr>
        <w:t>[22–24]</w:t>
      </w:r>
      <w:r>
        <w:rPr>
          <w:rFonts w:hint="default" w:ascii="Times New Roman" w:hAnsi="Times New Roman" w:eastAsia="Segoe UI" w:cs="Times New Roman"/>
          <w:i w:val="0"/>
          <w:iCs w:val="0"/>
          <w:caps w:val="0"/>
          <w:color w:val="0F1115"/>
          <w:spacing w:val="0"/>
          <w:sz w:val="24"/>
          <w:szCs w:val="24"/>
          <w:shd w:val="clear" w:fill="FFFFFF"/>
          <w:lang w:val="en-US" w:eastAsia="zh-CN"/>
        </w:rPr>
        <w:t>. In our immobilised animals, phosphorylation of Akt and mTOR was down, as expected. Knockdown of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brought both back up. That suggests the protective effect runs, at least in part, through re</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activating this anabolic route. Whether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binds directly to some component of this cascade or works through intermediaries is something we cannot yet answer. That will have to wait for a dedicated mechanistic study, probably starting with a screen for direct mRNA targets.</w:t>
      </w:r>
    </w:p>
    <w:p w14:paraId="3C03FFF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lang w:val="en-US" w:eastAsia="zh-CN"/>
        </w:rPr>
        <w:t>We should also be honest about the study’s boundaries. All our animals were male; we do not know if females respond differently. We did not do a genome</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wide search for off</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target mutations, nor did we follow the animals long enough to know whether the editing persists for months. And while we measured phosphorylation, we did not actually measure protein synthesis rates or breakdown fluxes—so the link to mTOR/Akt remains inferential at this stage. These are not minor quibbles, and they need to be addressed before anyone thinks about taking this to the clinic. Still, the proof</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of</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concept is solid enough to justify further work, perhaps with muscle</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specific promoters or lipid</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based delivery systems to improve safety.</w:t>
      </w:r>
    </w:p>
    <w:p w14:paraId="474639B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highlight w:val="yellow"/>
          <w:shd w:val="clear" w:fill="FFFFFF"/>
          <w:lang w:val="en-US" w:eastAsia="zh-CN"/>
        </w:rPr>
      </w:pPr>
    </w:p>
    <w:p w14:paraId="2C96AC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Segoe UI" w:cs="Times New Roman"/>
          <w:b/>
          <w:bCs/>
          <w:i w:val="0"/>
          <w:iCs w:val="0"/>
          <w:caps w:val="0"/>
          <w:color w:val="0F1115"/>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0F1115"/>
          <w:spacing w:val="0"/>
          <w:sz w:val="24"/>
          <w:szCs w:val="24"/>
          <w:highlight w:val="none"/>
          <w:shd w:val="clear" w:fill="FFFFFF"/>
          <w:lang w:val="en-US" w:eastAsia="zh-CN"/>
        </w:rPr>
        <w:t>5. Conclusion</w:t>
      </w:r>
    </w:p>
    <w:p w14:paraId="0696594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rFonts w:hint="default" w:ascii="Times New Roman" w:hAnsi="Times New Roman" w:eastAsia="Segoe UI" w:cs="Times New Roman"/>
          <w:i w:val="0"/>
          <w:iCs w:val="0"/>
          <w:caps w:val="0"/>
          <w:color w:val="0F1115"/>
          <w:spacing w:val="0"/>
          <w:sz w:val="24"/>
          <w:szCs w:val="24"/>
          <w:shd w:val="clear" w:fill="FFFFFF"/>
          <w:lang w:val="en-US" w:eastAsia="zh-CN"/>
        </w:rPr>
        <w:t>To wrap up: miR</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146a editing by CRISPR protected against immobilisation</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induced atrophy, and the effect tracked with restored mTOR/Akt signalling. Larger animals, longer follow</w:t>
      </w:r>
      <w:r>
        <w:rPr>
          <w:rFonts w:hint="default" w:ascii="Times New Roman" w:hAnsi="Times New Roman" w:eastAsia="Segoe UI" w:cs="Times New Roman"/>
          <w:i w:val="0"/>
          <w:iCs w:val="0"/>
          <w:caps w:val="0"/>
          <w:color w:val="0F1115"/>
          <w:spacing w:val="0"/>
          <w:sz w:val="24"/>
          <w:szCs w:val="24"/>
          <w:shd w:val="clear" w:fill="FFFFFF"/>
          <w:lang w:val="en-US" w:eastAsia="zh-CN"/>
        </w:rPr>
        <w:noBreakHyphen/>
      </w:r>
      <w:r>
        <w:rPr>
          <w:rFonts w:hint="default" w:ascii="Times New Roman" w:hAnsi="Times New Roman" w:eastAsia="Segoe UI" w:cs="Times New Roman"/>
          <w:i w:val="0"/>
          <w:iCs w:val="0"/>
          <w:caps w:val="0"/>
          <w:color w:val="0F1115"/>
          <w:spacing w:val="0"/>
          <w:sz w:val="24"/>
          <w:szCs w:val="24"/>
          <w:shd w:val="clear" w:fill="FFFFFF"/>
          <w:lang w:val="en-US" w:eastAsia="zh-CN"/>
        </w:rPr>
        <w:t>up, and a deeper mechanistic dive are what comes next. Whether this eventually becomes a therapy is uncertain, but we think the door is now open a crack.</w:t>
      </w:r>
    </w:p>
    <w:p w14:paraId="322AFFD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p>
    <w:p w14:paraId="68148515">
      <w:pPr>
        <w:contextualSpacing/>
        <w:rPr>
          <w:rFonts w:ascii="Times New Roman" w:hAnsi="Times New Roman"/>
          <w:b/>
          <w:bCs/>
          <w:sz w:val="24"/>
        </w:rPr>
      </w:pPr>
      <w:r>
        <w:rPr>
          <w:rFonts w:ascii="Times New Roman" w:hAnsi="Times New Roman"/>
          <w:b/>
          <w:bCs/>
          <w:sz w:val="24"/>
        </w:rPr>
        <w:t>Disclosure statement</w:t>
      </w:r>
    </w:p>
    <w:p w14:paraId="6670856F">
      <w:pPr>
        <w:keepNext w:val="0"/>
        <w:keepLines w:val="0"/>
        <w:pageBreakBefore w:val="0"/>
        <w:kinsoku/>
        <w:wordWrap/>
        <w:overflowPunct/>
        <w:topLinePunct w:val="0"/>
        <w:autoSpaceDE/>
        <w:autoSpaceDN/>
        <w:bidi w:val="0"/>
        <w:adjustRightInd/>
        <w:spacing w:line="240" w:lineRule="auto"/>
        <w:ind w:left="0"/>
        <w:textAlignment w:val="auto"/>
        <w:rPr>
          <w:rFonts w:hint="default" w:ascii="Times New Roman" w:hAnsi="Times New Roman" w:cs="Times New Roman"/>
          <w:sz w:val="24"/>
          <w:szCs w:val="24"/>
        </w:rPr>
      </w:pPr>
      <w:r>
        <w:rPr>
          <w:rFonts w:ascii="Times New Roman" w:hAnsi="Times New Roman"/>
          <w:sz w:val="24"/>
        </w:rPr>
        <w:t>The authors declare no conflict of interest.</w:t>
      </w:r>
      <w:r>
        <w:rPr>
          <w:rFonts w:hint="default" w:ascii="Times New Roman" w:hAnsi="Times New Roman" w:cs="Times New Roman"/>
          <w:sz w:val="24"/>
          <w:szCs w:val="24"/>
        </w:rPr>
        <w:t xml:space="preserve"> </w:t>
      </w:r>
    </w:p>
    <w:p w14:paraId="1DF2876D">
      <w:pPr>
        <w:keepNext w:val="0"/>
        <w:keepLines w:val="0"/>
        <w:pageBreakBefore w:val="0"/>
        <w:kinsoku/>
        <w:wordWrap/>
        <w:overflowPunct/>
        <w:topLinePunct w:val="0"/>
        <w:autoSpaceDE/>
        <w:autoSpaceDN/>
        <w:bidi w:val="0"/>
        <w:adjustRightInd/>
        <w:spacing w:line="240" w:lineRule="auto"/>
        <w:ind w:left="0"/>
        <w:textAlignment w:val="auto"/>
        <w:rPr>
          <w:rFonts w:hint="default" w:ascii="Times New Roman" w:hAnsi="Times New Roman" w:cs="Times New Roman"/>
          <w:sz w:val="24"/>
          <w:szCs w:val="24"/>
        </w:rPr>
      </w:pPr>
    </w:p>
    <w:p w14:paraId="4578B399">
      <w:pPr>
        <w:keepNext w:val="0"/>
        <w:keepLines w:val="0"/>
        <w:pageBreakBefore w:val="0"/>
        <w:kinsoku/>
        <w:wordWrap/>
        <w:overflowPunct/>
        <w:topLinePunct w:val="0"/>
        <w:autoSpaceDE/>
        <w:autoSpaceDN/>
        <w:bidi w:val="0"/>
        <w:adjustRightInd/>
        <w:spacing w:line="240" w:lineRule="auto"/>
        <w:ind w:left="0"/>
        <w:textAlignment w:val="auto"/>
        <w:rPr>
          <w:rFonts w:hint="default" w:ascii="Times New Roman" w:hAnsi="Times New Roman" w:cs="Times New Roman"/>
          <w:b/>
          <w:bCs/>
          <w:sz w:val="24"/>
          <w:szCs w:val="24"/>
          <w:highlight w:val="yellow"/>
        </w:rPr>
      </w:pPr>
      <w:r>
        <w:rPr>
          <w:rFonts w:hint="default" w:ascii="Times New Roman" w:hAnsi="Times New Roman" w:cs="Times New Roman"/>
          <w:b/>
          <w:bCs/>
          <w:sz w:val="24"/>
          <w:szCs w:val="24"/>
          <w:highlight w:val="none"/>
        </w:rPr>
        <w:t>References</w:t>
      </w:r>
    </w:p>
    <w:p w14:paraId="1CC0F5D0">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Lopes J, Russell DM, Whitwell J, et al., 1982</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Skeletal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 xml:space="preserve">unction in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alnutrition</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Am J Clin Nutr, 36(4): 602-</w:t>
      </w:r>
      <w:r>
        <w:rPr>
          <w:rFonts w:hint="eastAsia" w:ascii="Times New Roman" w:hAnsi="Times New Roman" w:eastAsia="Arial" w:cs="Times New Roman"/>
          <w:kern w:val="0"/>
          <w:sz w:val="24"/>
          <w:szCs w:val="24"/>
          <w:lang w:val="en-US" w:eastAsia="zh-CN"/>
        </w:rPr>
        <w:t>6</w:t>
      </w:r>
      <w:r>
        <w:rPr>
          <w:rFonts w:hint="default" w:ascii="Times New Roman" w:hAnsi="Times New Roman" w:eastAsia="Arial" w:cs="Times New Roman"/>
          <w:kern w:val="0"/>
          <w:sz w:val="24"/>
          <w:szCs w:val="24"/>
          <w:lang w:val="en-US" w:eastAsia="zh-CN"/>
        </w:rPr>
        <w:t>10.</w:t>
      </w:r>
    </w:p>
    <w:p w14:paraId="6321EF39">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English C, Mclennan H, Thoirs K, et al., 2010</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Loss of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keletal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ass after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troke: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ystematic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eview</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Int J Stroke, 5(5): 395-402.</w:t>
      </w:r>
    </w:p>
    <w:p w14:paraId="19D7B7F2">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[3]</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Topp R, Ditmyer M, King K, et al.</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2002</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The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ffect of </w:t>
      </w:r>
      <w:r>
        <w:rPr>
          <w:rFonts w:hint="eastAsia" w:ascii="Times New Roman" w:hAnsi="Times New Roman" w:eastAsia="Arial" w:cs="Times New Roman"/>
          <w:kern w:val="0"/>
          <w:sz w:val="24"/>
          <w:szCs w:val="24"/>
          <w:lang w:val="en-US" w:eastAsia="zh-CN"/>
        </w:rPr>
        <w:t>B</w:t>
      </w:r>
      <w:r>
        <w:rPr>
          <w:rFonts w:hint="default" w:ascii="Times New Roman" w:hAnsi="Times New Roman" w:eastAsia="Arial" w:cs="Times New Roman"/>
          <w:kern w:val="0"/>
          <w:sz w:val="24"/>
          <w:szCs w:val="24"/>
          <w:lang w:val="en-US" w:eastAsia="zh-CN"/>
        </w:rPr>
        <w:t xml:space="preserve">ed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 xml:space="preserve">est and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otential of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rehabilitation on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atients in the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ntensive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are </w:t>
      </w:r>
      <w:r>
        <w:rPr>
          <w:rFonts w:hint="eastAsia" w:ascii="Times New Roman" w:hAnsi="Times New Roman" w:eastAsia="Arial" w:cs="Times New Roman"/>
          <w:kern w:val="0"/>
          <w:sz w:val="24"/>
          <w:szCs w:val="24"/>
          <w:lang w:val="en-US" w:eastAsia="zh-CN"/>
        </w:rPr>
        <w:t>U</w:t>
      </w:r>
      <w:r>
        <w:rPr>
          <w:rFonts w:hint="default" w:ascii="Times New Roman" w:hAnsi="Times New Roman" w:eastAsia="Arial" w:cs="Times New Roman"/>
          <w:kern w:val="0"/>
          <w:sz w:val="24"/>
          <w:szCs w:val="24"/>
          <w:lang w:val="en-US" w:eastAsia="zh-CN"/>
        </w:rPr>
        <w:t>nit</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AACN Clin Issues, 13(2): 263-</w:t>
      </w:r>
      <w:r>
        <w:rPr>
          <w:rFonts w:hint="eastAsia" w:ascii="Times New Roman" w:hAnsi="Times New Roman" w:eastAsia="Arial" w:cs="Times New Roman"/>
          <w:kern w:val="0"/>
          <w:sz w:val="24"/>
          <w:szCs w:val="24"/>
          <w:lang w:val="en-US" w:eastAsia="zh-CN"/>
        </w:rPr>
        <w:t>2</w:t>
      </w:r>
      <w:r>
        <w:rPr>
          <w:rFonts w:hint="default" w:ascii="Times New Roman" w:hAnsi="Times New Roman" w:eastAsia="Arial" w:cs="Times New Roman"/>
          <w:kern w:val="0"/>
          <w:sz w:val="24"/>
          <w:szCs w:val="24"/>
          <w:lang w:val="en-US" w:eastAsia="zh-CN"/>
        </w:rPr>
        <w:t>76.</w:t>
      </w:r>
    </w:p>
    <w:p w14:paraId="78D30960">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[4]</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Booth FW, Seider MJ</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1979</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 xml:space="preserve">Recovery of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keletal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after 3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o of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indlimb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mmobilization in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ats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J Appl Physiol Respir Environ Exerc Physiol, 47(2): 435-</w:t>
      </w:r>
      <w:r>
        <w:rPr>
          <w:rFonts w:hint="eastAsia" w:ascii="Times New Roman" w:hAnsi="Times New Roman" w:eastAsia="Arial" w:cs="Times New Roman"/>
          <w:kern w:val="0"/>
          <w:sz w:val="24"/>
          <w:szCs w:val="24"/>
          <w:lang w:val="en-US" w:eastAsia="zh-CN"/>
        </w:rPr>
        <w:t>43</w:t>
      </w:r>
      <w:r>
        <w:rPr>
          <w:rFonts w:hint="default" w:ascii="Times New Roman" w:hAnsi="Times New Roman" w:eastAsia="Arial" w:cs="Times New Roman"/>
          <w:kern w:val="0"/>
          <w:sz w:val="24"/>
          <w:szCs w:val="24"/>
          <w:lang w:val="en-US" w:eastAsia="zh-CN"/>
        </w:rPr>
        <w:t>9.</w:t>
      </w:r>
    </w:p>
    <w:p w14:paraId="4B69F6F5">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[5]</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Tischler ME, Rosenberg S, Satarug S, et al., 1990</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Different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echanisms of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ncreased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roteolysis in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trophy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nduced by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 xml:space="preserve">enervation or </w:t>
      </w:r>
      <w:r>
        <w:rPr>
          <w:rFonts w:hint="eastAsia" w:ascii="Times New Roman" w:hAnsi="Times New Roman" w:eastAsia="Arial" w:cs="Times New Roman"/>
          <w:kern w:val="0"/>
          <w:sz w:val="24"/>
          <w:szCs w:val="24"/>
          <w:lang w:val="en-US" w:eastAsia="zh-CN"/>
        </w:rPr>
        <w:t>U</w:t>
      </w:r>
      <w:r>
        <w:rPr>
          <w:rFonts w:hint="default" w:ascii="Times New Roman" w:hAnsi="Times New Roman" w:eastAsia="Arial" w:cs="Times New Roman"/>
          <w:kern w:val="0"/>
          <w:sz w:val="24"/>
          <w:szCs w:val="24"/>
          <w:lang w:val="en-US" w:eastAsia="zh-CN"/>
        </w:rPr>
        <w:t xml:space="preserve">nweighting of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 xml:space="preserve">at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oleus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uscle</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Metabolism, 39(7): 756-</w:t>
      </w:r>
      <w:r>
        <w:rPr>
          <w:rFonts w:hint="eastAsia" w:ascii="Times New Roman" w:hAnsi="Times New Roman" w:eastAsia="Arial" w:cs="Times New Roman"/>
          <w:kern w:val="0"/>
          <w:sz w:val="24"/>
          <w:szCs w:val="24"/>
          <w:lang w:val="en-US" w:eastAsia="zh-CN"/>
        </w:rPr>
        <w:t>7</w:t>
      </w:r>
      <w:r>
        <w:rPr>
          <w:rFonts w:hint="default" w:ascii="Times New Roman" w:hAnsi="Times New Roman" w:eastAsia="Arial" w:cs="Times New Roman"/>
          <w:kern w:val="0"/>
          <w:sz w:val="24"/>
          <w:szCs w:val="24"/>
          <w:lang w:val="en-US" w:eastAsia="zh-CN"/>
        </w:rPr>
        <w:t>63.</w:t>
      </w:r>
    </w:p>
    <w:p w14:paraId="2DBBBD84">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[6]</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Jaspers SR, Tischler ME</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1984</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 xml:space="preserve">Atrophy and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rowth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 xml:space="preserve">ailure of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 xml:space="preserve">at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indlimb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uscles in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ail-cast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uspension</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J Appl Physiol Respir Environ Exerc Physiol, 57(5): 1472-</w:t>
      </w:r>
      <w:r>
        <w:rPr>
          <w:rFonts w:hint="eastAsia" w:ascii="Times New Roman" w:hAnsi="Times New Roman" w:eastAsia="Arial" w:cs="Times New Roman"/>
          <w:kern w:val="0"/>
          <w:sz w:val="24"/>
          <w:szCs w:val="24"/>
          <w:lang w:val="en-US" w:eastAsia="zh-CN"/>
        </w:rPr>
        <w:t>147</w:t>
      </w:r>
      <w:r>
        <w:rPr>
          <w:rFonts w:hint="default" w:ascii="Times New Roman" w:hAnsi="Times New Roman" w:eastAsia="Arial" w:cs="Times New Roman"/>
          <w:kern w:val="0"/>
          <w:sz w:val="24"/>
          <w:szCs w:val="24"/>
          <w:lang w:val="en-US" w:eastAsia="zh-CN"/>
        </w:rPr>
        <w:t>9.</w:t>
      </w:r>
    </w:p>
    <w:p w14:paraId="113429BB">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[7]</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Ivey KN, Srivastava D. microRNAs as Developmental Regulators, 2015</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Cold Spring Harb Perspect Biol, 7(7): a008144.</w:t>
      </w:r>
    </w:p>
    <w:p w14:paraId="6A8C8296">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[8]</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Von Haehling S, Ebner N, Dos Santos M R, et al.,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Muscle </w:t>
      </w:r>
      <w:r>
        <w:rPr>
          <w:rFonts w:hint="eastAsia" w:ascii="Times New Roman" w:hAnsi="Times New Roman" w:eastAsia="Arial" w:cs="Times New Roman"/>
          <w:kern w:val="0"/>
          <w:sz w:val="24"/>
          <w:szCs w:val="24"/>
          <w:lang w:val="en-US" w:eastAsia="zh-CN"/>
        </w:rPr>
        <w:t>W</w:t>
      </w:r>
      <w:r>
        <w:rPr>
          <w:rFonts w:hint="default" w:ascii="Times New Roman" w:hAnsi="Times New Roman" w:eastAsia="Arial" w:cs="Times New Roman"/>
          <w:kern w:val="0"/>
          <w:sz w:val="24"/>
          <w:szCs w:val="24"/>
          <w:lang w:val="en-US" w:eastAsia="zh-CN"/>
        </w:rPr>
        <w:t xml:space="preserve">asting and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achexia in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eart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 xml:space="preserve">ailure: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echanisms and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herapies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Nat Rev Cardiol, 14(6): 323-</w:t>
      </w:r>
      <w:r>
        <w:rPr>
          <w:rFonts w:hint="eastAsia" w:ascii="Times New Roman" w:hAnsi="Times New Roman" w:eastAsia="Arial" w:cs="Times New Roman"/>
          <w:kern w:val="0"/>
          <w:sz w:val="24"/>
          <w:szCs w:val="24"/>
          <w:lang w:val="en-US" w:eastAsia="zh-CN"/>
        </w:rPr>
        <w:t>3</w:t>
      </w:r>
      <w:r>
        <w:rPr>
          <w:rFonts w:hint="default" w:ascii="Times New Roman" w:hAnsi="Times New Roman" w:eastAsia="Arial" w:cs="Times New Roman"/>
          <w:kern w:val="0"/>
          <w:sz w:val="24"/>
          <w:szCs w:val="24"/>
          <w:lang w:val="en-US" w:eastAsia="zh-CN"/>
        </w:rPr>
        <w:t>41.</w:t>
      </w:r>
    </w:p>
    <w:p w14:paraId="3825B6D5">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[9]</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Bei Y, Xiao J</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MicroRNAs in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W</w:t>
      </w:r>
      <w:r>
        <w:rPr>
          <w:rFonts w:hint="default" w:ascii="Times New Roman" w:hAnsi="Times New Roman" w:eastAsia="Arial" w:cs="Times New Roman"/>
          <w:kern w:val="0"/>
          <w:sz w:val="24"/>
          <w:szCs w:val="24"/>
          <w:lang w:val="en-US" w:eastAsia="zh-CN"/>
        </w:rPr>
        <w:t xml:space="preserve">asting and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achexia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nduced by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eart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ailure,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Nat Rev Cardiol, 14(9): 566.</w:t>
      </w:r>
    </w:p>
    <w:p w14:paraId="565BAE94">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[10]</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Horak M, Novak J, Bienertova-Vasku J, 2016</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Muscle-specific microRNAs in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keletal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evelopment</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Dev Biol, 410(1): 1-13.</w:t>
      </w:r>
    </w:p>
    <w:p w14:paraId="7B705EE8">
      <w:pPr>
        <w:pStyle w:val="11"/>
        <w:snapToGrid w:val="0"/>
        <w:ind w:left="709" w:hanging="709"/>
        <w:rPr>
          <w:rFonts w:hint="default" w:ascii="Times New Roman" w:hAnsi="Times New Roman" w:eastAsia="Arial" w:cs="Times New Roman"/>
          <w:color w:val="auto"/>
          <w:kern w:val="0"/>
          <w:sz w:val="24"/>
          <w:szCs w:val="24"/>
          <w:lang w:val="en-US" w:eastAsia="zh-CN"/>
        </w:rPr>
      </w:pPr>
      <w:r>
        <w:rPr>
          <w:rFonts w:hint="default" w:ascii="Times New Roman" w:hAnsi="Times New Roman" w:eastAsia="Arial" w:cs="Times New Roman"/>
          <w:color w:val="auto"/>
          <w:kern w:val="0"/>
          <w:sz w:val="24"/>
          <w:szCs w:val="24"/>
          <w:lang w:val="en-US" w:eastAsia="zh-CN"/>
        </w:rPr>
        <w:t>[11]</w:t>
      </w:r>
      <w:r>
        <w:rPr>
          <w:rFonts w:hint="default" w:ascii="Times New Roman" w:hAnsi="Times New Roman" w:eastAsia="Arial" w:cs="Times New Roman"/>
          <w:color w:val="auto"/>
          <w:kern w:val="0"/>
          <w:sz w:val="24"/>
          <w:szCs w:val="24"/>
          <w:lang w:val="en-US" w:eastAsia="zh-CN"/>
        </w:rPr>
        <w:tab/>
      </w:r>
      <w:r>
        <w:rPr>
          <w:rFonts w:hint="default" w:ascii="Times New Roman" w:hAnsi="Times New Roman" w:eastAsia="Arial" w:cs="Times New Roman"/>
          <w:color w:val="auto"/>
          <w:kern w:val="0"/>
          <w:sz w:val="24"/>
          <w:szCs w:val="24"/>
          <w:lang w:val="en-US" w:eastAsia="zh-CN"/>
        </w:rPr>
        <w:t>Rau CS, Jeng JC, Jeng SF, et al., 2010</w:t>
      </w:r>
      <w:r>
        <w:rPr>
          <w:rFonts w:hint="eastAsia" w:ascii="Times New Roman" w:hAnsi="Times New Roman" w:eastAsia="Arial" w:cs="Times New Roman"/>
          <w:color w:val="auto"/>
          <w:kern w:val="0"/>
          <w:sz w:val="24"/>
          <w:szCs w:val="24"/>
          <w:lang w:val="en-US" w:eastAsia="zh-CN"/>
        </w:rPr>
        <w:t>,</w:t>
      </w:r>
      <w:r>
        <w:rPr>
          <w:rFonts w:hint="default" w:ascii="Times New Roman" w:hAnsi="Times New Roman" w:eastAsia="Arial" w:cs="Times New Roman"/>
          <w:color w:val="auto"/>
          <w:kern w:val="0"/>
          <w:sz w:val="24"/>
          <w:szCs w:val="24"/>
          <w:lang w:val="en-US" w:eastAsia="zh-CN"/>
        </w:rPr>
        <w:t xml:space="preserve"> Entrapment </w:t>
      </w:r>
      <w:r>
        <w:rPr>
          <w:rFonts w:hint="eastAsia" w:ascii="Times New Roman" w:hAnsi="Times New Roman" w:eastAsia="Arial" w:cs="Times New Roman"/>
          <w:color w:val="auto"/>
          <w:kern w:val="0"/>
          <w:sz w:val="24"/>
          <w:szCs w:val="24"/>
          <w:lang w:val="en-US" w:eastAsia="zh-CN"/>
        </w:rPr>
        <w:t>N</w:t>
      </w:r>
      <w:r>
        <w:rPr>
          <w:rFonts w:hint="default" w:ascii="Times New Roman" w:hAnsi="Times New Roman" w:eastAsia="Arial" w:cs="Times New Roman"/>
          <w:color w:val="auto"/>
          <w:kern w:val="0"/>
          <w:sz w:val="24"/>
          <w:szCs w:val="24"/>
          <w:lang w:val="en-US" w:eastAsia="zh-CN"/>
        </w:rPr>
        <w:t xml:space="preserve">europathy </w:t>
      </w:r>
      <w:r>
        <w:rPr>
          <w:rFonts w:hint="eastAsia" w:ascii="Times New Roman" w:hAnsi="Times New Roman" w:eastAsia="Arial" w:cs="Times New Roman"/>
          <w:color w:val="auto"/>
          <w:kern w:val="0"/>
          <w:sz w:val="24"/>
          <w:szCs w:val="24"/>
          <w:lang w:val="en-US" w:eastAsia="zh-CN"/>
        </w:rPr>
        <w:t>R</w:t>
      </w:r>
      <w:r>
        <w:rPr>
          <w:rFonts w:hint="default" w:ascii="Times New Roman" w:hAnsi="Times New Roman" w:eastAsia="Arial" w:cs="Times New Roman"/>
          <w:color w:val="auto"/>
          <w:kern w:val="0"/>
          <w:sz w:val="24"/>
          <w:szCs w:val="24"/>
          <w:lang w:val="en-US" w:eastAsia="zh-CN"/>
        </w:rPr>
        <w:t xml:space="preserve">esults in </w:t>
      </w:r>
      <w:r>
        <w:rPr>
          <w:rFonts w:hint="eastAsia" w:ascii="Times New Roman" w:hAnsi="Times New Roman" w:eastAsia="Arial" w:cs="Times New Roman"/>
          <w:color w:val="auto"/>
          <w:kern w:val="0"/>
          <w:sz w:val="24"/>
          <w:szCs w:val="24"/>
          <w:lang w:val="en-US" w:eastAsia="zh-CN"/>
        </w:rPr>
        <w:t>D</w:t>
      </w:r>
      <w:r>
        <w:rPr>
          <w:rFonts w:hint="default" w:ascii="Times New Roman" w:hAnsi="Times New Roman" w:eastAsia="Arial" w:cs="Times New Roman"/>
          <w:color w:val="auto"/>
          <w:kern w:val="0"/>
          <w:sz w:val="24"/>
          <w:szCs w:val="24"/>
          <w:lang w:val="en-US" w:eastAsia="zh-CN"/>
        </w:rPr>
        <w:t xml:space="preserve">ifferent microRNA </w:t>
      </w:r>
      <w:r>
        <w:rPr>
          <w:rFonts w:hint="eastAsia" w:ascii="Times New Roman" w:hAnsi="Times New Roman" w:eastAsia="Arial" w:cs="Times New Roman"/>
          <w:color w:val="auto"/>
          <w:kern w:val="0"/>
          <w:sz w:val="24"/>
          <w:szCs w:val="24"/>
          <w:lang w:val="en-US" w:eastAsia="zh-CN"/>
        </w:rPr>
        <w:t>E</w:t>
      </w:r>
      <w:r>
        <w:rPr>
          <w:rFonts w:hint="default" w:ascii="Times New Roman" w:hAnsi="Times New Roman" w:eastAsia="Arial" w:cs="Times New Roman"/>
          <w:color w:val="auto"/>
          <w:kern w:val="0"/>
          <w:sz w:val="24"/>
          <w:szCs w:val="24"/>
          <w:lang w:val="en-US" w:eastAsia="zh-CN"/>
        </w:rPr>
        <w:t xml:space="preserve">xpression </w:t>
      </w:r>
      <w:r>
        <w:rPr>
          <w:rFonts w:hint="eastAsia" w:ascii="Times New Roman" w:hAnsi="Times New Roman" w:eastAsia="Arial" w:cs="Times New Roman"/>
          <w:color w:val="auto"/>
          <w:kern w:val="0"/>
          <w:sz w:val="24"/>
          <w:szCs w:val="24"/>
          <w:lang w:val="en-US" w:eastAsia="zh-CN"/>
        </w:rPr>
        <w:t>P</w:t>
      </w:r>
      <w:r>
        <w:rPr>
          <w:rFonts w:hint="default" w:ascii="Times New Roman" w:hAnsi="Times New Roman" w:eastAsia="Arial" w:cs="Times New Roman"/>
          <w:color w:val="auto"/>
          <w:kern w:val="0"/>
          <w:sz w:val="24"/>
          <w:szCs w:val="24"/>
          <w:lang w:val="en-US" w:eastAsia="zh-CN"/>
        </w:rPr>
        <w:t xml:space="preserve">atterns from </w:t>
      </w:r>
      <w:r>
        <w:rPr>
          <w:rFonts w:hint="eastAsia" w:ascii="Times New Roman" w:hAnsi="Times New Roman" w:eastAsia="Arial" w:cs="Times New Roman"/>
          <w:color w:val="auto"/>
          <w:kern w:val="0"/>
          <w:sz w:val="24"/>
          <w:szCs w:val="24"/>
          <w:lang w:val="en-US" w:eastAsia="zh-CN"/>
        </w:rPr>
        <w:t>D</w:t>
      </w:r>
      <w:r>
        <w:rPr>
          <w:rFonts w:hint="default" w:ascii="Times New Roman" w:hAnsi="Times New Roman" w:eastAsia="Arial" w:cs="Times New Roman"/>
          <w:color w:val="auto"/>
          <w:kern w:val="0"/>
          <w:sz w:val="24"/>
          <w:szCs w:val="24"/>
          <w:lang w:val="en-US" w:eastAsia="zh-CN"/>
        </w:rPr>
        <w:t xml:space="preserve">enervation </w:t>
      </w:r>
      <w:r>
        <w:rPr>
          <w:rFonts w:hint="eastAsia" w:ascii="Times New Roman" w:hAnsi="Times New Roman" w:eastAsia="Arial" w:cs="Times New Roman"/>
          <w:color w:val="auto"/>
          <w:kern w:val="0"/>
          <w:sz w:val="24"/>
          <w:szCs w:val="24"/>
          <w:lang w:val="en-US" w:eastAsia="zh-CN"/>
        </w:rPr>
        <w:t>I</w:t>
      </w:r>
      <w:r>
        <w:rPr>
          <w:rFonts w:hint="default" w:ascii="Times New Roman" w:hAnsi="Times New Roman" w:eastAsia="Arial" w:cs="Times New Roman"/>
          <w:color w:val="auto"/>
          <w:kern w:val="0"/>
          <w:sz w:val="24"/>
          <w:szCs w:val="24"/>
          <w:lang w:val="en-US" w:eastAsia="zh-CN"/>
        </w:rPr>
        <w:t xml:space="preserve">njury in </w:t>
      </w:r>
      <w:r>
        <w:rPr>
          <w:rFonts w:hint="eastAsia" w:ascii="Times New Roman" w:hAnsi="Times New Roman" w:eastAsia="Arial" w:cs="Times New Roman"/>
          <w:color w:val="auto"/>
          <w:kern w:val="0"/>
          <w:sz w:val="24"/>
          <w:szCs w:val="24"/>
          <w:lang w:val="en-US" w:eastAsia="zh-CN"/>
        </w:rPr>
        <w:t>R</w:t>
      </w:r>
      <w:r>
        <w:rPr>
          <w:rFonts w:hint="default" w:ascii="Times New Roman" w:hAnsi="Times New Roman" w:eastAsia="Arial" w:cs="Times New Roman"/>
          <w:color w:val="auto"/>
          <w:kern w:val="0"/>
          <w:sz w:val="24"/>
          <w:szCs w:val="24"/>
          <w:lang w:val="en-US" w:eastAsia="zh-CN"/>
        </w:rPr>
        <w:t>ats</w:t>
      </w:r>
      <w:r>
        <w:rPr>
          <w:rFonts w:hint="eastAsia" w:ascii="Times New Roman" w:hAnsi="Times New Roman" w:eastAsia="Arial" w:cs="Times New Roman"/>
          <w:color w:val="auto"/>
          <w:kern w:val="0"/>
          <w:sz w:val="24"/>
          <w:szCs w:val="24"/>
          <w:lang w:val="en-US" w:eastAsia="zh-CN"/>
        </w:rPr>
        <w:t xml:space="preserve">, </w:t>
      </w:r>
      <w:r>
        <w:rPr>
          <w:rFonts w:hint="default" w:ascii="Times New Roman" w:hAnsi="Times New Roman" w:eastAsia="Arial" w:cs="Times New Roman"/>
          <w:color w:val="auto"/>
          <w:kern w:val="0"/>
          <w:sz w:val="24"/>
          <w:szCs w:val="24"/>
          <w:lang w:val="en-US" w:eastAsia="zh-CN"/>
        </w:rPr>
        <w:t>BMC Musculoskelet Disord, 11: 181.</w:t>
      </w:r>
    </w:p>
    <w:p w14:paraId="43C48441">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[12]</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Nelson CE, Hakim CH, Ousterout DG, et al., 2016</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In </w:t>
      </w:r>
      <w:r>
        <w:rPr>
          <w:rFonts w:hint="eastAsia" w:ascii="Times New Roman" w:hAnsi="Times New Roman" w:eastAsia="Arial" w:cs="Times New Roman"/>
          <w:kern w:val="0"/>
          <w:sz w:val="24"/>
          <w:szCs w:val="24"/>
          <w:lang w:val="en-US" w:eastAsia="zh-CN"/>
        </w:rPr>
        <w:t>V</w:t>
      </w:r>
      <w:r>
        <w:rPr>
          <w:rFonts w:hint="default" w:ascii="Times New Roman" w:hAnsi="Times New Roman" w:eastAsia="Arial" w:cs="Times New Roman"/>
          <w:kern w:val="0"/>
          <w:sz w:val="24"/>
          <w:szCs w:val="24"/>
          <w:lang w:val="en-US" w:eastAsia="zh-CN"/>
        </w:rPr>
        <w:t xml:space="preserve">ivo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enome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diting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mproves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 xml:space="preserve">unction in a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ouse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odel of Duchenne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uscular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ystrophy</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Science, 351(6271): 403-</w:t>
      </w:r>
      <w:r>
        <w:rPr>
          <w:rFonts w:hint="eastAsia" w:ascii="Times New Roman" w:hAnsi="Times New Roman" w:eastAsia="Arial" w:cs="Times New Roman"/>
          <w:kern w:val="0"/>
          <w:sz w:val="24"/>
          <w:szCs w:val="24"/>
          <w:lang w:val="en-US" w:eastAsia="zh-CN"/>
        </w:rPr>
        <w:t>40</w:t>
      </w:r>
      <w:r>
        <w:rPr>
          <w:rFonts w:hint="default" w:ascii="Times New Roman" w:hAnsi="Times New Roman" w:eastAsia="Arial" w:cs="Times New Roman"/>
          <w:kern w:val="0"/>
          <w:sz w:val="24"/>
          <w:szCs w:val="24"/>
          <w:lang w:val="en-US" w:eastAsia="zh-CN"/>
        </w:rPr>
        <w:t>7.</w:t>
      </w:r>
    </w:p>
    <w:p w14:paraId="5DB50C27">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[13]</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Wei Y, Chen Y, Qiu Y, et al., 2016</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Prevention of Muscle Wasting by CRISPR/Cas9-mediated Disruption of Myostatin In Vivo</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Mol Ther, 24(11): 1889-</w:t>
      </w:r>
      <w:r>
        <w:rPr>
          <w:rFonts w:hint="eastAsia" w:ascii="Times New Roman" w:hAnsi="Times New Roman" w:eastAsia="Arial" w:cs="Times New Roman"/>
          <w:kern w:val="0"/>
          <w:sz w:val="24"/>
          <w:szCs w:val="24"/>
          <w:lang w:val="en-US" w:eastAsia="zh-CN"/>
        </w:rPr>
        <w:t>18</w:t>
      </w:r>
      <w:r>
        <w:rPr>
          <w:rFonts w:hint="default" w:ascii="Times New Roman" w:hAnsi="Times New Roman" w:eastAsia="Arial" w:cs="Times New Roman"/>
          <w:kern w:val="0"/>
          <w:sz w:val="24"/>
          <w:szCs w:val="24"/>
          <w:lang w:val="en-US" w:eastAsia="zh-CN"/>
        </w:rPr>
        <w:t>91.</w:t>
      </w:r>
    </w:p>
    <w:p w14:paraId="36CD3D0E">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[14]</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Xu L, Park KH, Zhao L, et al., 2016</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CRISPR-mediated Genome Editing Restores Dystrophin Expression and Function in mdx Mice</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Mol Ther, 24(3): 564-</w:t>
      </w:r>
      <w:r>
        <w:rPr>
          <w:rFonts w:hint="eastAsia" w:ascii="Times New Roman" w:hAnsi="Times New Roman" w:eastAsia="Arial" w:cs="Times New Roman"/>
          <w:kern w:val="0"/>
          <w:sz w:val="24"/>
          <w:szCs w:val="24"/>
          <w:lang w:val="en-US" w:eastAsia="zh-CN"/>
        </w:rPr>
        <w:t>56</w:t>
      </w:r>
      <w:r>
        <w:rPr>
          <w:rFonts w:hint="default" w:ascii="Times New Roman" w:hAnsi="Times New Roman" w:eastAsia="Arial" w:cs="Times New Roman"/>
          <w:kern w:val="0"/>
          <w:sz w:val="24"/>
          <w:szCs w:val="24"/>
          <w:lang w:val="en-US" w:eastAsia="zh-CN"/>
        </w:rPr>
        <w:t>9.</w:t>
      </w:r>
    </w:p>
    <w:p w14:paraId="0215E8B9">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[15]</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Lataniotis L, Albrecht A, Kok FO, et al.,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CRISPR/Cas9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diting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 xml:space="preserve">eveals </w:t>
      </w:r>
      <w:r>
        <w:rPr>
          <w:rFonts w:hint="eastAsia" w:ascii="Times New Roman" w:hAnsi="Times New Roman" w:eastAsia="Arial" w:cs="Times New Roman"/>
          <w:kern w:val="0"/>
          <w:sz w:val="24"/>
          <w:szCs w:val="24"/>
          <w:lang w:val="en-US" w:eastAsia="zh-CN"/>
        </w:rPr>
        <w:t>N</w:t>
      </w:r>
      <w:r>
        <w:rPr>
          <w:rFonts w:hint="default" w:ascii="Times New Roman" w:hAnsi="Times New Roman" w:eastAsia="Arial" w:cs="Times New Roman"/>
          <w:kern w:val="0"/>
          <w:sz w:val="24"/>
          <w:szCs w:val="24"/>
          <w:lang w:val="en-US" w:eastAsia="zh-CN"/>
        </w:rPr>
        <w:t xml:space="preserve">ovel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echanisms of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lustered microRNA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 xml:space="preserve">egulation and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US" w:eastAsia="zh-CN"/>
        </w:rPr>
        <w:t>unction</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Sci Rep, 7(1): 8585.</w:t>
      </w:r>
    </w:p>
    <w:p w14:paraId="3126913A">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[16]</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Huo W, Zhao G, Yin J, et al.,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Lentiviral CRISPR/Cas9 </w:t>
      </w:r>
      <w:r>
        <w:rPr>
          <w:rFonts w:hint="eastAsia" w:ascii="Times New Roman" w:hAnsi="Times New Roman" w:eastAsia="Arial" w:cs="Times New Roman"/>
          <w:kern w:val="0"/>
          <w:sz w:val="24"/>
          <w:szCs w:val="24"/>
          <w:lang w:val="en-US" w:eastAsia="zh-CN"/>
        </w:rPr>
        <w:t>V</w:t>
      </w:r>
      <w:r>
        <w:rPr>
          <w:rFonts w:hint="default" w:ascii="Times New Roman" w:hAnsi="Times New Roman" w:eastAsia="Arial" w:cs="Times New Roman"/>
          <w:kern w:val="0"/>
          <w:sz w:val="24"/>
          <w:szCs w:val="24"/>
          <w:lang w:val="en-US" w:eastAsia="zh-CN"/>
        </w:rPr>
        <w:t xml:space="preserve">ector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ediated miR-21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ene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diting </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nhibits the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pithelial to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esenchymal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ransition in </w:t>
      </w:r>
      <w:r>
        <w:rPr>
          <w:rFonts w:hint="eastAsia" w:ascii="Times New Roman" w:hAnsi="Times New Roman" w:eastAsia="Arial" w:cs="Times New Roman"/>
          <w:kern w:val="0"/>
          <w:sz w:val="24"/>
          <w:szCs w:val="24"/>
          <w:lang w:val="en-US" w:eastAsia="zh-CN"/>
        </w:rPr>
        <w:t>O</w:t>
      </w:r>
      <w:r>
        <w:rPr>
          <w:rFonts w:hint="default" w:ascii="Times New Roman" w:hAnsi="Times New Roman" w:eastAsia="Arial" w:cs="Times New Roman"/>
          <w:kern w:val="0"/>
          <w:sz w:val="24"/>
          <w:szCs w:val="24"/>
          <w:lang w:val="en-US" w:eastAsia="zh-CN"/>
        </w:rPr>
        <w:t xml:space="preserve">varian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ancer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ells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J Cancer, 8(1): 57-64.</w:t>
      </w:r>
    </w:p>
    <w:p w14:paraId="187445C0">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[17]</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Chang H, Y</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 B, M</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 R, et al., 2016</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CRISPR/cas9,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 </w:t>
      </w:r>
      <w:r>
        <w:rPr>
          <w:rFonts w:hint="eastAsia" w:ascii="Times New Roman" w:hAnsi="Times New Roman" w:eastAsia="Arial" w:cs="Times New Roman"/>
          <w:kern w:val="0"/>
          <w:sz w:val="24"/>
          <w:szCs w:val="24"/>
          <w:lang w:val="en-US" w:eastAsia="zh-CN"/>
        </w:rPr>
        <w:t>N</w:t>
      </w:r>
      <w:r>
        <w:rPr>
          <w:rFonts w:hint="default" w:ascii="Times New Roman" w:hAnsi="Times New Roman" w:eastAsia="Arial" w:cs="Times New Roman"/>
          <w:kern w:val="0"/>
          <w:sz w:val="24"/>
          <w:szCs w:val="24"/>
          <w:lang w:val="en-US" w:eastAsia="zh-CN"/>
        </w:rPr>
        <w:t xml:space="preserve">ovel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enomic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ool to </w:t>
      </w:r>
      <w:r>
        <w:rPr>
          <w:rFonts w:hint="eastAsia" w:ascii="Times New Roman" w:hAnsi="Times New Roman" w:eastAsia="Arial" w:cs="Times New Roman"/>
          <w:kern w:val="0"/>
          <w:sz w:val="24"/>
          <w:szCs w:val="24"/>
          <w:lang w:val="en-US" w:eastAsia="zh-CN"/>
        </w:rPr>
        <w:t>K</w:t>
      </w:r>
      <w:r>
        <w:rPr>
          <w:rFonts w:hint="default" w:ascii="Times New Roman" w:hAnsi="Times New Roman" w:eastAsia="Arial" w:cs="Times New Roman"/>
          <w:kern w:val="0"/>
          <w:sz w:val="24"/>
          <w:szCs w:val="24"/>
          <w:lang w:val="en-US" w:eastAsia="zh-CN"/>
        </w:rPr>
        <w:t xml:space="preserve">nock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 xml:space="preserve">own microRNA in </w:t>
      </w:r>
      <w:r>
        <w:rPr>
          <w:rFonts w:hint="eastAsia" w:ascii="Times New Roman" w:hAnsi="Times New Roman" w:eastAsia="Arial" w:cs="Times New Roman"/>
          <w:kern w:val="0"/>
          <w:sz w:val="24"/>
          <w:szCs w:val="24"/>
          <w:lang w:val="en-US" w:eastAsia="zh-CN"/>
        </w:rPr>
        <w:t>V</w:t>
      </w:r>
      <w:r>
        <w:rPr>
          <w:rFonts w:hint="default" w:ascii="Times New Roman" w:hAnsi="Times New Roman" w:eastAsia="Arial" w:cs="Times New Roman"/>
          <w:kern w:val="0"/>
          <w:sz w:val="24"/>
          <w:szCs w:val="24"/>
          <w:lang w:val="en-US" w:eastAsia="zh-CN"/>
        </w:rPr>
        <w:t xml:space="preserve">itro and in </w:t>
      </w:r>
      <w:r>
        <w:rPr>
          <w:rFonts w:hint="eastAsia" w:ascii="Times New Roman" w:hAnsi="Times New Roman" w:eastAsia="Arial" w:cs="Times New Roman"/>
          <w:kern w:val="0"/>
          <w:sz w:val="24"/>
          <w:szCs w:val="24"/>
          <w:lang w:val="en-US" w:eastAsia="zh-CN"/>
        </w:rPr>
        <w:t>V</w:t>
      </w:r>
      <w:r>
        <w:rPr>
          <w:rFonts w:hint="default" w:ascii="Times New Roman" w:hAnsi="Times New Roman" w:eastAsia="Arial" w:cs="Times New Roman"/>
          <w:kern w:val="0"/>
          <w:sz w:val="24"/>
          <w:szCs w:val="24"/>
          <w:lang w:val="en-US" w:eastAsia="zh-CN"/>
        </w:rPr>
        <w:t>ivo</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Sci Rep, 6: 22312.</w:t>
      </w:r>
    </w:p>
    <w:p w14:paraId="250BCF27">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[18]</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L</w:t>
      </w:r>
      <w:r>
        <w:rPr>
          <w:rFonts w:hint="eastAsia" w:ascii="Times New Roman" w:hAnsi="Times New Roman" w:eastAsia="Arial" w:cs="Times New Roman"/>
          <w:kern w:val="0"/>
          <w:sz w:val="24"/>
          <w:szCs w:val="24"/>
          <w:lang w:val="en-US" w:eastAsia="zh-CN"/>
        </w:rPr>
        <w:t>i</w:t>
      </w:r>
      <w:r>
        <w:rPr>
          <w:rFonts w:hint="default" w:ascii="Times New Roman" w:hAnsi="Times New Roman" w:eastAsia="Arial" w:cs="Times New Roman"/>
          <w:kern w:val="0"/>
          <w:sz w:val="24"/>
          <w:szCs w:val="24"/>
          <w:lang w:val="en-US" w:eastAsia="zh-CN"/>
        </w:rPr>
        <w:t xml:space="preserve"> J, Chan MC, Y</w:t>
      </w:r>
      <w:r>
        <w:rPr>
          <w:rFonts w:hint="eastAsia" w:ascii="Times New Roman" w:hAnsi="Times New Roman" w:eastAsia="Arial" w:cs="Times New Roman"/>
          <w:kern w:val="0"/>
          <w:sz w:val="24"/>
          <w:szCs w:val="24"/>
          <w:lang w:val="en-US" w:eastAsia="zh-CN"/>
        </w:rPr>
        <w:t>u</w:t>
      </w:r>
      <w:r>
        <w:rPr>
          <w:rFonts w:hint="default" w:ascii="Times New Roman" w:hAnsi="Times New Roman" w:eastAsia="Arial" w:cs="Times New Roman"/>
          <w:kern w:val="0"/>
          <w:sz w:val="24"/>
          <w:szCs w:val="24"/>
          <w:lang w:val="en-US" w:eastAsia="zh-CN"/>
        </w:rPr>
        <w:t xml:space="preserve"> Y, et al.,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miR-29b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ontributes to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ultiple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ypes of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trophy</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Nat Commun, 8: 15201.</w:t>
      </w:r>
    </w:p>
    <w:p w14:paraId="43A4BB03">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[19]</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Liu X, Xiao J, Zhu H, et al., 2015</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miR-222 is </w:t>
      </w:r>
      <w:r>
        <w:rPr>
          <w:rFonts w:hint="eastAsia" w:ascii="Times New Roman" w:hAnsi="Times New Roman" w:eastAsia="Arial" w:cs="Times New Roman"/>
          <w:kern w:val="0"/>
          <w:sz w:val="24"/>
          <w:szCs w:val="24"/>
          <w:lang w:val="en-US" w:eastAsia="zh-CN"/>
        </w:rPr>
        <w:t>N</w:t>
      </w:r>
      <w:r>
        <w:rPr>
          <w:rFonts w:hint="default" w:ascii="Times New Roman" w:hAnsi="Times New Roman" w:eastAsia="Arial" w:cs="Times New Roman"/>
          <w:kern w:val="0"/>
          <w:sz w:val="24"/>
          <w:szCs w:val="24"/>
          <w:lang w:val="en-US" w:eastAsia="zh-CN"/>
        </w:rPr>
        <w:t xml:space="preserve">ecessary for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xercise-induced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ardiac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rowth and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rotects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gainst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athological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ardiac </w:t>
      </w:r>
      <w:r>
        <w:rPr>
          <w:rFonts w:hint="eastAsia" w:ascii="Times New Roman" w:hAnsi="Times New Roman" w:eastAsia="Arial" w:cs="Times New Roman"/>
          <w:kern w:val="0"/>
          <w:sz w:val="24"/>
          <w:szCs w:val="24"/>
          <w:lang w:val="en-US" w:eastAsia="zh-CN"/>
        </w:rPr>
        <w:t>R</w:t>
      </w:r>
      <w:r>
        <w:rPr>
          <w:rFonts w:hint="default" w:ascii="Times New Roman" w:hAnsi="Times New Roman" w:eastAsia="Arial" w:cs="Times New Roman"/>
          <w:kern w:val="0"/>
          <w:sz w:val="24"/>
          <w:szCs w:val="24"/>
          <w:lang w:val="en-US" w:eastAsia="zh-CN"/>
        </w:rPr>
        <w:t>emodeling</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Cell Metab, 21(4): 584-</w:t>
      </w:r>
      <w:r>
        <w:rPr>
          <w:rFonts w:hint="eastAsia" w:ascii="Times New Roman" w:hAnsi="Times New Roman" w:eastAsia="Arial" w:cs="Times New Roman"/>
          <w:kern w:val="0"/>
          <w:sz w:val="24"/>
          <w:szCs w:val="24"/>
          <w:lang w:val="en-US" w:eastAsia="zh-CN"/>
        </w:rPr>
        <w:t>5</w:t>
      </w:r>
      <w:r>
        <w:rPr>
          <w:rFonts w:hint="default" w:ascii="Times New Roman" w:hAnsi="Times New Roman" w:eastAsia="Arial" w:cs="Times New Roman"/>
          <w:kern w:val="0"/>
          <w:sz w:val="24"/>
          <w:szCs w:val="24"/>
          <w:lang w:val="en-US" w:eastAsia="zh-CN"/>
        </w:rPr>
        <w:t>95.</w:t>
      </w:r>
    </w:p>
    <w:p w14:paraId="6E1A9409">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[20]</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Friedmann T, Roblin R</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Gene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herapy for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uman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enetic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isease?</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Science, 1972, 175(4025): 949-</w:t>
      </w:r>
      <w:r>
        <w:rPr>
          <w:rFonts w:hint="eastAsia" w:ascii="Times New Roman" w:hAnsi="Times New Roman" w:eastAsia="Arial" w:cs="Times New Roman"/>
          <w:kern w:val="0"/>
          <w:sz w:val="24"/>
          <w:szCs w:val="24"/>
          <w:lang w:val="en-US" w:eastAsia="zh-CN"/>
        </w:rPr>
        <w:t>9</w:t>
      </w:r>
      <w:r>
        <w:rPr>
          <w:rFonts w:hint="default" w:ascii="Times New Roman" w:hAnsi="Times New Roman" w:eastAsia="Arial" w:cs="Times New Roman"/>
          <w:kern w:val="0"/>
          <w:sz w:val="24"/>
          <w:szCs w:val="24"/>
          <w:lang w:val="en-US" w:eastAsia="zh-CN"/>
        </w:rPr>
        <w:t>55.</w:t>
      </w:r>
    </w:p>
    <w:p w14:paraId="25EC1FBE">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[21]</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Nelson CE, Robinson-Hamm JN, Gersbach CA.,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Genome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ngineering: </w:t>
      </w:r>
      <w:r>
        <w:rPr>
          <w:rFonts w:hint="eastAsia" w:ascii="Times New Roman" w:hAnsi="Times New Roman" w:eastAsia="Arial" w:cs="Times New Roman"/>
          <w:kern w:val="0"/>
          <w:sz w:val="24"/>
          <w:szCs w:val="24"/>
          <w:lang w:val="en-US" w:eastAsia="zh-CN"/>
        </w:rPr>
        <w:t>A N</w:t>
      </w:r>
      <w:r>
        <w:rPr>
          <w:rFonts w:hint="default" w:ascii="Times New Roman" w:hAnsi="Times New Roman" w:eastAsia="Arial" w:cs="Times New Roman"/>
          <w:kern w:val="0"/>
          <w:sz w:val="24"/>
          <w:szCs w:val="24"/>
          <w:lang w:val="en-US" w:eastAsia="zh-CN"/>
        </w:rPr>
        <w:t xml:space="preserve">ew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US" w:eastAsia="zh-CN"/>
        </w:rPr>
        <w:t xml:space="preserve">pproach to </w:t>
      </w:r>
      <w:r>
        <w:rPr>
          <w:rFonts w:hint="eastAsia" w:ascii="Times New Roman" w:hAnsi="Times New Roman" w:eastAsia="Arial" w:cs="Times New Roman"/>
          <w:kern w:val="0"/>
          <w:sz w:val="24"/>
          <w:szCs w:val="24"/>
          <w:lang w:val="en-US" w:eastAsia="zh-CN"/>
        </w:rPr>
        <w:t>G</w:t>
      </w:r>
      <w:r>
        <w:rPr>
          <w:rFonts w:hint="default" w:ascii="Times New Roman" w:hAnsi="Times New Roman" w:eastAsia="Arial" w:cs="Times New Roman"/>
          <w:kern w:val="0"/>
          <w:sz w:val="24"/>
          <w:szCs w:val="24"/>
          <w:lang w:val="en-US" w:eastAsia="zh-CN"/>
        </w:rPr>
        <w:t xml:space="preserve">ene </w:t>
      </w:r>
      <w:r>
        <w:rPr>
          <w:rFonts w:hint="eastAsia" w:ascii="Times New Roman" w:hAnsi="Times New Roman" w:eastAsia="Arial" w:cs="Times New Roman"/>
          <w:kern w:val="0"/>
          <w:sz w:val="24"/>
          <w:szCs w:val="24"/>
          <w:lang w:val="en-US" w:eastAsia="zh-CN"/>
        </w:rPr>
        <w:t>T</w:t>
      </w:r>
      <w:r>
        <w:rPr>
          <w:rFonts w:hint="default" w:ascii="Times New Roman" w:hAnsi="Times New Roman" w:eastAsia="Arial" w:cs="Times New Roman"/>
          <w:kern w:val="0"/>
          <w:sz w:val="24"/>
          <w:szCs w:val="24"/>
          <w:lang w:val="en-US" w:eastAsia="zh-CN"/>
        </w:rPr>
        <w:t xml:space="preserve">herapy for </w:t>
      </w:r>
      <w:r>
        <w:rPr>
          <w:rFonts w:hint="eastAsia" w:ascii="Times New Roman" w:hAnsi="Times New Roman" w:eastAsia="Arial" w:cs="Times New Roman"/>
          <w:kern w:val="0"/>
          <w:sz w:val="24"/>
          <w:szCs w:val="24"/>
          <w:lang w:val="en-US" w:eastAsia="zh-CN"/>
        </w:rPr>
        <w:t>N</w:t>
      </w:r>
      <w:r>
        <w:rPr>
          <w:rFonts w:hint="default" w:ascii="Times New Roman" w:hAnsi="Times New Roman" w:eastAsia="Arial" w:cs="Times New Roman"/>
          <w:kern w:val="0"/>
          <w:sz w:val="24"/>
          <w:szCs w:val="24"/>
          <w:lang w:val="en-US" w:eastAsia="zh-CN"/>
        </w:rPr>
        <w:t xml:space="preserve">euromuscular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isorders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Nat Rev Neurol, 13(11): 647-</w:t>
      </w:r>
      <w:r>
        <w:rPr>
          <w:rFonts w:hint="eastAsia" w:ascii="Times New Roman" w:hAnsi="Times New Roman" w:eastAsia="Arial" w:cs="Times New Roman"/>
          <w:kern w:val="0"/>
          <w:sz w:val="24"/>
          <w:szCs w:val="24"/>
          <w:lang w:val="en-US" w:eastAsia="zh-CN"/>
        </w:rPr>
        <w:t>6</w:t>
      </w:r>
      <w:r>
        <w:rPr>
          <w:rFonts w:hint="default" w:ascii="Times New Roman" w:hAnsi="Times New Roman" w:eastAsia="Arial" w:cs="Times New Roman"/>
          <w:kern w:val="0"/>
          <w:sz w:val="24"/>
          <w:szCs w:val="24"/>
          <w:lang w:val="en-US" w:eastAsia="zh-CN"/>
        </w:rPr>
        <w:t>61.</w:t>
      </w:r>
    </w:p>
    <w:p w14:paraId="2E331929">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[22]</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Egerman MA, Glass DJ</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Signaling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athways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US" w:eastAsia="zh-CN"/>
        </w:rPr>
        <w:t xml:space="preserve">ontrolling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US" w:eastAsia="zh-CN"/>
        </w:rPr>
        <w:t xml:space="preserve">keletal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 xml:space="preserve">uscle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US" w:eastAsia="zh-CN"/>
        </w:rPr>
        <w:t>ass, 2014</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Crit Rev Biochem Mol Biol, 49(1): 59-68.</w:t>
      </w:r>
    </w:p>
    <w:p w14:paraId="086487B1">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[23]</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Kok K, Geering B, Vanhaesebroeck B</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2009</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Regulation of </w:t>
      </w:r>
      <w:r>
        <w:rPr>
          <w:rFonts w:hint="eastAsia" w:ascii="Times New Roman" w:hAnsi="Times New Roman" w:eastAsia="Arial" w:cs="Times New Roman"/>
          <w:kern w:val="0"/>
          <w:sz w:val="24"/>
          <w:szCs w:val="24"/>
          <w:lang w:val="en-US" w:eastAsia="zh-CN"/>
        </w:rPr>
        <w:t>P</w:t>
      </w:r>
      <w:r>
        <w:rPr>
          <w:rFonts w:hint="default" w:ascii="Times New Roman" w:hAnsi="Times New Roman" w:eastAsia="Arial" w:cs="Times New Roman"/>
          <w:kern w:val="0"/>
          <w:sz w:val="24"/>
          <w:szCs w:val="24"/>
          <w:lang w:val="en-US" w:eastAsia="zh-CN"/>
        </w:rPr>
        <w:t xml:space="preserve">hosphoinositide 3-kinase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US" w:eastAsia="zh-CN"/>
        </w:rPr>
        <w:t xml:space="preserve">xpression in </w:t>
      </w:r>
      <w:r>
        <w:rPr>
          <w:rFonts w:hint="eastAsia" w:ascii="Times New Roman" w:hAnsi="Times New Roman" w:eastAsia="Arial" w:cs="Times New Roman"/>
          <w:kern w:val="0"/>
          <w:sz w:val="24"/>
          <w:szCs w:val="24"/>
          <w:lang w:val="en-US" w:eastAsia="zh-CN"/>
        </w:rPr>
        <w:t>H</w:t>
      </w:r>
      <w:r>
        <w:rPr>
          <w:rFonts w:hint="default" w:ascii="Times New Roman" w:hAnsi="Times New Roman" w:eastAsia="Arial" w:cs="Times New Roman"/>
          <w:kern w:val="0"/>
          <w:sz w:val="24"/>
          <w:szCs w:val="24"/>
          <w:lang w:val="en-US" w:eastAsia="zh-CN"/>
        </w:rPr>
        <w:t xml:space="preserve">ealth and </w:t>
      </w:r>
      <w:r>
        <w:rPr>
          <w:rFonts w:hint="eastAsia" w:ascii="Times New Roman" w:hAnsi="Times New Roman" w:eastAsia="Arial" w:cs="Times New Roman"/>
          <w:kern w:val="0"/>
          <w:sz w:val="24"/>
          <w:szCs w:val="24"/>
          <w:lang w:val="en-US" w:eastAsia="zh-CN"/>
        </w:rPr>
        <w:t>D</w:t>
      </w:r>
      <w:r>
        <w:rPr>
          <w:rFonts w:hint="default" w:ascii="Times New Roman" w:hAnsi="Times New Roman" w:eastAsia="Arial" w:cs="Times New Roman"/>
          <w:kern w:val="0"/>
          <w:sz w:val="24"/>
          <w:szCs w:val="24"/>
          <w:lang w:val="en-US" w:eastAsia="zh-CN"/>
        </w:rPr>
        <w:t>isease</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Trends Biochem Sci, 34(3): 115-</w:t>
      </w:r>
      <w:r>
        <w:rPr>
          <w:rFonts w:hint="eastAsia" w:ascii="Times New Roman" w:hAnsi="Times New Roman" w:eastAsia="Arial" w:cs="Times New Roman"/>
          <w:kern w:val="0"/>
          <w:sz w:val="24"/>
          <w:szCs w:val="24"/>
          <w:lang w:val="en-US" w:eastAsia="zh-CN"/>
        </w:rPr>
        <w:t>1</w:t>
      </w:r>
      <w:r>
        <w:rPr>
          <w:rFonts w:hint="default" w:ascii="Times New Roman" w:hAnsi="Times New Roman" w:eastAsia="Arial" w:cs="Times New Roman"/>
          <w:kern w:val="0"/>
          <w:sz w:val="24"/>
          <w:szCs w:val="24"/>
          <w:lang w:val="en-US" w:eastAsia="zh-CN"/>
        </w:rPr>
        <w:t>27.</w:t>
      </w:r>
    </w:p>
    <w:p w14:paraId="73C947AB">
      <w:pPr>
        <w:pStyle w:val="11"/>
        <w:snapToGrid w:val="0"/>
        <w:ind w:left="709" w:hanging="709"/>
        <w:rPr>
          <w:rFonts w:hint="default"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[24]</w:t>
      </w:r>
      <w:r>
        <w:rPr>
          <w:rFonts w:hint="default" w:ascii="Times New Roman" w:hAnsi="Times New Roman" w:eastAsia="Arial" w:cs="Times New Roman"/>
          <w:kern w:val="0"/>
          <w:sz w:val="24"/>
          <w:szCs w:val="24"/>
          <w:lang w:val="en-US" w:eastAsia="zh-CN"/>
        </w:rPr>
        <w:tab/>
      </w:r>
      <w:r>
        <w:rPr>
          <w:rFonts w:hint="default" w:ascii="Times New Roman" w:hAnsi="Times New Roman" w:eastAsia="Arial" w:cs="Times New Roman"/>
          <w:kern w:val="0"/>
          <w:sz w:val="24"/>
          <w:szCs w:val="24"/>
          <w:lang w:val="en-US" w:eastAsia="zh-CN"/>
        </w:rPr>
        <w:t>Yoon MS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2017</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mTOR as a Key Regulator in Maintaining Skeletal Muscle Mass</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US" w:eastAsia="zh-CN"/>
        </w:rPr>
        <w:t xml:space="preserve"> Front Physiol, 8: 788.</w:t>
      </w:r>
    </w:p>
    <w:p w14:paraId="4B0CF691">
      <w:pPr>
        <w:rPr>
          <w:rFonts w:ascii="Times New Roman" w:hAnsi="Times New Roman" w:eastAsia="宋体" w:cs="Times New Roman"/>
          <w:sz w:val="24"/>
        </w:rPr>
      </w:pPr>
      <w:bookmarkStart w:id="2" w:name="_GoBack"/>
      <w:bookmarkEnd w:id="2"/>
    </w:p>
    <w:p w14:paraId="2CB0E5C8">
      <w:pPr>
        <w:pStyle w:val="3"/>
        <w:rPr>
          <w:rFonts w:ascii="Times New Roman" w:hAnsi="Times New Roman"/>
          <w:b/>
          <w:bCs/>
          <w:color w:val="auto"/>
          <w:sz w:val="20"/>
          <w:szCs w:val="20"/>
        </w:rPr>
      </w:pPr>
      <w:bookmarkStart w:id="0" w:name="_Hlk172732777"/>
      <w:bookmarkStart w:id="1" w:name="_Hlk173221647"/>
      <w:r>
        <w:rPr>
          <w:rFonts w:ascii="Times New Roman" w:hAnsi="Times New Roman"/>
          <w:b/>
          <w:bCs/>
          <w:color w:val="auto"/>
          <w:sz w:val="20"/>
          <w:szCs w:val="20"/>
        </w:rPr>
        <w:t>Publisher’s note</w:t>
      </w:r>
    </w:p>
    <w:p w14:paraId="2E6C2944">
      <w:pPr>
        <w:rPr>
          <w:rFonts w:ascii="Times New Roman" w:hAnsi="Times New Roman" w:eastAsia="宋体" w:cs="Times New Roman"/>
          <w:sz w:val="20"/>
          <w:szCs w:val="20"/>
        </w:rPr>
      </w:pPr>
      <w:r>
        <w:rPr>
          <w:rFonts w:ascii="Times New Roman" w:hAnsi="Times New Roman" w:eastAsia="宋体" w:cs="Times New Roman"/>
          <w:kern w:val="0"/>
          <w:sz w:val="20"/>
          <w:szCs w:val="20"/>
          <w:lang w:eastAsia="en-US"/>
        </w:rPr>
        <w:t>Bio-Byword Scientific Publishing remains neutral with regard to jurisdictional claims in published maps and institutional affiliations.</w:t>
      </w:r>
    </w:p>
    <w:bookmarkEnd w:id="0"/>
    <w:bookmarkEnd w:id="1"/>
    <w:p w14:paraId="3BED4FFB">
      <w:pPr>
        <w:pStyle w:val="11"/>
        <w:snapToGrid w:val="0"/>
        <w:ind w:left="709" w:hanging="709"/>
        <w:rPr>
          <w:rFonts w:hint="default" w:ascii="Times New Roman" w:hAnsi="Times New Roman" w:eastAsia="Arial" w:cs="Times New Roman"/>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C6E0CEB-1B3C-477B-9152-F2D655096C1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2" w:fontKey="{13FEB911-6693-4B63-8A0F-756E4F81F9B2}"/>
  </w:font>
  <w:font w:name="Georgia">
    <w:panose1 w:val="02040502050405020303"/>
    <w:charset w:val="00"/>
    <w:family w:val="auto"/>
    <w:pitch w:val="default"/>
    <w:sig w:usb0="00000287" w:usb1="00000000" w:usb2="00000000" w:usb3="00000000" w:csb0="2000009F" w:csb1="00000000"/>
    <w:embedRegular r:id="rId3" w:fontKey="{42A282AD-A2C9-4BFA-9974-137B5EA83EA3}"/>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953F7B"/>
    <w:rsid w:val="0D0C761C"/>
    <w:rsid w:val="105F1309"/>
    <w:rsid w:val="1ABC3B86"/>
    <w:rsid w:val="1D1D719C"/>
    <w:rsid w:val="2003319E"/>
    <w:rsid w:val="23946DC5"/>
    <w:rsid w:val="23A23767"/>
    <w:rsid w:val="266F5BD5"/>
    <w:rsid w:val="27C7115B"/>
    <w:rsid w:val="293933CF"/>
    <w:rsid w:val="2BE5749F"/>
    <w:rsid w:val="314A0F70"/>
    <w:rsid w:val="32A503B1"/>
    <w:rsid w:val="32EA2271"/>
    <w:rsid w:val="3A20461D"/>
    <w:rsid w:val="3C1A7270"/>
    <w:rsid w:val="449A2115"/>
    <w:rsid w:val="44BF6240"/>
    <w:rsid w:val="45C20E9E"/>
    <w:rsid w:val="46414979"/>
    <w:rsid w:val="46995C90"/>
    <w:rsid w:val="490932A1"/>
    <w:rsid w:val="4A662006"/>
    <w:rsid w:val="4C103B92"/>
    <w:rsid w:val="4CD30601"/>
    <w:rsid w:val="4DC429A5"/>
    <w:rsid w:val="4E522331"/>
    <w:rsid w:val="4EDB6FD5"/>
    <w:rsid w:val="4FBB5463"/>
    <w:rsid w:val="5E361890"/>
    <w:rsid w:val="5F756F5E"/>
    <w:rsid w:val="629628FD"/>
    <w:rsid w:val="6E200A63"/>
    <w:rsid w:val="6FFF3BEE"/>
    <w:rsid w:val="79C1605A"/>
    <w:rsid w:val="7C593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9"/>
    <w:pPr>
      <w:keepNext/>
      <w:keepLines/>
      <w:spacing w:before="40"/>
      <w:outlineLvl w:val="2"/>
    </w:pPr>
    <w:rPr>
      <w:rFonts w:ascii="Calibri Light" w:hAnsi="Calibri Light" w:eastAsia="等线 Light" w:cs="Times New Roman"/>
      <w:color w:val="1F3763"/>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Times New Roman" w:hAnsi="Times New Roman" w:eastAsia="Times New Roman" w:cs="Times New Roman"/>
      <w:sz w:val="21"/>
      <w:szCs w:val="21"/>
      <w:lang w:val="en-US" w:eastAsia="en-US" w:bidi="ar-SA"/>
    </w:rPr>
  </w:style>
  <w:style w:type="paragraph" w:styleId="5">
    <w:name w:val="Normal (Web)"/>
    <w:basedOn w:val="1"/>
    <w:qFormat/>
    <w:uiPriority w:val="0"/>
    <w:rPr>
      <w:sz w:val="24"/>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paragraph" w:customStyle="1" w:styleId="11">
    <w:name w:val="EndNote Bibliography"/>
    <w:basedOn w:val="1"/>
    <w:qFormat/>
    <w:uiPriority w:val="0"/>
    <w:rPr>
      <w:rFonts w:hint="eastAsia" w:ascii="等线" w:hAnsi="等线" w:eastAsia="等线" w:cs="等线"/>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3174</Words>
  <Characters>18398</Characters>
  <Lines>0</Lines>
  <Paragraphs>0</Paragraphs>
  <TotalTime>4</TotalTime>
  <ScaleCrop>false</ScaleCrop>
  <LinksUpToDate>false</LinksUpToDate>
  <CharactersWithSpaces>21488</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2026-04-07T07:43:00Z</dcterms:created>
  <dc:creator>93251</dc:creator>
  <cp:lastModifiedBy></cp:lastModifiedBy>
  <dcterms:modified xsi:type="dcterms:W3CDTF">2026-07-06T05:52:36Z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4BD96D3FE6AC44F99039999229A43FE8_13</vt:lpwstr>
  </property>
</Properties>
</file>