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DB971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left"/>
        <w:textAlignment w:val="auto"/>
        <w:rPr>
          <w:rFonts w:hint="default" w:ascii="Times New Roman" w:hAnsi="Times New Roman" w:cs="Times New Roman" w:eastAsiaTheme="minorEastAsia"/>
          <w:b/>
          <w:bCs/>
          <w:snapToGrid w:val="0"/>
          <w:color w:val="auto"/>
          <w:kern w:val="2"/>
          <w:sz w:val="44"/>
          <w:szCs w:val="44"/>
          <w:lang w:val="en-US" w:eastAsia="zh-CN" w:bidi="ar"/>
        </w:rPr>
      </w:pPr>
      <w:r>
        <w:rPr>
          <w:rFonts w:hint="default" w:ascii="Times New Roman" w:hAnsi="Times New Roman" w:cs="Times New Roman" w:eastAsiaTheme="minorEastAsia"/>
          <w:b/>
          <w:bCs/>
          <w:snapToGrid w:val="0"/>
          <w:color w:val="auto"/>
          <w:kern w:val="2"/>
          <w:sz w:val="44"/>
          <w:szCs w:val="44"/>
          <w:lang w:val="en-US" w:eastAsia="zh-CN" w:bidi="ar"/>
        </w:rPr>
        <w:t>Clinical Efficacy of Mobile Moxibustion Cupping Combined with Electroacupuncture for Wind</w:t>
      </w:r>
      <w:r>
        <w:rPr>
          <w:rFonts w:hint="default" w:ascii="Times New Roman" w:hAnsi="Times New Roman" w:cs="Times New Roman" w:eastAsiaTheme="minorEastAsia"/>
          <w:b/>
          <w:bCs/>
          <w:snapToGrid w:val="0"/>
          <w:color w:val="auto"/>
          <w:kern w:val="2"/>
          <w:sz w:val="44"/>
          <w:szCs w:val="44"/>
          <w:lang w:val="en-US" w:eastAsia="zh-CN" w:bidi="ar"/>
        </w:rPr>
        <w:t/>
      </w:r>
    </w:p>
    <w:p w14:paraId="132219E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left"/>
        <w:textAlignment w:val="auto"/>
        <w:rPr>
          <w:rFonts w:hint="default" w:ascii="Times New Roman" w:hAnsi="Times New Roman" w:cs="Times New Roman" w:eastAsiaTheme="minorEastAsia"/>
          <w:b/>
          <w:bCs/>
          <w:snapToGrid w:val="0"/>
          <w:color w:val="auto"/>
          <w:kern w:val="2"/>
          <w:sz w:val="44"/>
          <w:szCs w:val="44"/>
          <w:lang w:val="en-US" w:eastAsia="zh-CN" w:bidi="ar"/>
        </w:rPr>
      </w:pPr>
      <w:r>
        <w:rPr>
          <w:rFonts w:hint="default" w:ascii="Times New Roman" w:hAnsi="Times New Roman" w:cs="Times New Roman" w:eastAsiaTheme="minorEastAsia"/>
          <w:b/>
          <w:bCs/>
          <w:snapToGrid w:val="0"/>
          <w:color w:val="auto"/>
          <w:kern w:val="2"/>
          <w:sz w:val="44"/>
          <w:szCs w:val="44"/>
          <w:lang w:val="en-US" w:eastAsia="zh-CN" w:bidi="ar"/>
        </w:rPr>
        <w:t>Cold-Dampness Type Adhesive Capsulitis</w:t>
      </w:r>
    </w:p>
    <w:p w14:paraId="4693E8D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color w:val="000000" w:themeColor="text1"/>
          <w:kern w:val="2"/>
          <w:sz w:val="24"/>
          <w:szCs w:val="24"/>
          <w:lang w:val="en-US" w:eastAsia="zh-CN" w:bidi="ar"/>
          <w14:textFill>
            <w14:solidFill>
              <w14:schemeClr w14:val="tx1"/>
            </w14:solidFill>
          </w14:textFill>
        </w:rPr>
      </w:pPr>
      <w:r>
        <w:rPr>
          <w:rFonts w:hint="default" w:ascii="Times New Roman" w:hAnsi="Times New Roman" w:cs="Times New Roman" w:eastAsiaTheme="minorEastAsia"/>
          <w:b/>
          <w:bCs/>
          <w:snapToGrid w:val="0"/>
          <w:color w:val="000000" w:themeColor="text1"/>
          <w:kern w:val="2"/>
          <w:sz w:val="24"/>
          <w:szCs w:val="24"/>
          <w:lang w:val="en-US" w:eastAsia="zh-CN" w:bidi="ar"/>
          <w14:textFill>
            <w14:solidFill>
              <w14:schemeClr w14:val="tx1"/>
            </w14:solidFill>
          </w14:textFill>
        </w:rPr>
        <w:t>Lizhi</w:t>
      </w:r>
      <w:r>
        <w:rPr>
          <w:rFonts w:hint="eastAsia" w:ascii="Times New Roman" w:hAnsi="Times New Roman" w:cs="Times New Roman"/>
          <w:b/>
          <w:bCs/>
          <w:snapToGrid w:val="0"/>
          <w:color w:val="000000" w:themeColor="text1"/>
          <w:kern w:val="2"/>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b/>
          <w:bCs/>
          <w:snapToGrid w:val="0"/>
          <w:color w:val="000000" w:themeColor="text1"/>
          <w:kern w:val="2"/>
          <w:sz w:val="24"/>
          <w:szCs w:val="24"/>
          <w:lang w:val="en-US" w:eastAsia="zh-CN" w:bidi="ar"/>
          <w14:textFill>
            <w14:solidFill>
              <w14:schemeClr w14:val="tx1"/>
            </w14:solidFill>
          </w14:textFill>
        </w:rPr>
        <w:t>Zhang, Yingjie</w:t>
      </w:r>
      <w:r>
        <w:rPr>
          <w:rFonts w:hint="eastAsia" w:ascii="Times New Roman" w:hAnsi="Times New Roman" w:cs="Times New Roman"/>
          <w:b/>
          <w:bCs/>
          <w:snapToGrid w:val="0"/>
          <w:color w:val="000000" w:themeColor="text1"/>
          <w:kern w:val="2"/>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b/>
          <w:bCs/>
          <w:snapToGrid w:val="0"/>
          <w:color w:val="000000" w:themeColor="text1"/>
          <w:kern w:val="2"/>
          <w:sz w:val="24"/>
          <w:szCs w:val="24"/>
          <w:lang w:val="en-US" w:eastAsia="zh-CN" w:bidi="ar"/>
          <w14:textFill>
            <w14:solidFill>
              <w14:schemeClr w14:val="tx1"/>
            </w14:solidFill>
          </w14:textFill>
        </w:rPr>
        <w:t>Ge, Xiumin</w:t>
      </w:r>
      <w:r>
        <w:rPr>
          <w:rFonts w:hint="eastAsia" w:ascii="Times New Roman" w:hAnsi="Times New Roman" w:cs="Times New Roman"/>
          <w:b/>
          <w:bCs/>
          <w:snapToGrid w:val="0"/>
          <w:color w:val="000000" w:themeColor="text1"/>
          <w:kern w:val="2"/>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b/>
          <w:bCs/>
          <w:snapToGrid w:val="0"/>
          <w:color w:val="000000" w:themeColor="text1"/>
          <w:kern w:val="2"/>
          <w:sz w:val="24"/>
          <w:szCs w:val="24"/>
          <w:lang w:val="en-US" w:eastAsia="zh-CN" w:bidi="ar"/>
          <w14:textFill>
            <w14:solidFill>
              <w14:schemeClr w14:val="tx1"/>
            </w14:solidFill>
          </w14:textFill>
        </w:rPr>
        <w:t>Ou, Yuming</w:t>
      </w:r>
      <w:r>
        <w:rPr>
          <w:rFonts w:hint="eastAsia" w:ascii="Times New Roman" w:hAnsi="Times New Roman" w:cs="Times New Roman"/>
          <w:b/>
          <w:bCs/>
          <w:snapToGrid w:val="0"/>
          <w:color w:val="000000" w:themeColor="text1"/>
          <w:kern w:val="2"/>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b/>
          <w:bCs/>
          <w:snapToGrid w:val="0"/>
          <w:color w:val="000000" w:themeColor="text1"/>
          <w:kern w:val="2"/>
          <w:sz w:val="24"/>
          <w:szCs w:val="24"/>
          <w:lang w:val="en-US" w:eastAsia="zh-CN" w:bidi="ar"/>
          <w14:textFill>
            <w14:solidFill>
              <w14:schemeClr w14:val="tx1"/>
            </w14:solidFill>
          </w14:textFill>
        </w:rPr>
        <w:t>Luo, Tingting</w:t>
      </w:r>
      <w:r>
        <w:rPr>
          <w:rFonts w:hint="eastAsia" w:ascii="Times New Roman" w:hAnsi="Times New Roman" w:cs="Times New Roman"/>
          <w:b/>
          <w:bCs/>
          <w:snapToGrid w:val="0"/>
          <w:color w:val="000000" w:themeColor="text1"/>
          <w:kern w:val="2"/>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b/>
          <w:bCs/>
          <w:snapToGrid w:val="0"/>
          <w:color w:val="000000" w:themeColor="text1"/>
          <w:kern w:val="2"/>
          <w:sz w:val="24"/>
          <w:szCs w:val="24"/>
          <w:lang w:val="en-US" w:eastAsia="zh-CN" w:bidi="ar"/>
          <w14:textFill>
            <w14:solidFill>
              <w14:schemeClr w14:val="tx1"/>
            </w14:solidFill>
          </w14:textFill>
        </w:rPr>
        <w:t>Xiang, Yueqi</w:t>
      </w:r>
      <w:r>
        <w:rPr>
          <w:rFonts w:hint="eastAsia" w:ascii="Times New Roman" w:hAnsi="Times New Roman" w:cs="Times New Roman"/>
          <w:b/>
          <w:bCs/>
          <w:snapToGrid w:val="0"/>
          <w:color w:val="000000" w:themeColor="text1"/>
          <w:kern w:val="2"/>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b/>
          <w:bCs/>
          <w:snapToGrid w:val="0"/>
          <w:color w:val="000000" w:themeColor="text1"/>
          <w:kern w:val="2"/>
          <w:sz w:val="24"/>
          <w:szCs w:val="24"/>
          <w:lang w:val="en-US" w:eastAsia="zh-CN" w:bidi="ar"/>
          <w14:textFill>
            <w14:solidFill>
              <w14:schemeClr w14:val="tx1"/>
            </w14:solidFill>
          </w14:textFill>
        </w:rPr>
        <w:t>Wang, Lin</w:t>
      </w:r>
      <w:r>
        <w:rPr>
          <w:rFonts w:hint="eastAsia" w:ascii="Times New Roman" w:hAnsi="Times New Roman" w:cs="Times New Roman"/>
          <w:b/>
          <w:bCs/>
          <w:snapToGrid w:val="0"/>
          <w:color w:val="000000" w:themeColor="text1"/>
          <w:kern w:val="2"/>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b/>
          <w:bCs/>
          <w:snapToGrid w:val="0"/>
          <w:color w:val="000000" w:themeColor="text1"/>
          <w:kern w:val="2"/>
          <w:sz w:val="24"/>
          <w:szCs w:val="24"/>
          <w:lang w:val="en-US" w:eastAsia="zh-CN" w:bidi="ar"/>
          <w14:textFill>
            <w14:solidFill>
              <w14:schemeClr w14:val="tx1"/>
            </w14:solidFill>
          </w14:textFill>
        </w:rPr>
        <w:t>Yang, Guoyuan</w:t>
      </w:r>
      <w:r>
        <w:rPr>
          <w:rFonts w:hint="eastAsia" w:ascii="Times New Roman" w:hAnsi="Times New Roman" w:cs="Times New Roman"/>
          <w:b/>
          <w:bCs/>
          <w:snapToGrid w:val="0"/>
          <w:color w:val="000000" w:themeColor="text1"/>
          <w:kern w:val="2"/>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b/>
          <w:bCs/>
          <w:snapToGrid w:val="0"/>
          <w:color w:val="000000" w:themeColor="text1"/>
          <w:kern w:val="2"/>
          <w:sz w:val="24"/>
          <w:szCs w:val="24"/>
          <w:lang w:val="en-US" w:eastAsia="zh-CN" w:bidi="ar"/>
          <w14:textFill>
            <w14:solidFill>
              <w14:schemeClr w14:val="tx1"/>
            </w14:solidFill>
          </w14:textFill>
        </w:rPr>
        <w:t>Zhao, Jinze</w:t>
      </w:r>
      <w:r>
        <w:rPr>
          <w:rFonts w:hint="eastAsia" w:ascii="Times New Roman" w:hAnsi="Times New Roman" w:cs="Times New Roman"/>
          <w:b/>
          <w:bCs/>
          <w:snapToGrid w:val="0"/>
          <w:color w:val="000000" w:themeColor="text1"/>
          <w:kern w:val="2"/>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b/>
          <w:bCs/>
          <w:snapToGrid w:val="0"/>
          <w:color w:val="000000" w:themeColor="text1"/>
          <w:kern w:val="2"/>
          <w:sz w:val="24"/>
          <w:szCs w:val="24"/>
          <w:lang w:val="en-US" w:eastAsia="zh-CN" w:bidi="ar"/>
          <w14:textFill>
            <w14:solidFill>
              <w14:schemeClr w14:val="tx1"/>
            </w14:solidFill>
          </w14:textFill>
        </w:rPr>
        <w:t>Wu, Chao</w:t>
      </w:r>
      <w:r>
        <w:rPr>
          <w:rFonts w:hint="eastAsia" w:ascii="Times New Roman" w:hAnsi="Times New Roman" w:cs="Times New Roman"/>
          <w:b/>
          <w:bCs/>
          <w:snapToGrid w:val="0"/>
          <w:color w:val="000000" w:themeColor="text1"/>
          <w:kern w:val="2"/>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b/>
          <w:bCs/>
          <w:snapToGrid w:val="0"/>
          <w:color w:val="000000" w:themeColor="text1"/>
          <w:kern w:val="2"/>
          <w:sz w:val="24"/>
          <w:szCs w:val="24"/>
          <w:lang w:val="en-US" w:eastAsia="zh-CN" w:bidi="ar"/>
          <w14:textFill>
            <w14:solidFill>
              <w14:schemeClr w14:val="tx1"/>
            </w14:solidFill>
          </w14:textFill>
        </w:rPr>
        <w:t>Xu, Jianping</w:t>
      </w:r>
      <w:r>
        <w:rPr>
          <w:rFonts w:hint="eastAsia" w:ascii="Times New Roman" w:hAnsi="Times New Roman" w:cs="Times New Roman"/>
          <w:b/>
          <w:bCs/>
          <w:snapToGrid w:val="0"/>
          <w:color w:val="000000" w:themeColor="text1"/>
          <w:kern w:val="2"/>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b/>
          <w:bCs/>
          <w:snapToGrid w:val="0"/>
          <w:color w:val="000000" w:themeColor="text1"/>
          <w:kern w:val="2"/>
          <w:sz w:val="24"/>
          <w:szCs w:val="24"/>
          <w:lang w:val="en-US" w:eastAsia="zh-CN" w:bidi="ar"/>
          <w14:textFill>
            <w14:solidFill>
              <w14:schemeClr w14:val="tx1"/>
            </w14:solidFill>
          </w14:textFill>
        </w:rPr>
        <w:t>Zhang, Zhenquan</w:t>
      </w:r>
      <w:r>
        <w:rPr>
          <w:rFonts w:hint="eastAsia" w:ascii="Times New Roman" w:hAnsi="Times New Roman" w:cs="Times New Roman"/>
          <w:b/>
          <w:bCs/>
          <w:snapToGrid w:val="0"/>
          <w:color w:val="000000" w:themeColor="text1"/>
          <w:kern w:val="2"/>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b/>
          <w:bCs/>
          <w:snapToGrid w:val="0"/>
          <w:color w:val="000000" w:themeColor="text1"/>
          <w:kern w:val="2"/>
          <w:sz w:val="24"/>
          <w:szCs w:val="24"/>
          <w:lang w:val="en-US" w:eastAsia="zh-CN" w:bidi="ar"/>
          <w14:textFill>
            <w14:solidFill>
              <w14:schemeClr w14:val="tx1"/>
            </w14:solidFill>
          </w14:textFill>
        </w:rPr>
        <w:t>Sun</w:t>
      </w:r>
      <w:r>
        <w:rPr>
          <w:rFonts w:hint="eastAsia" w:ascii="Times New Roman" w:hAnsi="Times New Roman" w:cs="Times New Roman"/>
          <w:b/>
          <w:bCs/>
          <w:snapToGrid w:val="0"/>
          <w:color w:val="000000" w:themeColor="text1"/>
          <w:kern w:val="2"/>
          <w:sz w:val="24"/>
          <w:szCs w:val="24"/>
          <w:lang w:val="en-US" w:eastAsia="zh-CN" w:bidi="ar"/>
          <w14:textFill>
            <w14:solidFill>
              <w14:schemeClr w14:val="tx1"/>
            </w14:solidFill>
          </w14:textFill>
        </w:rPr>
        <w:t>*</w:t>
      </w:r>
      <w:r>
        <w:rPr>
          <w:rFonts w:hint="default" w:ascii="Times New Roman" w:hAnsi="Times New Roman" w:cs="Times New Roman" w:eastAsiaTheme="minorEastAsia"/>
          <w:snapToGrid w:val="0"/>
          <w:color w:val="000000" w:themeColor="text1"/>
          <w:kern w:val="2"/>
          <w:sz w:val="24"/>
          <w:szCs w:val="24"/>
          <w:lang w:val="en-US" w:eastAsia="zh-CN" w:bidi="ar"/>
          <w14:textFill>
            <w14:solidFill>
              <w14:schemeClr w14:val="tx1"/>
            </w14:solidFill>
          </w14:textFill>
        </w:rPr>
        <w:t xml:space="preserve"> </w:t>
      </w:r>
    </w:p>
    <w:p w14:paraId="4FEA2B5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color w:val="000000" w:themeColor="text1"/>
          <w:kern w:val="2"/>
          <w:sz w:val="24"/>
          <w:szCs w:val="24"/>
          <w:lang w:val="en-US" w:eastAsia="zh-CN" w:bidi="ar"/>
          <w14:textFill>
            <w14:solidFill>
              <w14:schemeClr w14:val="tx1"/>
            </w14:solidFill>
          </w14:textFill>
        </w:rPr>
      </w:pPr>
      <w:r>
        <w:rPr>
          <w:rFonts w:hint="default" w:ascii="Times New Roman" w:hAnsi="Times New Roman" w:cs="Times New Roman" w:eastAsiaTheme="minorEastAsia"/>
          <w:snapToGrid w:val="0"/>
          <w:color w:val="000000" w:themeColor="text1"/>
          <w:kern w:val="2"/>
          <w:sz w:val="24"/>
          <w:szCs w:val="24"/>
          <w:lang w:val="en-US" w:eastAsia="zh-CN" w:bidi="ar"/>
          <w14:textFill>
            <w14:solidFill>
              <w14:schemeClr w14:val="tx1"/>
            </w14:solidFill>
          </w14:textFill>
        </w:rPr>
        <w:t>Guangzhou Liwan District Orthopedics and Traumatology Hospital, Guangzhou 510000</w:t>
      </w:r>
      <w:r>
        <w:rPr>
          <w:rFonts w:hint="eastAsia" w:ascii="Times New Roman" w:hAnsi="Times New Roman" w:cs="Times New Roman"/>
          <w:snapToGrid w:val="0"/>
          <w:color w:val="000000" w:themeColor="text1"/>
          <w:kern w:val="2"/>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snapToGrid w:val="0"/>
          <w:color w:val="000000" w:themeColor="text1"/>
          <w:kern w:val="2"/>
          <w:sz w:val="24"/>
          <w:szCs w:val="24"/>
          <w:lang w:val="en-US" w:eastAsia="zh-CN" w:bidi="ar"/>
          <w14:textFill>
            <w14:solidFill>
              <w14:schemeClr w14:val="tx1"/>
            </w14:solidFill>
          </w14:textFill>
        </w:rPr>
        <w:t>Guangdong,</w:t>
      </w:r>
      <w:r>
        <w:rPr>
          <w:rFonts w:hint="eastAsia" w:ascii="Times New Roman" w:hAnsi="Times New Roman" w:cs="Times New Roman"/>
          <w:snapToGrid w:val="0"/>
          <w:color w:val="000000" w:themeColor="text1"/>
          <w:kern w:val="2"/>
          <w:sz w:val="24"/>
          <w:szCs w:val="24"/>
          <w:lang w:val="en-US" w:eastAsia="zh-CN" w:bidi="ar"/>
          <w14:textFill>
            <w14:solidFill>
              <w14:schemeClr w14:val="tx1"/>
            </w14:solidFill>
          </w14:textFill>
        </w:rPr>
        <w:t xml:space="preserve"> China</w:t>
      </w:r>
      <w:r>
        <w:rPr>
          <w:rFonts w:hint="default" w:ascii="Times New Roman" w:hAnsi="Times New Roman" w:cs="Times New Roman" w:eastAsiaTheme="minorEastAsia"/>
          <w:snapToGrid w:val="0"/>
          <w:color w:val="000000" w:themeColor="text1"/>
          <w:kern w:val="2"/>
          <w:sz w:val="24"/>
          <w:szCs w:val="24"/>
          <w:lang w:val="en-US" w:eastAsia="zh-CN" w:bidi="ar"/>
          <w14:textFill>
            <w14:solidFill>
              <w14:schemeClr w14:val="tx1"/>
            </w14:solidFill>
          </w14:textFill>
        </w:rPr>
        <w:t xml:space="preserve"> </w:t>
      </w:r>
    </w:p>
    <w:p w14:paraId="2583FA3B">
      <w:pPr>
        <w:rPr>
          <w:rFonts w:hint="default" w:ascii="Times New Roman" w:hAnsi="Times New Roman"/>
          <w:b/>
          <w:bCs/>
          <w:i/>
          <w:iCs/>
          <w:sz w:val="24"/>
          <w:lang w:val="en-US" w:eastAsia="zh-CN"/>
        </w:rPr>
      </w:pPr>
      <w:r>
        <w:rPr>
          <w:rFonts w:hint="default" w:ascii="Times New Roman" w:hAnsi="Times New Roman"/>
          <w:b/>
          <w:bCs/>
          <w:i/>
          <w:iCs/>
          <w:sz w:val="24"/>
          <w:lang w:val="en-US" w:eastAsia="zh-CN"/>
        </w:rPr>
        <w:t>*Author to whom correspondence should be addressed.</w:t>
      </w:r>
    </w:p>
    <w:p w14:paraId="558F3A2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color w:val="000000" w:themeColor="text1"/>
          <w:kern w:val="2"/>
          <w:sz w:val="24"/>
          <w:szCs w:val="24"/>
          <w:lang w:val="en-US" w:eastAsia="zh-CN" w:bidi="ar"/>
          <w14:textFill>
            <w14:solidFill>
              <w14:schemeClr w14:val="tx1"/>
            </w14:solidFill>
          </w14:textFill>
        </w:rPr>
      </w:pPr>
    </w:p>
    <w:p w14:paraId="640C5549">
      <w:pPr>
        <w:spacing w:after="156" w:afterLines="50"/>
        <w:rPr>
          <w:sz w:val="20"/>
          <w:szCs w:val="20"/>
          <w:lang w:bidi="ar"/>
        </w:rPr>
      </w:pPr>
      <w:bookmarkStart w:id="0" w:name="_Hlk191633444"/>
      <w:bookmarkStart w:id="1" w:name="_Hlk179466246"/>
      <w:r>
        <w:rPr>
          <w:rFonts w:ascii="Times New Roman" w:hAnsi="Times New Roman"/>
          <w:b/>
          <w:bCs/>
          <w:sz w:val="20"/>
          <w:szCs w:val="20"/>
          <w:lang w:bidi="ar"/>
        </w:rPr>
        <w:t>Copyright</w:t>
      </w:r>
      <w:r>
        <w:rPr>
          <w:rFonts w:ascii="Times New Roman" w:hAnsi="Times New Roman"/>
          <w:sz w:val="20"/>
          <w:szCs w:val="20"/>
          <w:lang w:bidi="ar"/>
        </w:rPr>
        <w:t>: © 2025 Author(s). This is an open-access article distributed under the terms of the Creative Commons Attribution License (CC BY 4.0), permitting distribution and reproduction in any medium, provided the original work is cited.</w:t>
      </w:r>
      <w:bookmarkEnd w:id="0"/>
      <w:bookmarkEnd w:id="1"/>
    </w:p>
    <w:p w14:paraId="569E361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color w:val="000000" w:themeColor="text1"/>
          <w:kern w:val="2"/>
          <w:sz w:val="24"/>
          <w:szCs w:val="24"/>
          <w:lang w:val="en-US" w:eastAsia="zh-CN" w:bidi="ar"/>
          <w14:textFill>
            <w14:solidFill>
              <w14:schemeClr w14:val="tx1"/>
            </w14:solidFill>
          </w14:textFill>
        </w:rPr>
      </w:pPr>
    </w:p>
    <w:p w14:paraId="1BFDCBF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b w:val="0"/>
          <w:bCs w:val="0"/>
          <w:snapToGrid w:val="0"/>
          <w:color w:val="000000"/>
          <w:kern w:val="2"/>
          <w:sz w:val="24"/>
          <w:szCs w:val="24"/>
          <w:lang w:val="en-US" w:eastAsia="zh-CN" w:bidi="ar"/>
        </w:rPr>
      </w:pPr>
      <w:r>
        <w:rPr>
          <w:rFonts w:hint="default" w:ascii="Times New Roman" w:hAnsi="Times New Roman" w:cs="Times New Roman" w:eastAsiaTheme="minorEastAsia"/>
          <w:b/>
          <w:bCs/>
          <w:snapToGrid w:val="0"/>
          <w:color w:val="000000"/>
          <w:kern w:val="2"/>
          <w:sz w:val="24"/>
          <w:szCs w:val="24"/>
          <w:lang w:val="en-US" w:eastAsia="zh-CN" w:bidi="ar"/>
        </w:rPr>
        <w:t>Abstract</w:t>
      </w:r>
      <w:r>
        <w:rPr>
          <w:rFonts w:hint="default" w:ascii="Times New Roman" w:hAnsi="Times New Roman" w:cs="Times New Roman"/>
          <w:b/>
          <w:bCs/>
          <w:snapToGrid w:val="0"/>
          <w:color w:val="000000"/>
          <w:kern w:val="2"/>
          <w:sz w:val="24"/>
          <w:szCs w:val="24"/>
          <w:lang w:val="en-US" w:eastAsia="zh-CN" w:bidi="ar"/>
        </w:rPr>
        <w:t xml:space="preserve">: </w:t>
      </w:r>
      <w:r>
        <w:rPr>
          <w:rFonts w:hint="default" w:ascii="Times New Roman" w:hAnsi="Times New Roman" w:cs="Times New Roman" w:eastAsiaTheme="minorEastAsia"/>
          <w:b w:val="0"/>
          <w:bCs w:val="0"/>
          <w:i/>
          <w:iCs/>
          <w:snapToGrid w:val="0"/>
          <w:color w:val="000000"/>
          <w:kern w:val="2"/>
          <w:sz w:val="24"/>
          <w:szCs w:val="24"/>
          <w:lang w:val="en-US" w:eastAsia="zh-CN" w:bidi="ar"/>
        </w:rPr>
        <w:t>Objective:</w:t>
      </w:r>
      <w:r>
        <w:rPr>
          <w:rFonts w:hint="default" w:ascii="Times New Roman" w:hAnsi="Times New Roman" w:cs="Times New Roman" w:eastAsiaTheme="minorEastAsia"/>
          <w:b w:val="0"/>
          <w:bCs w:val="0"/>
          <w:snapToGrid w:val="0"/>
          <w:color w:val="000000"/>
          <w:kern w:val="2"/>
          <w:sz w:val="24"/>
          <w:szCs w:val="24"/>
          <w:lang w:val="en-US" w:eastAsia="zh-CN" w:bidi="ar"/>
        </w:rPr>
        <w:t xml:space="preserve"> To investigate the clinical efficacy of mobile moxibustion cupping combined with electroacupuncture in patients with wind-cold-dampness scapulohumeral periarthritis. </w:t>
      </w:r>
      <w:r>
        <w:rPr>
          <w:rFonts w:hint="default" w:ascii="Times New Roman" w:hAnsi="Times New Roman" w:cs="Times New Roman" w:eastAsiaTheme="minorEastAsia"/>
          <w:b w:val="0"/>
          <w:bCs w:val="0"/>
          <w:i/>
          <w:iCs/>
          <w:snapToGrid w:val="0"/>
          <w:color w:val="000000"/>
          <w:kern w:val="2"/>
          <w:sz w:val="24"/>
          <w:szCs w:val="24"/>
          <w:lang w:val="en-US" w:eastAsia="zh-CN" w:bidi="ar"/>
        </w:rPr>
        <w:t xml:space="preserve">Methods: </w:t>
      </w:r>
      <w:r>
        <w:rPr>
          <w:rFonts w:hint="default" w:ascii="Times New Roman" w:hAnsi="Times New Roman" w:cs="Times New Roman" w:eastAsiaTheme="minorEastAsia"/>
          <w:b w:val="0"/>
          <w:bCs w:val="0"/>
          <w:snapToGrid w:val="0"/>
          <w:color w:val="000000"/>
          <w:kern w:val="2"/>
          <w:sz w:val="24"/>
          <w:szCs w:val="24"/>
          <w:lang w:val="en-US" w:eastAsia="zh-CN" w:bidi="ar"/>
        </w:rPr>
        <w:t xml:space="preserve">A total of 70 patients with wind-cold-dampness scapulohumeral periarthritis treated in the orthopedic department of our hospital from September 2023 to January 2024 were enrolled and divided into two groups via random number table, with 35 cases in each group. The control group received electroacupuncture monotherapy, while the observation group was treated with additional mobile moxibustion cupping. Shoulder VAS pain score, Constant-Murley shoulder function score, WHOQOL-BREF quality of life score and TCM syndrome score were compared before and after treatment; the total effective rate and adverse reactions were recorded. </w:t>
      </w:r>
      <w:r>
        <w:rPr>
          <w:rFonts w:hint="default" w:ascii="Times New Roman" w:hAnsi="Times New Roman" w:cs="Times New Roman" w:eastAsiaTheme="minorEastAsia"/>
          <w:b w:val="0"/>
          <w:bCs w:val="0"/>
          <w:i/>
          <w:iCs/>
          <w:snapToGrid w:val="0"/>
          <w:color w:val="000000"/>
          <w:kern w:val="2"/>
          <w:sz w:val="24"/>
          <w:szCs w:val="24"/>
          <w:lang w:val="en-US" w:eastAsia="zh-CN" w:bidi="ar"/>
        </w:rPr>
        <w:t>Results:</w:t>
      </w:r>
      <w:r>
        <w:rPr>
          <w:rFonts w:hint="default" w:ascii="Times New Roman" w:hAnsi="Times New Roman" w:cs="Times New Roman" w:eastAsiaTheme="minorEastAsia"/>
          <w:b w:val="0"/>
          <w:bCs w:val="0"/>
          <w:snapToGrid w:val="0"/>
          <w:color w:val="000000"/>
          <w:kern w:val="2"/>
          <w:sz w:val="24"/>
          <w:szCs w:val="24"/>
          <w:lang w:val="en-US" w:eastAsia="zh-CN" w:bidi="ar"/>
        </w:rPr>
        <w:t xml:space="preserve"> No statistically significant intergroup differences were found in all baseline indicators before intervention (</w:t>
      </w:r>
      <w:r>
        <w:rPr>
          <w:rFonts w:hint="default" w:ascii="Times New Roman" w:hAnsi="Times New Roman" w:cs="Times New Roman" w:eastAsiaTheme="minorEastAsia"/>
          <w:b w:val="0"/>
          <w:bCs w:val="0"/>
          <w:i/>
          <w:iCs/>
          <w:snapToGrid w:val="0"/>
          <w:color w:val="000000"/>
          <w:kern w:val="2"/>
          <w:sz w:val="24"/>
          <w:szCs w:val="24"/>
          <w:lang w:val="en-US" w:eastAsia="zh-CN" w:bidi="ar"/>
        </w:rPr>
        <w:t>P</w:t>
      </w:r>
      <w:r>
        <w:rPr>
          <w:rFonts w:hint="default" w:ascii="Times New Roman" w:hAnsi="Times New Roman" w:cs="Times New Roman" w:eastAsiaTheme="minorEastAsia"/>
          <w:b w:val="0"/>
          <w:bCs w:val="0"/>
          <w:snapToGrid w:val="0"/>
          <w:color w:val="000000"/>
          <w:kern w:val="2"/>
          <w:sz w:val="24"/>
          <w:szCs w:val="24"/>
          <w:lang w:val="en-US" w:eastAsia="zh-CN" w:bidi="ar"/>
        </w:rPr>
        <w:t>＞0.05). After treatment, the observation group obtained higher Constant-Murley and quality of life scores, as well as lower VAS and TCM syndrome scores than the control group (</w:t>
      </w:r>
      <w:r>
        <w:rPr>
          <w:rFonts w:hint="default" w:ascii="Times New Roman" w:hAnsi="Times New Roman" w:cs="Times New Roman" w:eastAsiaTheme="minorEastAsia"/>
          <w:b w:val="0"/>
          <w:bCs w:val="0"/>
          <w:i/>
          <w:iCs/>
          <w:snapToGrid w:val="0"/>
          <w:color w:val="000000"/>
          <w:kern w:val="2"/>
          <w:sz w:val="24"/>
          <w:szCs w:val="24"/>
          <w:lang w:val="en-US" w:eastAsia="zh-CN" w:bidi="ar"/>
        </w:rPr>
        <w:t>P</w:t>
      </w:r>
      <w:r>
        <w:rPr>
          <w:rFonts w:hint="default" w:ascii="Times New Roman" w:hAnsi="Times New Roman" w:cs="Times New Roman" w:eastAsiaTheme="minorEastAsia"/>
          <w:b w:val="0"/>
          <w:bCs w:val="0"/>
          <w:snapToGrid w:val="0"/>
          <w:color w:val="000000"/>
          <w:kern w:val="2"/>
          <w:sz w:val="24"/>
          <w:szCs w:val="24"/>
          <w:lang w:val="en-US" w:eastAsia="zh-CN" w:bidi="ar"/>
        </w:rPr>
        <w:t>＜0.05). All indicators in both groups were significantly improved compared with baseline (</w:t>
      </w:r>
      <w:r>
        <w:rPr>
          <w:rFonts w:hint="default" w:ascii="Times New Roman" w:hAnsi="Times New Roman" w:cs="Times New Roman" w:eastAsiaTheme="minorEastAsia"/>
          <w:b w:val="0"/>
          <w:bCs w:val="0"/>
          <w:i/>
          <w:iCs/>
          <w:snapToGrid w:val="0"/>
          <w:color w:val="000000"/>
          <w:kern w:val="2"/>
          <w:sz w:val="24"/>
          <w:szCs w:val="24"/>
          <w:lang w:val="en-US" w:eastAsia="zh-CN" w:bidi="ar"/>
        </w:rPr>
        <w:t>P</w:t>
      </w:r>
      <w:r>
        <w:rPr>
          <w:rFonts w:hint="default" w:ascii="Times New Roman" w:hAnsi="Times New Roman" w:cs="Times New Roman" w:eastAsiaTheme="minorEastAsia"/>
          <w:b w:val="0"/>
          <w:bCs w:val="0"/>
          <w:snapToGrid w:val="0"/>
          <w:color w:val="000000"/>
          <w:kern w:val="2"/>
          <w:sz w:val="24"/>
          <w:szCs w:val="24"/>
          <w:lang w:val="en-US" w:eastAsia="zh-CN" w:bidi="ar"/>
        </w:rPr>
        <w:t>＜0.05). The total effective rate reached 94.29% in the observation group, which was remarkably higher than 77.14% of the control group (</w:t>
      </w:r>
      <w:r>
        <w:rPr>
          <w:rFonts w:hint="default" w:ascii="Times New Roman" w:hAnsi="Times New Roman" w:cs="Times New Roman" w:eastAsiaTheme="minorEastAsia"/>
          <w:b w:val="0"/>
          <w:bCs w:val="0"/>
          <w:i/>
          <w:iCs/>
          <w:snapToGrid w:val="0"/>
          <w:color w:val="000000"/>
          <w:kern w:val="2"/>
          <w:sz w:val="24"/>
          <w:szCs w:val="24"/>
          <w:lang w:val="en-US" w:eastAsia="zh-CN" w:bidi="ar"/>
        </w:rPr>
        <w:t>P</w:t>
      </w:r>
      <w:r>
        <w:rPr>
          <w:rFonts w:hint="default" w:ascii="Times New Roman" w:hAnsi="Times New Roman" w:cs="Times New Roman" w:eastAsiaTheme="minorEastAsia"/>
          <w:b w:val="0"/>
          <w:bCs w:val="0"/>
          <w:snapToGrid w:val="0"/>
          <w:color w:val="000000"/>
          <w:kern w:val="2"/>
          <w:sz w:val="24"/>
          <w:szCs w:val="24"/>
          <w:lang w:val="en-US" w:eastAsia="zh-CN" w:bidi="ar"/>
        </w:rPr>
        <w:t xml:space="preserve">＜0.05). No adverse reactions such as skin scald, acupuncture syncope or allergy occurred during treatment. </w:t>
      </w:r>
      <w:r>
        <w:rPr>
          <w:rFonts w:hint="default" w:ascii="Times New Roman" w:hAnsi="Times New Roman" w:cs="Times New Roman" w:eastAsiaTheme="minorEastAsia"/>
          <w:b w:val="0"/>
          <w:bCs w:val="0"/>
          <w:i/>
          <w:iCs/>
          <w:snapToGrid w:val="0"/>
          <w:color w:val="000000"/>
          <w:kern w:val="2"/>
          <w:sz w:val="24"/>
          <w:szCs w:val="24"/>
          <w:lang w:val="en-US" w:eastAsia="zh-CN" w:bidi="ar"/>
        </w:rPr>
        <w:t>Conclusion:</w:t>
      </w:r>
      <w:r>
        <w:rPr>
          <w:rFonts w:hint="default" w:ascii="Times New Roman" w:hAnsi="Times New Roman" w:cs="Times New Roman" w:eastAsiaTheme="minorEastAsia"/>
          <w:b w:val="0"/>
          <w:bCs w:val="0"/>
          <w:snapToGrid w:val="0"/>
          <w:color w:val="000000"/>
          <w:kern w:val="2"/>
          <w:sz w:val="24"/>
          <w:szCs w:val="24"/>
          <w:lang w:val="en-US" w:eastAsia="zh-CN" w:bidi="ar"/>
        </w:rPr>
        <w:t xml:space="preserve"> Combined therapy of mobile moxibustion cupping and electroacupuncture can relieve shoulder pain, ameliorate shoulder mobility and wind-cold-dampness TCM symptoms, and improve patients’ daily function and quality of life. With superior efficacy and high safety, this combined regimen is worthy of clinical promotion.</w:t>
      </w:r>
    </w:p>
    <w:p w14:paraId="7A8B658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color w:val="000000"/>
          <w:kern w:val="2"/>
          <w:sz w:val="24"/>
          <w:szCs w:val="24"/>
          <w:lang w:val="en-US" w:eastAsia="zh-CN" w:bidi="ar"/>
        </w:rPr>
      </w:pPr>
      <w:r>
        <w:rPr>
          <w:rFonts w:hint="default" w:ascii="Times New Roman" w:hAnsi="Times New Roman" w:cs="Times New Roman" w:eastAsiaTheme="minorEastAsia"/>
          <w:b/>
          <w:bCs/>
          <w:snapToGrid w:val="0"/>
          <w:color w:val="000000"/>
          <w:kern w:val="2"/>
          <w:sz w:val="24"/>
          <w:szCs w:val="24"/>
          <w:lang w:val="en-US" w:eastAsia="zh-CN" w:bidi="ar"/>
        </w:rPr>
        <w:t xml:space="preserve">Keywords: </w:t>
      </w:r>
      <w:r>
        <w:rPr>
          <w:rFonts w:hint="eastAsia" w:ascii="Times New Roman" w:hAnsi="Times New Roman" w:cs="Times New Roman"/>
          <w:snapToGrid w:val="0"/>
          <w:color w:val="000000"/>
          <w:kern w:val="2"/>
          <w:sz w:val="24"/>
          <w:szCs w:val="24"/>
          <w:lang w:val="en-US" w:eastAsia="zh-CN" w:bidi="ar"/>
        </w:rPr>
        <w:t>M</w:t>
      </w:r>
      <w:r>
        <w:rPr>
          <w:rFonts w:hint="default" w:ascii="Times New Roman" w:hAnsi="Times New Roman" w:cs="Times New Roman" w:eastAsiaTheme="minorEastAsia"/>
          <w:snapToGrid w:val="0"/>
          <w:color w:val="000000"/>
          <w:kern w:val="2"/>
          <w:sz w:val="24"/>
          <w:szCs w:val="24"/>
          <w:lang w:val="en-US" w:eastAsia="zh-CN" w:bidi="ar"/>
        </w:rPr>
        <w:t xml:space="preserve">obile moxibustion cupping; </w:t>
      </w:r>
      <w:r>
        <w:rPr>
          <w:rFonts w:hint="eastAsia" w:ascii="Times New Roman" w:hAnsi="Times New Roman" w:cs="Times New Roman"/>
          <w:snapToGrid w:val="0"/>
          <w:color w:val="000000"/>
          <w:kern w:val="2"/>
          <w:sz w:val="24"/>
          <w:szCs w:val="24"/>
          <w:lang w:val="en-US" w:eastAsia="zh-CN" w:bidi="ar"/>
        </w:rPr>
        <w:t>E</w:t>
      </w:r>
      <w:r>
        <w:rPr>
          <w:rFonts w:hint="default" w:ascii="Times New Roman" w:hAnsi="Times New Roman" w:cs="Times New Roman" w:eastAsiaTheme="minorEastAsia"/>
          <w:snapToGrid w:val="0"/>
          <w:color w:val="000000"/>
          <w:kern w:val="2"/>
          <w:sz w:val="24"/>
          <w:szCs w:val="24"/>
          <w:lang w:val="en-US" w:eastAsia="zh-CN" w:bidi="ar"/>
        </w:rPr>
        <w:t>lectroacupuncture; Wind-cold-dampness type; Adhesive capsulitis</w:t>
      </w:r>
    </w:p>
    <w:p w14:paraId="63516D4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color w:val="000000"/>
          <w:kern w:val="2"/>
          <w:sz w:val="24"/>
          <w:szCs w:val="24"/>
          <w:lang w:val="en-US" w:eastAsia="zh-CN" w:bidi="ar"/>
        </w:rPr>
      </w:pPr>
      <w:bookmarkStart w:id="5" w:name="_GoBack"/>
      <w:bookmarkEnd w:id="5"/>
    </w:p>
    <w:p w14:paraId="29F50FA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color w:val="000000"/>
          <w:kern w:val="2"/>
          <w:sz w:val="24"/>
          <w:szCs w:val="24"/>
          <w:lang w:val="en-US" w:eastAsia="zh-CN" w:bidi="ar"/>
        </w:rPr>
      </w:pPr>
    </w:p>
    <w:p w14:paraId="181C467E">
      <w:pPr>
        <w:rPr>
          <w:rFonts w:ascii="Times New Roman" w:hAnsi="Times New Roman"/>
          <w:b/>
          <w:bCs/>
          <w:color w:val="000000"/>
          <w:sz w:val="20"/>
          <w:szCs w:val="20"/>
        </w:rPr>
      </w:pPr>
      <w:bookmarkStart w:id="2" w:name="_Hlk172733240"/>
      <w:r>
        <w:rPr>
          <w:rFonts w:ascii="Times New Roman" w:hAnsi="Times New Roman"/>
          <w:b/>
          <w:bCs/>
          <w:color w:val="000000"/>
          <w:sz w:val="20"/>
          <w:szCs w:val="20"/>
        </w:rPr>
        <w:t>Online publication:</w:t>
      </w:r>
    </w:p>
    <w:bookmarkEnd w:id="2"/>
    <w:p w14:paraId="61E40B99">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kern w:val="2"/>
          <w:sz w:val="24"/>
          <w:szCs w:val="24"/>
        </w:rPr>
      </w:pPr>
    </w:p>
    <w:p w14:paraId="0FD4DA51">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b/>
          <w:bCs/>
          <w:snapToGrid w:val="0"/>
          <w:kern w:val="2"/>
          <w:sz w:val="24"/>
          <w:szCs w:val="24"/>
          <w:lang w:val="en-US" w:eastAsia="zh-CN"/>
        </w:rPr>
      </w:pPr>
      <w:r>
        <w:rPr>
          <w:rFonts w:hint="eastAsia" w:ascii="Times New Roman" w:hAnsi="Times New Roman" w:cs="Times New Roman"/>
          <w:b/>
          <w:bCs/>
          <w:snapToGrid w:val="0"/>
          <w:kern w:val="2"/>
          <w:sz w:val="24"/>
          <w:szCs w:val="24"/>
          <w:lang w:val="en-US" w:eastAsia="zh-CN"/>
        </w:rPr>
        <w:t>1. Introduction</w:t>
      </w:r>
    </w:p>
    <w:p w14:paraId="56E6D161">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kern w:val="2"/>
          <w:sz w:val="24"/>
          <w:szCs w:val="24"/>
        </w:rPr>
      </w:pPr>
      <w:r>
        <w:rPr>
          <w:rFonts w:hint="default" w:ascii="Times New Roman" w:hAnsi="Times New Roman" w:cs="Times New Roman" w:eastAsiaTheme="minorEastAsia"/>
          <w:snapToGrid w:val="0"/>
          <w:kern w:val="2"/>
          <w:sz w:val="24"/>
          <w:szCs w:val="24"/>
        </w:rPr>
        <w:t xml:space="preserve">Periarthritis of shoulder, commonly seen in middle-aged and elderly individuals over 50 years old, has an incidence rate of 2%-5%, with a slightly higher prevalence in females than males. In traditional Chinese medicine (TCM) syndrome differentiation, the wind-cold-dampness type of periarthritis of shoulder is the predominant type, caused by exposure to wind, cold, and dampness pathogens, leading to impaired circulation of qi and blood and malnourishment of tendons and vessels </w:t>
      </w:r>
      <w:r>
        <w:rPr>
          <w:rFonts w:hint="default" w:ascii="Times New Roman" w:hAnsi="Times New Roman" w:cs="Times New Roman" w:eastAsiaTheme="minorEastAsia"/>
          <w:snapToGrid w:val="0"/>
          <w:kern w:val="2"/>
          <w:sz w:val="24"/>
          <w:szCs w:val="24"/>
          <w:vertAlign w:val="superscript"/>
        </w:rPr>
        <w:t>[1]</w:t>
      </w:r>
      <w:r>
        <w:rPr>
          <w:rFonts w:hint="default" w:ascii="Times New Roman" w:hAnsi="Times New Roman" w:cs="Times New Roman" w:eastAsiaTheme="minorEastAsia"/>
          <w:snapToGrid w:val="0"/>
          <w:kern w:val="2"/>
          <w:sz w:val="24"/>
          <w:szCs w:val="24"/>
        </w:rPr>
        <w:t xml:space="preserve">. Electroacupuncture, which combines traditional acupuncture with modern electrical stimulation techniques, can effectively alleviate pain and improve shoulder joint function in periarthritis of shoulder. Despite its good efficacy, electroacupuncture has limited effects in improving TCM syndromes and enhancing quality of life for patients with the wind-cold-dampness type </w:t>
      </w:r>
      <w:r>
        <w:rPr>
          <w:rFonts w:hint="default" w:ascii="Times New Roman" w:hAnsi="Times New Roman" w:cs="Times New Roman" w:eastAsiaTheme="minorEastAsia"/>
          <w:snapToGrid w:val="0"/>
          <w:kern w:val="2"/>
          <w:sz w:val="24"/>
          <w:szCs w:val="24"/>
          <w:vertAlign w:val="superscript"/>
        </w:rPr>
        <w:t>[2]</w:t>
      </w:r>
      <w:r>
        <w:rPr>
          <w:rFonts w:hint="default" w:ascii="Times New Roman" w:hAnsi="Times New Roman" w:cs="Times New Roman" w:eastAsiaTheme="minorEastAsia"/>
          <w:snapToGrid w:val="0"/>
          <w:kern w:val="2"/>
          <w:sz w:val="24"/>
          <w:szCs w:val="24"/>
        </w:rPr>
        <w:t xml:space="preserve">. The roaming moxibustion cupping method is a TCM treatment that combines moxibustion and cupping, which can warm and unblock the meridians, expel wind and cold, and promote blood circulation to remove blood stasis, making it particularly suitable for patients with cold-dampness obstruction </w:t>
      </w:r>
      <w:r>
        <w:rPr>
          <w:rFonts w:hint="default" w:ascii="Times New Roman" w:hAnsi="Times New Roman" w:cs="Times New Roman" w:eastAsiaTheme="minorEastAsia"/>
          <w:snapToGrid w:val="0"/>
          <w:kern w:val="2"/>
          <w:sz w:val="24"/>
          <w:szCs w:val="24"/>
          <w:vertAlign w:val="superscript"/>
        </w:rPr>
        <w:t>[3]</w:t>
      </w:r>
      <w:r>
        <w:rPr>
          <w:rFonts w:hint="default" w:ascii="Times New Roman" w:hAnsi="Times New Roman" w:cs="Times New Roman" w:eastAsiaTheme="minorEastAsia"/>
          <w:snapToGrid w:val="0"/>
          <w:kern w:val="2"/>
          <w:sz w:val="24"/>
          <w:szCs w:val="24"/>
        </w:rPr>
        <w:t>. However, there is limited research on the wind-cold-dampness type of periarthritis of shoulder, and most studies have not delved deeply into syndrome-based TCM treatments. This study aims to observe the clinical effects of the roaming moxibustion cupping method combined with electroacupuncture on the wind-cold-dampness type of periarthritis of shoulder, compare its differences with electroacupuncture alone in alleviating pain, improving shoulder joint function, and enhancing quality of life, and explore the advantages of the roaming moxibustion cupping method in treating this condition, providing new methods and theoretical bases for clinical treatment.</w:t>
      </w:r>
    </w:p>
    <w:p w14:paraId="6B2B0E0F">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kern w:val="2"/>
          <w:sz w:val="24"/>
          <w:szCs w:val="24"/>
        </w:rPr>
      </w:pPr>
    </w:p>
    <w:p w14:paraId="7F063DC1">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b/>
          <w:bCs/>
          <w:snapToGrid w:val="0"/>
          <w:kern w:val="2"/>
          <w:sz w:val="24"/>
          <w:szCs w:val="24"/>
        </w:rPr>
      </w:pPr>
      <w:r>
        <w:rPr>
          <w:rFonts w:hint="eastAsia" w:ascii="Times New Roman" w:hAnsi="Times New Roman" w:cs="Times New Roman"/>
          <w:b/>
          <w:bCs/>
          <w:snapToGrid w:val="0"/>
          <w:kern w:val="2"/>
          <w:sz w:val="24"/>
          <w:szCs w:val="24"/>
          <w:lang w:val="en-US" w:eastAsia="zh-CN"/>
        </w:rPr>
        <w:t>2</w:t>
      </w:r>
      <w:r>
        <w:rPr>
          <w:rFonts w:hint="default" w:ascii="Times New Roman" w:hAnsi="Times New Roman" w:cs="Times New Roman"/>
          <w:b/>
          <w:bCs/>
          <w:snapToGrid w:val="0"/>
          <w:kern w:val="2"/>
          <w:sz w:val="24"/>
          <w:szCs w:val="24"/>
          <w:lang w:val="en-US" w:eastAsia="zh-CN"/>
        </w:rPr>
        <w:t>.</w:t>
      </w:r>
      <w:r>
        <w:rPr>
          <w:rFonts w:hint="default" w:ascii="Times New Roman" w:hAnsi="Times New Roman" w:cs="Times New Roman" w:eastAsiaTheme="minorEastAsia"/>
          <w:b/>
          <w:bCs/>
          <w:snapToGrid w:val="0"/>
          <w:kern w:val="2"/>
          <w:sz w:val="24"/>
          <w:szCs w:val="24"/>
        </w:rPr>
        <w:t xml:space="preserve"> Materials and </w:t>
      </w:r>
      <w:r>
        <w:rPr>
          <w:rFonts w:hint="eastAsia" w:ascii="Times New Roman" w:hAnsi="Times New Roman" w:cs="Times New Roman"/>
          <w:b/>
          <w:bCs/>
          <w:snapToGrid w:val="0"/>
          <w:kern w:val="2"/>
          <w:sz w:val="24"/>
          <w:szCs w:val="24"/>
          <w:lang w:val="en-US" w:eastAsia="zh-CN"/>
        </w:rPr>
        <w:t>m</w:t>
      </w:r>
      <w:r>
        <w:rPr>
          <w:rFonts w:hint="default" w:ascii="Times New Roman" w:hAnsi="Times New Roman" w:cs="Times New Roman" w:eastAsiaTheme="minorEastAsia"/>
          <w:b/>
          <w:bCs/>
          <w:snapToGrid w:val="0"/>
          <w:kern w:val="2"/>
          <w:sz w:val="24"/>
          <w:szCs w:val="24"/>
        </w:rPr>
        <w:t xml:space="preserve">ethods </w:t>
      </w:r>
    </w:p>
    <w:p w14:paraId="46B75360">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b/>
          <w:bCs/>
          <w:snapToGrid w:val="0"/>
          <w:kern w:val="2"/>
          <w:sz w:val="24"/>
          <w:szCs w:val="24"/>
        </w:rPr>
      </w:pPr>
      <w:r>
        <w:rPr>
          <w:rFonts w:hint="eastAsia" w:ascii="Times New Roman" w:hAnsi="Times New Roman" w:cs="Times New Roman"/>
          <w:b/>
          <w:bCs/>
          <w:snapToGrid w:val="0"/>
          <w:kern w:val="2"/>
          <w:sz w:val="24"/>
          <w:szCs w:val="24"/>
          <w:lang w:val="en-US" w:eastAsia="zh-CN"/>
        </w:rPr>
        <w:t>2</w:t>
      </w:r>
      <w:r>
        <w:rPr>
          <w:rFonts w:hint="default" w:ascii="Times New Roman" w:hAnsi="Times New Roman" w:cs="Times New Roman" w:eastAsiaTheme="minorEastAsia"/>
          <w:b/>
          <w:bCs/>
          <w:snapToGrid w:val="0"/>
          <w:kern w:val="2"/>
          <w:sz w:val="24"/>
          <w:szCs w:val="24"/>
        </w:rPr>
        <w:t>.1</w:t>
      </w:r>
      <w:r>
        <w:rPr>
          <w:rFonts w:hint="default" w:ascii="Times New Roman" w:hAnsi="Times New Roman" w:cs="Times New Roman"/>
          <w:b/>
          <w:bCs/>
          <w:snapToGrid w:val="0"/>
          <w:kern w:val="2"/>
          <w:sz w:val="24"/>
          <w:szCs w:val="24"/>
          <w:lang w:val="en-US" w:eastAsia="zh-CN"/>
        </w:rPr>
        <w:t>.</w:t>
      </w:r>
      <w:r>
        <w:rPr>
          <w:rFonts w:hint="default" w:ascii="Times New Roman" w:hAnsi="Times New Roman" w:cs="Times New Roman" w:eastAsiaTheme="minorEastAsia"/>
          <w:b/>
          <w:bCs/>
          <w:snapToGrid w:val="0"/>
          <w:kern w:val="2"/>
          <w:sz w:val="24"/>
          <w:szCs w:val="24"/>
        </w:rPr>
        <w:t xml:space="preserve"> General </w:t>
      </w:r>
      <w:r>
        <w:rPr>
          <w:rFonts w:hint="eastAsia" w:ascii="Times New Roman" w:hAnsi="Times New Roman" w:cs="Times New Roman"/>
          <w:b/>
          <w:bCs/>
          <w:snapToGrid w:val="0"/>
          <w:kern w:val="2"/>
          <w:sz w:val="24"/>
          <w:szCs w:val="24"/>
          <w:lang w:val="en-US" w:eastAsia="zh-CN"/>
        </w:rPr>
        <w:t>i</w:t>
      </w:r>
      <w:r>
        <w:rPr>
          <w:rFonts w:hint="default" w:ascii="Times New Roman" w:hAnsi="Times New Roman" w:cs="Times New Roman" w:eastAsiaTheme="minorEastAsia"/>
          <w:b/>
          <w:bCs/>
          <w:snapToGrid w:val="0"/>
          <w:kern w:val="2"/>
          <w:sz w:val="24"/>
          <w:szCs w:val="24"/>
        </w:rPr>
        <w:t xml:space="preserve">nformation </w:t>
      </w:r>
    </w:p>
    <w:p w14:paraId="6FC75F6F">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kern w:val="2"/>
          <w:sz w:val="24"/>
          <w:szCs w:val="24"/>
        </w:rPr>
      </w:pPr>
      <w:r>
        <w:rPr>
          <w:rFonts w:hint="default" w:ascii="Times New Roman" w:hAnsi="Times New Roman" w:cs="Times New Roman" w:eastAsiaTheme="minorEastAsia"/>
          <w:snapToGrid w:val="0"/>
          <w:kern w:val="2"/>
          <w:sz w:val="24"/>
          <w:szCs w:val="24"/>
        </w:rPr>
        <w:t>Seventy patients with the wind-cold-dampness type of periarthritis of shoulder admitted to Guangzhou Liwan District Orthopedic Hospital from September 2023 to January 2024 were selected as observation subjects. They were randomly divided into an observation group and a control group using a random number table method, with 35 cases in each group. The observation group consisted of 14 males and 21 females, with a mean age of (59.43±8.72) years and a mean disease duration of (4.48±0.71) months; the control group consisted of 15 males and 20 females, with a mean age of (58.96±8.94) years and a mean disease duration of (4.57±0.66) months. There were no statistically significant differences in age, gender, or disease duration between the two groups (</w:t>
      </w:r>
      <w:r>
        <w:rPr>
          <w:rFonts w:hint="default" w:ascii="Times New Roman" w:hAnsi="Times New Roman" w:cs="Times New Roman" w:eastAsiaTheme="minorEastAsia"/>
          <w:i/>
          <w:iCs/>
          <w:snapToGrid w:val="0"/>
          <w:kern w:val="2"/>
          <w:sz w:val="24"/>
          <w:szCs w:val="24"/>
        </w:rPr>
        <w:t>P</w:t>
      </w:r>
      <w:r>
        <w:rPr>
          <w:rFonts w:hint="default" w:ascii="Times New Roman" w:hAnsi="Times New Roman" w:cs="Times New Roman" w:eastAsiaTheme="minorEastAsia"/>
          <w:snapToGrid w:val="0"/>
          <w:kern w:val="2"/>
          <w:sz w:val="24"/>
          <w:szCs w:val="24"/>
        </w:rPr>
        <w:t xml:space="preserve">&gt;0.05), indicating comparability between the groups. </w:t>
      </w:r>
    </w:p>
    <w:p w14:paraId="44C8D3E0">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kern w:val="2"/>
          <w:sz w:val="24"/>
          <w:szCs w:val="24"/>
        </w:rPr>
      </w:pPr>
    </w:p>
    <w:p w14:paraId="3A91FA4A">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b/>
          <w:bCs/>
          <w:snapToGrid w:val="0"/>
          <w:kern w:val="2"/>
          <w:sz w:val="24"/>
          <w:szCs w:val="24"/>
        </w:rPr>
      </w:pPr>
      <w:r>
        <w:rPr>
          <w:rFonts w:hint="eastAsia" w:ascii="Times New Roman" w:hAnsi="Times New Roman" w:cs="Times New Roman"/>
          <w:b/>
          <w:bCs/>
          <w:snapToGrid w:val="0"/>
          <w:kern w:val="2"/>
          <w:sz w:val="24"/>
          <w:szCs w:val="24"/>
          <w:lang w:val="en-US" w:eastAsia="zh-CN"/>
        </w:rPr>
        <w:t>2</w:t>
      </w:r>
      <w:r>
        <w:rPr>
          <w:rFonts w:hint="default" w:ascii="Times New Roman" w:hAnsi="Times New Roman" w:cs="Times New Roman" w:eastAsiaTheme="minorEastAsia"/>
          <w:b/>
          <w:bCs/>
          <w:snapToGrid w:val="0"/>
          <w:kern w:val="2"/>
          <w:sz w:val="24"/>
          <w:szCs w:val="24"/>
        </w:rPr>
        <w:t>.1.1</w:t>
      </w:r>
      <w:r>
        <w:rPr>
          <w:rFonts w:hint="default" w:ascii="Times New Roman" w:hAnsi="Times New Roman" w:cs="Times New Roman"/>
          <w:b/>
          <w:bCs/>
          <w:snapToGrid w:val="0"/>
          <w:kern w:val="2"/>
          <w:sz w:val="24"/>
          <w:szCs w:val="24"/>
          <w:lang w:val="en-US" w:eastAsia="zh-CN"/>
        </w:rPr>
        <w:t>.</w:t>
      </w:r>
      <w:r>
        <w:rPr>
          <w:rFonts w:hint="default" w:ascii="Times New Roman" w:hAnsi="Times New Roman" w:cs="Times New Roman" w:eastAsiaTheme="minorEastAsia"/>
          <w:b/>
          <w:bCs/>
          <w:snapToGrid w:val="0"/>
          <w:kern w:val="2"/>
          <w:sz w:val="24"/>
          <w:szCs w:val="24"/>
        </w:rPr>
        <w:t xml:space="preserve"> Diagnostic </w:t>
      </w:r>
      <w:r>
        <w:rPr>
          <w:rFonts w:hint="eastAsia" w:ascii="Times New Roman" w:hAnsi="Times New Roman" w:cs="Times New Roman"/>
          <w:b/>
          <w:bCs/>
          <w:snapToGrid w:val="0"/>
          <w:kern w:val="2"/>
          <w:sz w:val="24"/>
          <w:szCs w:val="24"/>
          <w:lang w:val="en-US" w:eastAsia="zh-CN"/>
        </w:rPr>
        <w:t>c</w:t>
      </w:r>
      <w:r>
        <w:rPr>
          <w:rFonts w:hint="default" w:ascii="Times New Roman" w:hAnsi="Times New Roman" w:cs="Times New Roman" w:eastAsiaTheme="minorEastAsia"/>
          <w:b/>
          <w:bCs/>
          <w:snapToGrid w:val="0"/>
          <w:kern w:val="2"/>
          <w:sz w:val="24"/>
          <w:szCs w:val="24"/>
        </w:rPr>
        <w:t xml:space="preserve">riteria </w:t>
      </w:r>
    </w:p>
    <w:p w14:paraId="7E6C1120">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kern w:val="2"/>
          <w:sz w:val="24"/>
          <w:szCs w:val="24"/>
        </w:rPr>
      </w:pPr>
      <w:r>
        <w:rPr>
          <w:rFonts w:hint="default" w:ascii="Times New Roman" w:hAnsi="Times New Roman" w:cs="Times New Roman" w:eastAsiaTheme="minorEastAsia"/>
          <w:snapToGrid w:val="0"/>
          <w:kern w:val="2"/>
          <w:sz w:val="24"/>
          <w:szCs w:val="24"/>
        </w:rPr>
        <w:t xml:space="preserve">Western medicine diagnosis was based on the diagnostic criteria for periarthritis of shoulder in the 2016 edition of </w:t>
      </w:r>
      <w:r>
        <w:rPr>
          <w:rFonts w:hint="default" w:ascii="Times New Roman" w:hAnsi="Times New Roman" w:cs="Times New Roman"/>
          <w:snapToGrid w:val="0"/>
          <w:kern w:val="2"/>
          <w:sz w:val="24"/>
          <w:szCs w:val="24"/>
          <w:lang w:val="en-US" w:eastAsia="zh-CN"/>
        </w:rPr>
        <w:t>“</w:t>
      </w:r>
      <w:r>
        <w:rPr>
          <w:rFonts w:hint="default" w:ascii="Times New Roman" w:hAnsi="Times New Roman" w:cs="Times New Roman" w:eastAsiaTheme="minorEastAsia"/>
          <w:snapToGrid w:val="0"/>
          <w:kern w:val="2"/>
          <w:sz w:val="24"/>
          <w:szCs w:val="24"/>
        </w:rPr>
        <w:t>Practical Orthopedics</w:t>
      </w:r>
      <w:r>
        <w:rPr>
          <w:rFonts w:hint="default" w:ascii="Times New Roman" w:hAnsi="Times New Roman" w:cs="Times New Roman"/>
          <w:snapToGrid w:val="0"/>
          <w:kern w:val="2"/>
          <w:sz w:val="24"/>
          <w:szCs w:val="24"/>
          <w:lang w:val="en-US" w:eastAsia="zh-CN"/>
        </w:rPr>
        <w:t>”</w:t>
      </w:r>
      <w:r>
        <w:rPr>
          <w:rFonts w:hint="default" w:ascii="Times New Roman" w:hAnsi="Times New Roman" w:cs="Times New Roman" w:eastAsiaTheme="minorEastAsia"/>
          <w:snapToGrid w:val="0"/>
          <w:kern w:val="2"/>
          <w:sz w:val="24"/>
          <w:szCs w:val="24"/>
        </w:rPr>
        <w:t xml:space="preserve"> </w:t>
      </w:r>
      <w:r>
        <w:rPr>
          <w:rFonts w:hint="default" w:ascii="Times New Roman" w:hAnsi="Times New Roman" w:cs="Times New Roman" w:eastAsiaTheme="minorEastAsia"/>
          <w:snapToGrid w:val="0"/>
          <w:kern w:val="2"/>
          <w:sz w:val="24"/>
          <w:szCs w:val="24"/>
          <w:vertAlign w:val="superscript"/>
        </w:rPr>
        <w:t>[4]</w:t>
      </w:r>
      <w:r>
        <w:rPr>
          <w:rFonts w:hint="default" w:ascii="Times New Roman" w:hAnsi="Times New Roman" w:cs="Times New Roman" w:eastAsiaTheme="minorEastAsia"/>
          <w:snapToGrid w:val="0"/>
          <w:kern w:val="2"/>
          <w:sz w:val="24"/>
          <w:szCs w:val="24"/>
        </w:rPr>
        <w:t xml:space="preserve">; TCM diagnosis of wind-cold-dampness arthralgia syndrome was formulated according to the 2014 edition of </w:t>
      </w:r>
      <w:r>
        <w:rPr>
          <w:rFonts w:hint="default" w:ascii="Times New Roman" w:hAnsi="Times New Roman" w:cs="Times New Roman"/>
          <w:snapToGrid w:val="0"/>
          <w:kern w:val="2"/>
          <w:sz w:val="24"/>
          <w:szCs w:val="24"/>
          <w:lang w:val="en-US" w:eastAsia="zh-CN"/>
        </w:rPr>
        <w:t>“</w:t>
      </w:r>
      <w:r>
        <w:rPr>
          <w:rFonts w:hint="default" w:ascii="Times New Roman" w:hAnsi="Times New Roman" w:cs="Times New Roman" w:eastAsiaTheme="minorEastAsia"/>
          <w:snapToGrid w:val="0"/>
          <w:kern w:val="2"/>
          <w:sz w:val="24"/>
          <w:szCs w:val="24"/>
        </w:rPr>
        <w:t>TCM Tendon Injury Science</w:t>
      </w:r>
      <w:r>
        <w:rPr>
          <w:rFonts w:hint="default" w:ascii="Times New Roman" w:hAnsi="Times New Roman" w:cs="Times New Roman"/>
          <w:snapToGrid w:val="0"/>
          <w:kern w:val="2"/>
          <w:sz w:val="24"/>
          <w:szCs w:val="24"/>
          <w:lang w:val="en-US" w:eastAsia="zh-CN"/>
        </w:rPr>
        <w:t>”</w:t>
      </w:r>
      <w:r>
        <w:rPr>
          <w:rFonts w:hint="default" w:ascii="Times New Roman" w:hAnsi="Times New Roman" w:cs="Times New Roman" w:eastAsiaTheme="minorEastAsia"/>
          <w:snapToGrid w:val="0"/>
          <w:kern w:val="2"/>
          <w:sz w:val="24"/>
          <w:szCs w:val="24"/>
        </w:rPr>
        <w:t>: ① persistent soreness and cold pain in the shoulder joint, with aggravated pain after movement or traction; ② limited range of motion in shoulder abduction, rotation, and adduction; ③</w:t>
      </w:r>
      <w:r>
        <w:rPr>
          <w:rFonts w:hint="default" w:ascii="Times New Roman" w:hAnsi="Times New Roman" w:cs="Times New Roman"/>
          <w:snapToGrid w:val="0"/>
          <w:kern w:val="2"/>
          <w:sz w:val="24"/>
          <w:szCs w:val="24"/>
          <w:lang w:val="en-US" w:eastAsia="zh-CN"/>
        </w:rPr>
        <w:t xml:space="preserve"> </w:t>
      </w:r>
      <w:r>
        <w:rPr>
          <w:rFonts w:hint="default" w:ascii="Times New Roman" w:hAnsi="Times New Roman" w:cs="Times New Roman" w:eastAsiaTheme="minorEastAsia"/>
          <w:snapToGrid w:val="0"/>
          <w:kern w:val="2"/>
          <w:sz w:val="24"/>
          <w:szCs w:val="24"/>
        </w:rPr>
        <w:t xml:space="preserve">a subjective feeling of coldness and heaviness in the affected shoulder, with increased discomfort in rainy or cold weather; ④ white and greasy tongue coating, floating and tight or wiry and tight pulse, indicating cold-dampness stagnation in the meridians </w:t>
      </w:r>
      <w:r>
        <w:rPr>
          <w:rFonts w:hint="default" w:ascii="Times New Roman" w:hAnsi="Times New Roman" w:cs="Times New Roman" w:eastAsiaTheme="minorEastAsia"/>
          <w:snapToGrid w:val="0"/>
          <w:kern w:val="2"/>
          <w:sz w:val="24"/>
          <w:szCs w:val="24"/>
          <w:vertAlign w:val="superscript"/>
        </w:rPr>
        <w:t>[5]</w:t>
      </w:r>
      <w:r>
        <w:rPr>
          <w:rFonts w:hint="default" w:ascii="Times New Roman" w:hAnsi="Times New Roman" w:cs="Times New Roman" w:eastAsiaTheme="minorEastAsia"/>
          <w:snapToGrid w:val="0"/>
          <w:kern w:val="2"/>
          <w:sz w:val="24"/>
          <w:szCs w:val="24"/>
        </w:rPr>
        <w:t xml:space="preserve">. </w:t>
      </w:r>
    </w:p>
    <w:p w14:paraId="78C7D141">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kern w:val="2"/>
          <w:sz w:val="24"/>
          <w:szCs w:val="24"/>
        </w:rPr>
      </w:pPr>
    </w:p>
    <w:p w14:paraId="15AF7B88">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b/>
          <w:bCs/>
          <w:snapToGrid w:val="0"/>
          <w:kern w:val="2"/>
          <w:sz w:val="24"/>
          <w:szCs w:val="24"/>
        </w:rPr>
      </w:pPr>
      <w:r>
        <w:rPr>
          <w:rFonts w:hint="eastAsia" w:ascii="Times New Roman" w:hAnsi="Times New Roman" w:cs="Times New Roman"/>
          <w:b/>
          <w:bCs/>
          <w:snapToGrid w:val="0"/>
          <w:kern w:val="2"/>
          <w:sz w:val="24"/>
          <w:szCs w:val="24"/>
          <w:lang w:val="en-US" w:eastAsia="zh-CN"/>
        </w:rPr>
        <w:t>2</w:t>
      </w:r>
      <w:r>
        <w:rPr>
          <w:rFonts w:hint="default" w:ascii="Times New Roman" w:hAnsi="Times New Roman" w:cs="Times New Roman" w:eastAsiaTheme="minorEastAsia"/>
          <w:b/>
          <w:bCs/>
          <w:snapToGrid w:val="0"/>
          <w:kern w:val="2"/>
          <w:sz w:val="24"/>
          <w:szCs w:val="24"/>
        </w:rPr>
        <w:t>.1.2</w:t>
      </w:r>
      <w:r>
        <w:rPr>
          <w:rFonts w:hint="default" w:ascii="Times New Roman" w:hAnsi="Times New Roman" w:cs="Times New Roman"/>
          <w:b/>
          <w:bCs/>
          <w:snapToGrid w:val="0"/>
          <w:kern w:val="2"/>
          <w:sz w:val="24"/>
          <w:szCs w:val="24"/>
          <w:lang w:val="en-US" w:eastAsia="zh-CN"/>
        </w:rPr>
        <w:t>.</w:t>
      </w:r>
      <w:r>
        <w:rPr>
          <w:rFonts w:hint="default" w:ascii="Times New Roman" w:hAnsi="Times New Roman" w:cs="Times New Roman" w:eastAsiaTheme="minorEastAsia"/>
          <w:b/>
          <w:bCs/>
          <w:snapToGrid w:val="0"/>
          <w:kern w:val="2"/>
          <w:sz w:val="24"/>
          <w:szCs w:val="24"/>
        </w:rPr>
        <w:t xml:space="preserve"> Inclusion </w:t>
      </w:r>
      <w:r>
        <w:rPr>
          <w:rFonts w:hint="eastAsia" w:ascii="Times New Roman" w:hAnsi="Times New Roman" w:cs="Times New Roman"/>
          <w:b/>
          <w:bCs/>
          <w:snapToGrid w:val="0"/>
          <w:kern w:val="2"/>
          <w:sz w:val="24"/>
          <w:szCs w:val="24"/>
          <w:lang w:val="en-US" w:eastAsia="zh-CN"/>
        </w:rPr>
        <w:t>c</w:t>
      </w:r>
      <w:r>
        <w:rPr>
          <w:rFonts w:hint="default" w:ascii="Times New Roman" w:hAnsi="Times New Roman" w:cs="Times New Roman" w:eastAsiaTheme="minorEastAsia"/>
          <w:b/>
          <w:bCs/>
          <w:snapToGrid w:val="0"/>
          <w:kern w:val="2"/>
          <w:sz w:val="24"/>
          <w:szCs w:val="24"/>
        </w:rPr>
        <w:t xml:space="preserve">riteria </w:t>
      </w:r>
    </w:p>
    <w:p w14:paraId="50E49CC5">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kern w:val="2"/>
          <w:sz w:val="24"/>
          <w:szCs w:val="24"/>
        </w:rPr>
      </w:pPr>
      <w:r>
        <w:rPr>
          <w:rFonts w:hint="default" w:ascii="Times New Roman" w:hAnsi="Times New Roman" w:cs="Times New Roman" w:eastAsiaTheme="minorEastAsia"/>
          <w:snapToGrid w:val="0"/>
          <w:kern w:val="2"/>
          <w:sz w:val="24"/>
          <w:szCs w:val="24"/>
        </w:rPr>
        <w:t xml:space="preserve">① Meeting both the Western medicine and TCM diagnostic criteria for the wind-cold-dampness type of periarthritis of shoulder; ② aged between 45 and 70 years; ③ shoulder VAS pain score ≥4 points at enrollment; ④ voluntary participation in the study with signed informed consent, and able to cooperate with treatment and scale assessments throughout the study. </w:t>
      </w:r>
    </w:p>
    <w:p w14:paraId="024B3786">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kern w:val="2"/>
          <w:sz w:val="24"/>
          <w:szCs w:val="24"/>
        </w:rPr>
      </w:pPr>
    </w:p>
    <w:p w14:paraId="0701887E">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b/>
          <w:bCs/>
          <w:snapToGrid w:val="0"/>
          <w:kern w:val="2"/>
          <w:sz w:val="24"/>
          <w:szCs w:val="24"/>
        </w:rPr>
      </w:pPr>
      <w:r>
        <w:rPr>
          <w:rFonts w:hint="eastAsia" w:ascii="Times New Roman" w:hAnsi="Times New Roman" w:cs="Times New Roman"/>
          <w:b/>
          <w:bCs/>
          <w:snapToGrid w:val="0"/>
          <w:kern w:val="2"/>
          <w:sz w:val="24"/>
          <w:szCs w:val="24"/>
          <w:lang w:val="en-US" w:eastAsia="zh-CN"/>
        </w:rPr>
        <w:t>2</w:t>
      </w:r>
      <w:r>
        <w:rPr>
          <w:rFonts w:hint="default" w:ascii="Times New Roman" w:hAnsi="Times New Roman" w:cs="Times New Roman" w:eastAsiaTheme="minorEastAsia"/>
          <w:b/>
          <w:bCs/>
          <w:snapToGrid w:val="0"/>
          <w:kern w:val="2"/>
          <w:sz w:val="24"/>
          <w:szCs w:val="24"/>
        </w:rPr>
        <w:t>.1.3</w:t>
      </w:r>
      <w:r>
        <w:rPr>
          <w:rFonts w:hint="default" w:ascii="Times New Roman" w:hAnsi="Times New Roman" w:cs="Times New Roman"/>
          <w:b/>
          <w:bCs/>
          <w:snapToGrid w:val="0"/>
          <w:kern w:val="2"/>
          <w:sz w:val="24"/>
          <w:szCs w:val="24"/>
          <w:lang w:val="en-US" w:eastAsia="zh-CN"/>
        </w:rPr>
        <w:t>.</w:t>
      </w:r>
      <w:r>
        <w:rPr>
          <w:rFonts w:hint="default" w:ascii="Times New Roman" w:hAnsi="Times New Roman" w:cs="Times New Roman" w:eastAsiaTheme="minorEastAsia"/>
          <w:b/>
          <w:bCs/>
          <w:snapToGrid w:val="0"/>
          <w:kern w:val="2"/>
          <w:sz w:val="24"/>
          <w:szCs w:val="24"/>
        </w:rPr>
        <w:t xml:space="preserve"> Exclusion </w:t>
      </w:r>
      <w:r>
        <w:rPr>
          <w:rFonts w:hint="eastAsia" w:ascii="Times New Roman" w:hAnsi="Times New Roman" w:cs="Times New Roman"/>
          <w:b/>
          <w:bCs/>
          <w:snapToGrid w:val="0"/>
          <w:kern w:val="2"/>
          <w:sz w:val="24"/>
          <w:szCs w:val="24"/>
          <w:lang w:val="en-US" w:eastAsia="zh-CN"/>
        </w:rPr>
        <w:t>c</w:t>
      </w:r>
      <w:r>
        <w:rPr>
          <w:rFonts w:hint="default" w:ascii="Times New Roman" w:hAnsi="Times New Roman" w:cs="Times New Roman" w:eastAsiaTheme="minorEastAsia"/>
          <w:b/>
          <w:bCs/>
          <w:snapToGrid w:val="0"/>
          <w:kern w:val="2"/>
          <w:sz w:val="24"/>
          <w:szCs w:val="24"/>
        </w:rPr>
        <w:t xml:space="preserve">riteria </w:t>
      </w:r>
    </w:p>
    <w:p w14:paraId="657D1FD3">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kern w:val="2"/>
          <w:sz w:val="24"/>
          <w:szCs w:val="24"/>
        </w:rPr>
      </w:pPr>
      <w:r>
        <w:rPr>
          <w:rFonts w:hint="default" w:ascii="Times New Roman" w:hAnsi="Times New Roman" w:cs="Times New Roman" w:eastAsiaTheme="minorEastAsia"/>
          <w:snapToGrid w:val="0"/>
          <w:kern w:val="2"/>
          <w:sz w:val="24"/>
          <w:szCs w:val="24"/>
        </w:rPr>
        <w:t xml:space="preserve">① Periarthritis of shoulder of other syndromes, such as qi stagnation and blood stasis, qi and blood deficiency; ② concurrent other shoulder conditions, such as subacromial impingement, calcific rotator cuff tendinopathy, or shoulder dislocation; ③ previous shoulder fracture or surgery; ④ severe liver or kidney damage, uncontrolled severe diabetes, or other systemic underlying diseases; ⑤ mental cognitive impairment preventing cooperation with diagnosis and treatment; ⑥ skin damage or dermatitis around the shoulder, or intolerance to acupuncture or cupping treatments. </w:t>
      </w:r>
    </w:p>
    <w:p w14:paraId="57BAE6CA">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kern w:val="2"/>
          <w:sz w:val="24"/>
          <w:szCs w:val="24"/>
        </w:rPr>
      </w:pPr>
    </w:p>
    <w:p w14:paraId="711B1D1B">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b/>
          <w:bCs/>
          <w:snapToGrid w:val="0"/>
          <w:kern w:val="2"/>
          <w:sz w:val="24"/>
          <w:szCs w:val="24"/>
        </w:rPr>
      </w:pPr>
      <w:r>
        <w:rPr>
          <w:rFonts w:hint="eastAsia" w:ascii="Times New Roman" w:hAnsi="Times New Roman" w:cs="Times New Roman"/>
          <w:b/>
          <w:bCs/>
          <w:snapToGrid w:val="0"/>
          <w:kern w:val="2"/>
          <w:sz w:val="24"/>
          <w:szCs w:val="24"/>
          <w:lang w:val="en-US" w:eastAsia="zh-CN"/>
        </w:rPr>
        <w:t>2</w:t>
      </w:r>
      <w:r>
        <w:rPr>
          <w:rFonts w:hint="default" w:ascii="Times New Roman" w:hAnsi="Times New Roman" w:cs="Times New Roman" w:eastAsiaTheme="minorEastAsia"/>
          <w:b/>
          <w:bCs/>
          <w:snapToGrid w:val="0"/>
          <w:kern w:val="2"/>
          <w:sz w:val="24"/>
          <w:szCs w:val="24"/>
        </w:rPr>
        <w:t>.2</w:t>
      </w:r>
      <w:r>
        <w:rPr>
          <w:rFonts w:hint="default" w:ascii="Times New Roman" w:hAnsi="Times New Roman" w:cs="Times New Roman"/>
          <w:b/>
          <w:bCs/>
          <w:snapToGrid w:val="0"/>
          <w:kern w:val="2"/>
          <w:sz w:val="24"/>
          <w:szCs w:val="24"/>
          <w:lang w:val="en-US" w:eastAsia="zh-CN"/>
        </w:rPr>
        <w:t>.</w:t>
      </w:r>
      <w:r>
        <w:rPr>
          <w:rFonts w:hint="default" w:ascii="Times New Roman" w:hAnsi="Times New Roman" w:cs="Times New Roman" w:eastAsiaTheme="minorEastAsia"/>
          <w:b/>
          <w:bCs/>
          <w:snapToGrid w:val="0"/>
          <w:kern w:val="2"/>
          <w:sz w:val="24"/>
          <w:szCs w:val="24"/>
        </w:rPr>
        <w:t xml:space="preserve"> Methods </w:t>
      </w:r>
    </w:p>
    <w:p w14:paraId="732C3126">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kern w:val="2"/>
          <w:sz w:val="24"/>
          <w:szCs w:val="24"/>
        </w:rPr>
      </w:pPr>
      <w:r>
        <w:rPr>
          <w:rFonts w:hint="default" w:ascii="Times New Roman" w:hAnsi="Times New Roman" w:cs="Times New Roman" w:eastAsiaTheme="minorEastAsia"/>
          <w:snapToGrid w:val="0"/>
          <w:kern w:val="2"/>
          <w:sz w:val="24"/>
          <w:szCs w:val="24"/>
        </w:rPr>
        <w:t xml:space="preserve">Both groups of patients received electroacupuncture treatment and were instructed on precautions. The selected acupoints included Hegu, Jianzhen, Waiguan, Ashi points, Houxi, Tianzong, Jianjing, Jianyu, Quchi, and Jianneiling. During the operation, disposable sterile acupuncture needles (0.25×40 mm) were used. After achieving deqi, an electronic acupuncture device was used to apply sparse-dense wave electrical stimulation for 20 minutes each session, twice a week, for a total of 2 weeks. Both groups of patients were orally administered Celecoxib Capsules (Pfizer Pharmaceuticals Ltd.; registration number H20140107, 0.2 g), 0.2 g each time, once daily. The observation group received roaming moxibustion cupping treatment 15 minutes after electroacupuncture. </w:t>
      </w:r>
    </w:p>
    <w:p w14:paraId="36F4E240">
      <w:pPr>
        <w:keepNext w:val="0"/>
        <w:keepLines w:val="0"/>
        <w:pageBreakBefore w:val="0"/>
        <w:widowControl w:val="0"/>
        <w:kinsoku/>
        <w:wordWrap/>
        <w:overflowPunct/>
        <w:topLinePunct w:val="0"/>
        <w:autoSpaceDE/>
        <w:autoSpaceDN/>
        <w:bidi w:val="0"/>
        <w:adjustRightInd/>
        <w:snapToGrid w:val="0"/>
        <w:spacing w:line="240" w:lineRule="auto"/>
        <w:ind w:firstLine="480" w:firstLineChars="200"/>
        <w:textAlignment w:val="auto"/>
        <w:rPr>
          <w:rFonts w:hint="default" w:ascii="Times New Roman" w:hAnsi="Times New Roman" w:cs="Times New Roman" w:eastAsiaTheme="minorEastAsia"/>
          <w:snapToGrid w:val="0"/>
          <w:kern w:val="2"/>
          <w:sz w:val="24"/>
          <w:szCs w:val="24"/>
        </w:rPr>
      </w:pPr>
      <w:r>
        <w:rPr>
          <w:rFonts w:hint="default" w:ascii="Times New Roman" w:hAnsi="Times New Roman" w:cs="Times New Roman" w:eastAsiaTheme="minorEastAsia"/>
          <w:snapToGrid w:val="0"/>
          <w:kern w:val="2"/>
          <w:sz w:val="24"/>
          <w:szCs w:val="24"/>
        </w:rPr>
        <w:t xml:space="preserve">Roaming moxibustion cupping treatment in the observation group: </w:t>
      </w:r>
    </w:p>
    <w:p w14:paraId="12C721A9">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(1) Assess the patient</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s condition: understand the main symptoms, medical history, and pain tolerance; evaluate the skin condition at the operation site and confirm the patient</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 xml:space="preserve">s acceptance of the procedure. </w:t>
      </w:r>
    </w:p>
    <w:p w14:paraId="5306E950">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(2) Explain the principle and operation method of roaming moxibustion cupping, as well as measures to handle accidents. </w:t>
      </w:r>
    </w:p>
    <w:p w14:paraId="74C0003D">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(3) Prepare treatment instruments, including a lighter, Tianqi Die Da Feng Shi Cream, a treatment tray, a kidney-shaped tray, moxa sticks, adhesive tape, sterile gauze, and a cup of Arnebia Oil. </w:t>
      </w:r>
    </w:p>
    <w:p w14:paraId="3EEDE6E4">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(4) Instruct the patient to assume a comfortable position, expose the acupoints on the affected shoulder, apply Feng Shi Cream, and locate acupoints such as Jianjing, Jianliao, Jianyu, Jianqian, and Naoshu. Insert a moxa stick into the moxibustion cup, push it to the bottom, and ignite it. Perform suspended moxibustion on the corresponding acupoints, slowly moving the moxibustion cup to stimulate the acupoints, with each acupoint receiving suspended moxibustion for 1-2 minutes. Use your hand to feel the patient's skin temperature to avoid excessive heat. </w:t>
      </w:r>
    </w:p>
    <w:p w14:paraId="60A55A55">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(5) Use the warm cup mouth to push and roam the cup while applying pressure. Push and press the cup body vertically and horizontally on the treatment site until the skin becomes ruddy and congested. </w:t>
      </w:r>
    </w:p>
    <w:p w14:paraId="77DCB6F1">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(6) After treatment, inform the patient of precautions and instruct them to keep the affected area warm. Continuous treatment for 2 weeks, twice a week. </w:t>
      </w:r>
    </w:p>
    <w:p w14:paraId="4C75F0DD">
      <w:pPr>
        <w:ind w:left="420" w:hanging="420"/>
        <w:rPr>
          <w:rFonts w:hint="default" w:ascii="Times New Roman" w:hAnsi="Times New Roman" w:eastAsia="宋体" w:cs="Times New Roman"/>
          <w:sz w:val="24"/>
        </w:rPr>
      </w:pPr>
    </w:p>
    <w:p w14:paraId="0568675C">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b/>
          <w:bCs/>
          <w:snapToGrid w:val="0"/>
          <w:kern w:val="2"/>
          <w:sz w:val="24"/>
          <w:szCs w:val="24"/>
        </w:rPr>
      </w:pPr>
      <w:r>
        <w:rPr>
          <w:rFonts w:hint="eastAsia" w:ascii="Times New Roman" w:hAnsi="Times New Roman" w:cs="Times New Roman"/>
          <w:b/>
          <w:bCs/>
          <w:snapToGrid w:val="0"/>
          <w:kern w:val="2"/>
          <w:sz w:val="24"/>
          <w:szCs w:val="24"/>
          <w:lang w:val="en-US" w:eastAsia="zh-CN"/>
        </w:rPr>
        <w:t>2</w:t>
      </w:r>
      <w:r>
        <w:rPr>
          <w:rFonts w:hint="default" w:ascii="Times New Roman" w:hAnsi="Times New Roman" w:cs="Times New Roman" w:eastAsiaTheme="minorEastAsia"/>
          <w:b/>
          <w:bCs/>
          <w:snapToGrid w:val="0"/>
          <w:kern w:val="2"/>
          <w:sz w:val="24"/>
          <w:szCs w:val="24"/>
        </w:rPr>
        <w:t>.3</w:t>
      </w:r>
      <w:r>
        <w:rPr>
          <w:rFonts w:hint="default" w:ascii="Times New Roman" w:hAnsi="Times New Roman" w:cs="Times New Roman"/>
          <w:b/>
          <w:bCs/>
          <w:snapToGrid w:val="0"/>
          <w:kern w:val="2"/>
          <w:sz w:val="24"/>
          <w:szCs w:val="24"/>
          <w:lang w:val="en-US" w:eastAsia="zh-CN"/>
        </w:rPr>
        <w:t>.</w:t>
      </w:r>
      <w:r>
        <w:rPr>
          <w:rFonts w:hint="default" w:ascii="Times New Roman" w:hAnsi="Times New Roman" w:cs="Times New Roman" w:eastAsiaTheme="minorEastAsia"/>
          <w:b/>
          <w:bCs/>
          <w:snapToGrid w:val="0"/>
          <w:kern w:val="2"/>
          <w:sz w:val="24"/>
          <w:szCs w:val="24"/>
        </w:rPr>
        <w:t xml:space="preserve"> Observation </w:t>
      </w:r>
      <w:r>
        <w:rPr>
          <w:rFonts w:hint="eastAsia" w:ascii="Times New Roman" w:hAnsi="Times New Roman" w:cs="Times New Roman"/>
          <w:b/>
          <w:bCs/>
          <w:snapToGrid w:val="0"/>
          <w:kern w:val="2"/>
          <w:sz w:val="24"/>
          <w:szCs w:val="24"/>
          <w:lang w:val="en-US" w:eastAsia="zh-CN"/>
        </w:rPr>
        <w:t>i</w:t>
      </w:r>
      <w:r>
        <w:rPr>
          <w:rFonts w:hint="default" w:ascii="Times New Roman" w:hAnsi="Times New Roman" w:cs="Times New Roman" w:eastAsiaTheme="minorEastAsia"/>
          <w:b/>
          <w:bCs/>
          <w:snapToGrid w:val="0"/>
          <w:kern w:val="2"/>
          <w:sz w:val="24"/>
          <w:szCs w:val="24"/>
        </w:rPr>
        <w:t xml:space="preserve">ndicators </w:t>
      </w:r>
    </w:p>
    <w:p w14:paraId="4E16E377">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(1) Clinical efficacy evaluation: To assess the degree of improvement in shoulder joint dysfunction before and after treatment, the Constant-Murley shoulder function score </w:t>
      </w:r>
      <w:r>
        <w:rPr>
          <w:rFonts w:hint="default" w:ascii="Times New Roman" w:hAnsi="Times New Roman" w:eastAsia="宋体" w:cs="Times New Roman"/>
          <w:sz w:val="24"/>
          <w:vertAlign w:val="superscript"/>
        </w:rPr>
        <w:t>[6]</w:t>
      </w:r>
      <w:r>
        <w:rPr>
          <w:rFonts w:hint="default" w:ascii="Times New Roman" w:hAnsi="Times New Roman" w:eastAsia="宋体" w:cs="Times New Roman"/>
          <w:sz w:val="24"/>
        </w:rPr>
        <w:t xml:space="preserve"> was used for scoring before and after treatment. This score covers five aspects: shoulder joint mobility, daily activities, shoulder pain intensity, muscle strength, and shoulder joint morphology, with a total score of 100 points. A higher score indicates better shoulder function. </w:t>
      </w:r>
    </w:p>
    <w:p w14:paraId="22E09C08">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(2) Pain assessment: The Visual Analogue Scale (VAS) was used to assess changes in shoulder joint pain intensity before and after treatment, with a total score of 10 points. A higher score indicates more severe pain </w:t>
      </w:r>
      <w:r>
        <w:rPr>
          <w:rFonts w:hint="default" w:ascii="Times New Roman" w:hAnsi="Times New Roman" w:eastAsia="宋体" w:cs="Times New Roman"/>
          <w:sz w:val="24"/>
          <w:vertAlign w:val="superscript"/>
        </w:rPr>
        <w:t>[7]</w:t>
      </w:r>
      <w:r>
        <w:rPr>
          <w:rFonts w:hint="default" w:ascii="Times New Roman" w:hAnsi="Times New Roman" w:eastAsia="宋体" w:cs="Times New Roman"/>
          <w:sz w:val="24"/>
        </w:rPr>
        <w:t xml:space="preserve">. </w:t>
      </w:r>
    </w:p>
    <w:p w14:paraId="6817C104">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(3) TCM syndrome score: Referring to the scale in the </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Guidelines for Clinical Research on New Traditional Chinese Medicines</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 xml:space="preserve">, scores were given based on five indicators: shoulder pain intensity, limited mobility, aversion to cold and wind, exacerbation by cold, and tongue and pulse conditions, with a total score of 12 points. A lower score indicates milder cold-dampness obstruction symptoms </w:t>
      </w:r>
      <w:r>
        <w:rPr>
          <w:rFonts w:hint="default" w:ascii="Times New Roman" w:hAnsi="Times New Roman" w:eastAsia="宋体" w:cs="Times New Roman"/>
          <w:sz w:val="24"/>
          <w:vertAlign w:val="superscript"/>
        </w:rPr>
        <w:t>[8]</w:t>
      </w:r>
      <w:r>
        <w:rPr>
          <w:rFonts w:hint="default" w:ascii="Times New Roman" w:hAnsi="Times New Roman" w:eastAsia="宋体" w:cs="Times New Roman"/>
          <w:sz w:val="24"/>
        </w:rPr>
        <w:t xml:space="preserve">. </w:t>
      </w:r>
    </w:p>
    <w:p w14:paraId="31CA78D4">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(4) Quality of life score: The World Health Organization Quality of Life-BREF (WHOQOL-BREF) [9] was used for assessment. The questionnaire covers four dimensions: psychological, physiological, environmental, and social relationships, with a total of 16 items. Each item is scored from 0 to 5 points, for a total of 80 points. With the assistance of medical staff, patients rated each item. A higher score indicates a better quality of life. </w:t>
      </w:r>
    </w:p>
    <w:p w14:paraId="3B329445">
      <w:pPr>
        <w:ind w:left="420" w:hanging="420"/>
        <w:rPr>
          <w:rFonts w:hint="default" w:ascii="Times New Roman" w:hAnsi="Times New Roman" w:cs="Times New Roman" w:eastAsiaTheme="minorEastAsia"/>
          <w:snapToGrid w:val="0"/>
          <w:kern w:val="2"/>
          <w:sz w:val="24"/>
          <w:szCs w:val="24"/>
        </w:rPr>
      </w:pPr>
      <w:r>
        <w:rPr>
          <w:rFonts w:hint="default" w:ascii="Times New Roman" w:hAnsi="Times New Roman" w:eastAsia="宋体" w:cs="Times New Roman"/>
          <w:sz w:val="24"/>
        </w:rPr>
        <w:t xml:space="preserve">(5) Treatment efficacy evaluation: The overall treatment efficacy rate was calculated as follows: Overall treatment efficacy rate = (number of cases with marked effect + effective + cured) / total number of cases × 100%. The efficacy evaluation criteria were as follows: Cured: Shoulder function and range of motion fully restored to normal, with disappearance of pain and stiffness symptoms and signs. Marked effect: Significant improvement in shoulder function, with basic disappearance of symptoms and occasional recurrence. Effective: Improvement in shoulder function and alleviation of symptoms, but not significant. Ineffective: No change or worsening of shoulder joint function and the aforementioned symptoms. </w:t>
      </w:r>
    </w:p>
    <w:p w14:paraId="0EFCF973">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kern w:val="2"/>
          <w:sz w:val="24"/>
          <w:szCs w:val="24"/>
        </w:rPr>
      </w:pPr>
    </w:p>
    <w:p w14:paraId="7C46630E">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b/>
          <w:bCs/>
          <w:snapToGrid w:val="0"/>
          <w:kern w:val="2"/>
          <w:sz w:val="24"/>
          <w:szCs w:val="24"/>
        </w:rPr>
      </w:pPr>
      <w:r>
        <w:rPr>
          <w:rFonts w:hint="eastAsia" w:ascii="Times New Roman" w:hAnsi="Times New Roman" w:cs="Times New Roman"/>
          <w:b/>
          <w:bCs/>
          <w:snapToGrid w:val="0"/>
          <w:kern w:val="2"/>
          <w:sz w:val="24"/>
          <w:szCs w:val="24"/>
          <w:lang w:val="en-US" w:eastAsia="zh-CN"/>
        </w:rPr>
        <w:t>2</w:t>
      </w:r>
      <w:r>
        <w:rPr>
          <w:rFonts w:hint="default" w:ascii="Times New Roman" w:hAnsi="Times New Roman" w:cs="Times New Roman" w:eastAsiaTheme="minorEastAsia"/>
          <w:b/>
          <w:bCs/>
          <w:snapToGrid w:val="0"/>
          <w:kern w:val="2"/>
          <w:sz w:val="24"/>
          <w:szCs w:val="24"/>
        </w:rPr>
        <w:t>.4</w:t>
      </w:r>
      <w:r>
        <w:rPr>
          <w:rFonts w:hint="default" w:ascii="Times New Roman" w:hAnsi="Times New Roman" w:cs="Times New Roman"/>
          <w:b/>
          <w:bCs/>
          <w:snapToGrid w:val="0"/>
          <w:kern w:val="2"/>
          <w:sz w:val="24"/>
          <w:szCs w:val="24"/>
          <w:lang w:val="en-US" w:eastAsia="zh-CN"/>
        </w:rPr>
        <w:t>.</w:t>
      </w:r>
      <w:r>
        <w:rPr>
          <w:rFonts w:hint="default" w:ascii="Times New Roman" w:hAnsi="Times New Roman" w:cs="Times New Roman" w:eastAsiaTheme="minorEastAsia"/>
          <w:b/>
          <w:bCs/>
          <w:snapToGrid w:val="0"/>
          <w:kern w:val="2"/>
          <w:sz w:val="24"/>
          <w:szCs w:val="24"/>
        </w:rPr>
        <w:t xml:space="preserve"> Statistical </w:t>
      </w:r>
      <w:r>
        <w:rPr>
          <w:rFonts w:hint="eastAsia" w:ascii="Times New Roman" w:hAnsi="Times New Roman" w:cs="Times New Roman"/>
          <w:b/>
          <w:bCs/>
          <w:snapToGrid w:val="0"/>
          <w:kern w:val="2"/>
          <w:sz w:val="24"/>
          <w:szCs w:val="24"/>
          <w:lang w:val="en-US" w:eastAsia="zh-CN"/>
        </w:rPr>
        <w:t>m</w:t>
      </w:r>
      <w:r>
        <w:rPr>
          <w:rFonts w:hint="default" w:ascii="Times New Roman" w:hAnsi="Times New Roman" w:cs="Times New Roman" w:eastAsiaTheme="minorEastAsia"/>
          <w:b/>
          <w:bCs/>
          <w:snapToGrid w:val="0"/>
          <w:kern w:val="2"/>
          <w:sz w:val="24"/>
          <w:szCs w:val="24"/>
        </w:rPr>
        <w:t xml:space="preserve">ethods </w:t>
      </w:r>
    </w:p>
    <w:p w14:paraId="478E74B1">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kern w:val="2"/>
          <w:sz w:val="24"/>
          <w:szCs w:val="24"/>
        </w:rPr>
      </w:pPr>
      <w:r>
        <w:rPr>
          <w:rFonts w:hint="default" w:ascii="Times New Roman" w:hAnsi="Times New Roman" w:cs="Times New Roman" w:eastAsiaTheme="minorEastAsia"/>
          <w:snapToGrid w:val="0"/>
          <w:kern w:val="2"/>
          <w:sz w:val="24"/>
          <w:szCs w:val="24"/>
        </w:rPr>
        <w:t>Data were processed using SPSS 22.0 statistical software. Measurement data were described as mean ± standard deviation (</w:t>
      </w:r>
      <w:r>
        <w:rPr>
          <w:rFonts w:hint="default" w:ascii="Times New Roman" w:hAnsi="Times New Roman" w:eastAsia="宋体" w:cs="Times New Roman"/>
          <w:color w:val="0000FF"/>
          <w:position w:val="-6"/>
          <w:sz w:val="24"/>
          <w:szCs w:val="24"/>
        </w:rPr>
        <w:object>
          <v:shape id="_x0000_i1025" o:spt="75" type="#_x0000_t75" style="height:13.5pt;width:11pt;" o:ole="t" filled="f" o:preferrelative="t" stroked="f" coordsize="21600,21600">
            <v:path/>
            <v:fill on="f" focussize="0,0"/>
            <v:stroke on="f" joinstyle="miter"/>
            <v:imagedata r:id="rId5" o:title=""/>
            <o:lock v:ext="edit" aspectratio="t"/>
            <w10:wrap type="none"/>
            <w10:anchorlock/>
          </v:shape>
          <o:OLEObject Type="Embed" ProgID="Equation.DSMT4" ShapeID="_x0000_i1025" DrawAspect="Content" ObjectID="_1468075725" r:id="rId4">
            <o:LockedField>false</o:LockedField>
          </o:OLEObject>
        </w:object>
      </w:r>
      <w:r>
        <w:rPr>
          <w:rFonts w:ascii="Times New Roman" w:hAnsi="Times New Roman"/>
          <w:sz w:val="24"/>
          <w:szCs w:val="24"/>
        </w:rPr>
        <w:t>± s</w:t>
      </w:r>
      <w:r>
        <w:rPr>
          <w:rFonts w:hint="default" w:ascii="Times New Roman" w:hAnsi="Times New Roman" w:cs="Times New Roman" w:eastAsiaTheme="minorEastAsia"/>
          <w:snapToGrid w:val="0"/>
          <w:kern w:val="2"/>
          <w:sz w:val="24"/>
          <w:szCs w:val="24"/>
        </w:rPr>
        <w:t xml:space="preserve">), and independent sample </w:t>
      </w:r>
      <w:r>
        <w:rPr>
          <w:rFonts w:hint="default" w:ascii="Times New Roman" w:hAnsi="Times New Roman" w:cs="Times New Roman" w:eastAsiaTheme="minorEastAsia"/>
          <w:i/>
          <w:iCs/>
          <w:snapToGrid w:val="0"/>
          <w:kern w:val="2"/>
          <w:sz w:val="24"/>
          <w:szCs w:val="24"/>
        </w:rPr>
        <w:t>t</w:t>
      </w:r>
      <w:r>
        <w:rPr>
          <w:rFonts w:hint="default" w:ascii="Times New Roman" w:hAnsi="Times New Roman" w:cs="Times New Roman" w:eastAsiaTheme="minorEastAsia"/>
          <w:snapToGrid w:val="0"/>
          <w:kern w:val="2"/>
          <w:sz w:val="24"/>
          <w:szCs w:val="24"/>
        </w:rPr>
        <w:t xml:space="preserve">-tests were used for comparisons before and after treatment within groups and between groups. Count data were expressed as the number of cases and percentage, and χ² tests were used. The test level was α=0.05, and </w:t>
      </w:r>
      <w:r>
        <w:rPr>
          <w:rFonts w:hint="default" w:ascii="Times New Roman" w:hAnsi="Times New Roman" w:cs="Times New Roman" w:eastAsiaTheme="minorEastAsia"/>
          <w:i/>
          <w:iCs/>
          <w:snapToGrid w:val="0"/>
          <w:kern w:val="2"/>
          <w:sz w:val="24"/>
          <w:szCs w:val="24"/>
        </w:rPr>
        <w:t>P</w:t>
      </w:r>
      <w:r>
        <w:rPr>
          <w:rFonts w:hint="default" w:ascii="Times New Roman" w:hAnsi="Times New Roman" w:cs="Times New Roman" w:eastAsiaTheme="minorEastAsia"/>
          <w:snapToGrid w:val="0"/>
          <w:kern w:val="2"/>
          <w:sz w:val="24"/>
          <w:szCs w:val="24"/>
        </w:rPr>
        <w:t>&lt;0.05 indicated a statistically significant difference.</w:t>
      </w:r>
    </w:p>
    <w:p w14:paraId="661AE24B">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kern w:val="2"/>
          <w:sz w:val="24"/>
          <w:szCs w:val="24"/>
        </w:rPr>
      </w:pPr>
    </w:p>
    <w:p w14:paraId="4E199F43">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b/>
          <w:bCs/>
          <w:snapToGrid w:val="0"/>
          <w:kern w:val="2"/>
          <w:sz w:val="24"/>
          <w:szCs w:val="24"/>
        </w:rPr>
      </w:pPr>
      <w:r>
        <w:rPr>
          <w:rFonts w:hint="eastAsia" w:ascii="Times New Roman" w:hAnsi="Times New Roman" w:cs="Times New Roman"/>
          <w:b/>
          <w:bCs/>
          <w:snapToGrid w:val="0"/>
          <w:kern w:val="2"/>
          <w:sz w:val="24"/>
          <w:szCs w:val="24"/>
          <w:lang w:val="en-US" w:eastAsia="zh-CN"/>
        </w:rPr>
        <w:t>3</w:t>
      </w:r>
      <w:r>
        <w:rPr>
          <w:rFonts w:hint="default" w:ascii="Times New Roman" w:hAnsi="Times New Roman" w:cs="Times New Roman"/>
          <w:b/>
          <w:bCs/>
          <w:snapToGrid w:val="0"/>
          <w:kern w:val="2"/>
          <w:sz w:val="24"/>
          <w:szCs w:val="24"/>
          <w:lang w:val="en-US" w:eastAsia="zh-CN"/>
        </w:rPr>
        <w:t>.</w:t>
      </w:r>
      <w:r>
        <w:rPr>
          <w:rFonts w:hint="default" w:ascii="Times New Roman" w:hAnsi="Times New Roman" w:cs="Times New Roman" w:eastAsiaTheme="minorEastAsia"/>
          <w:b/>
          <w:bCs/>
          <w:snapToGrid w:val="0"/>
          <w:kern w:val="2"/>
          <w:sz w:val="24"/>
          <w:szCs w:val="24"/>
        </w:rPr>
        <w:t xml:space="preserve"> Results </w:t>
      </w:r>
    </w:p>
    <w:p w14:paraId="1C8C3D60">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b/>
          <w:bCs/>
          <w:snapToGrid w:val="0"/>
          <w:kern w:val="2"/>
          <w:sz w:val="24"/>
          <w:szCs w:val="24"/>
        </w:rPr>
      </w:pPr>
      <w:r>
        <w:rPr>
          <w:rFonts w:hint="eastAsia" w:ascii="Times New Roman" w:hAnsi="Times New Roman" w:cs="Times New Roman"/>
          <w:b/>
          <w:bCs/>
          <w:snapToGrid w:val="0"/>
          <w:kern w:val="2"/>
          <w:sz w:val="24"/>
          <w:szCs w:val="24"/>
          <w:lang w:val="en-US" w:eastAsia="zh-CN"/>
        </w:rPr>
        <w:t>3</w:t>
      </w:r>
      <w:r>
        <w:rPr>
          <w:rFonts w:hint="default" w:ascii="Times New Roman" w:hAnsi="Times New Roman" w:cs="Times New Roman" w:eastAsiaTheme="minorEastAsia"/>
          <w:b/>
          <w:bCs/>
          <w:snapToGrid w:val="0"/>
          <w:kern w:val="2"/>
          <w:sz w:val="24"/>
          <w:szCs w:val="24"/>
        </w:rPr>
        <w:t>.1</w:t>
      </w:r>
      <w:r>
        <w:rPr>
          <w:rFonts w:hint="default" w:ascii="Times New Roman" w:hAnsi="Times New Roman" w:cs="Times New Roman"/>
          <w:b/>
          <w:bCs/>
          <w:snapToGrid w:val="0"/>
          <w:kern w:val="2"/>
          <w:sz w:val="24"/>
          <w:szCs w:val="24"/>
          <w:lang w:val="en-US" w:eastAsia="zh-CN"/>
        </w:rPr>
        <w:t>.</w:t>
      </w:r>
      <w:r>
        <w:rPr>
          <w:rFonts w:hint="default" w:ascii="Times New Roman" w:hAnsi="Times New Roman" w:cs="Times New Roman" w:eastAsiaTheme="minorEastAsia"/>
          <w:b/>
          <w:bCs/>
          <w:snapToGrid w:val="0"/>
          <w:kern w:val="2"/>
          <w:sz w:val="24"/>
          <w:szCs w:val="24"/>
        </w:rPr>
        <w:t xml:space="preserve"> Comparison of </w:t>
      </w:r>
      <w:r>
        <w:rPr>
          <w:rFonts w:hint="eastAsia" w:ascii="Times New Roman" w:hAnsi="Times New Roman" w:cs="Times New Roman"/>
          <w:b/>
          <w:bCs/>
          <w:snapToGrid w:val="0"/>
          <w:kern w:val="2"/>
          <w:sz w:val="24"/>
          <w:szCs w:val="24"/>
          <w:lang w:val="en-US" w:eastAsia="zh-CN"/>
        </w:rPr>
        <w:t>c</w:t>
      </w:r>
      <w:r>
        <w:rPr>
          <w:rFonts w:hint="default" w:ascii="Times New Roman" w:hAnsi="Times New Roman" w:cs="Times New Roman" w:eastAsiaTheme="minorEastAsia"/>
          <w:b/>
          <w:bCs/>
          <w:snapToGrid w:val="0"/>
          <w:kern w:val="2"/>
          <w:sz w:val="24"/>
          <w:szCs w:val="24"/>
        </w:rPr>
        <w:t xml:space="preserve">linical </w:t>
      </w:r>
      <w:r>
        <w:rPr>
          <w:rFonts w:hint="eastAsia" w:ascii="Times New Roman" w:hAnsi="Times New Roman" w:cs="Times New Roman"/>
          <w:b/>
          <w:bCs/>
          <w:snapToGrid w:val="0"/>
          <w:kern w:val="2"/>
          <w:sz w:val="24"/>
          <w:szCs w:val="24"/>
          <w:lang w:val="en-US" w:eastAsia="zh-CN"/>
        </w:rPr>
        <w:t>e</w:t>
      </w:r>
      <w:r>
        <w:rPr>
          <w:rFonts w:hint="default" w:ascii="Times New Roman" w:hAnsi="Times New Roman" w:cs="Times New Roman" w:eastAsiaTheme="minorEastAsia"/>
          <w:b/>
          <w:bCs/>
          <w:snapToGrid w:val="0"/>
          <w:kern w:val="2"/>
          <w:sz w:val="24"/>
          <w:szCs w:val="24"/>
        </w:rPr>
        <w:t xml:space="preserve">fficacy </w:t>
      </w:r>
      <w:r>
        <w:rPr>
          <w:rFonts w:hint="eastAsia" w:ascii="Times New Roman" w:hAnsi="Times New Roman" w:cs="Times New Roman"/>
          <w:b/>
          <w:bCs/>
          <w:snapToGrid w:val="0"/>
          <w:kern w:val="2"/>
          <w:sz w:val="24"/>
          <w:szCs w:val="24"/>
          <w:lang w:val="en-US" w:eastAsia="zh-CN"/>
        </w:rPr>
        <w:t>b</w:t>
      </w:r>
      <w:r>
        <w:rPr>
          <w:rFonts w:hint="default" w:ascii="Times New Roman" w:hAnsi="Times New Roman" w:cs="Times New Roman" w:eastAsiaTheme="minorEastAsia"/>
          <w:b/>
          <w:bCs/>
          <w:snapToGrid w:val="0"/>
          <w:kern w:val="2"/>
          <w:sz w:val="24"/>
          <w:szCs w:val="24"/>
        </w:rPr>
        <w:t xml:space="preserve">etween the </w:t>
      </w:r>
      <w:r>
        <w:rPr>
          <w:rFonts w:hint="eastAsia" w:ascii="Times New Roman" w:hAnsi="Times New Roman" w:cs="Times New Roman"/>
          <w:b/>
          <w:bCs/>
          <w:snapToGrid w:val="0"/>
          <w:kern w:val="2"/>
          <w:sz w:val="24"/>
          <w:szCs w:val="24"/>
          <w:lang w:val="en-US" w:eastAsia="zh-CN"/>
        </w:rPr>
        <w:t>t</w:t>
      </w:r>
      <w:r>
        <w:rPr>
          <w:rFonts w:hint="default" w:ascii="Times New Roman" w:hAnsi="Times New Roman" w:cs="Times New Roman" w:eastAsiaTheme="minorEastAsia"/>
          <w:b/>
          <w:bCs/>
          <w:snapToGrid w:val="0"/>
          <w:kern w:val="2"/>
          <w:sz w:val="24"/>
          <w:szCs w:val="24"/>
        </w:rPr>
        <w:t xml:space="preserve">wo </w:t>
      </w:r>
      <w:r>
        <w:rPr>
          <w:rFonts w:hint="eastAsia" w:ascii="Times New Roman" w:hAnsi="Times New Roman" w:cs="Times New Roman"/>
          <w:b/>
          <w:bCs/>
          <w:snapToGrid w:val="0"/>
          <w:kern w:val="2"/>
          <w:sz w:val="24"/>
          <w:szCs w:val="24"/>
          <w:lang w:val="en-US" w:eastAsia="zh-CN"/>
        </w:rPr>
        <w:t>g</w:t>
      </w:r>
      <w:r>
        <w:rPr>
          <w:rFonts w:hint="default" w:ascii="Times New Roman" w:hAnsi="Times New Roman" w:cs="Times New Roman" w:eastAsiaTheme="minorEastAsia"/>
          <w:b/>
          <w:bCs/>
          <w:snapToGrid w:val="0"/>
          <w:kern w:val="2"/>
          <w:sz w:val="24"/>
          <w:szCs w:val="24"/>
        </w:rPr>
        <w:t xml:space="preserve">roups </w:t>
      </w:r>
    </w:p>
    <w:p w14:paraId="73800228">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kern w:val="2"/>
          <w:sz w:val="24"/>
          <w:szCs w:val="24"/>
        </w:rPr>
      </w:pPr>
      <w:r>
        <w:rPr>
          <w:rFonts w:hint="default" w:ascii="Times New Roman" w:hAnsi="Times New Roman" w:cs="Times New Roman" w:eastAsiaTheme="minorEastAsia"/>
          <w:snapToGrid w:val="0"/>
          <w:kern w:val="2"/>
          <w:sz w:val="24"/>
          <w:szCs w:val="24"/>
        </w:rPr>
        <w:t>Before treatment, there were no statistically significant differences in the Constant-Murley scores and shoulder pain VAS scores between the two groups (</w:t>
      </w:r>
      <w:r>
        <w:rPr>
          <w:rFonts w:hint="default" w:ascii="Times New Roman" w:hAnsi="Times New Roman" w:cs="Times New Roman" w:eastAsiaTheme="minorEastAsia"/>
          <w:i/>
          <w:iCs/>
          <w:snapToGrid w:val="0"/>
          <w:kern w:val="2"/>
          <w:sz w:val="24"/>
          <w:szCs w:val="24"/>
        </w:rPr>
        <w:t>P</w:t>
      </w:r>
      <w:r>
        <w:rPr>
          <w:rFonts w:hint="default" w:ascii="Times New Roman" w:hAnsi="Times New Roman" w:cs="Times New Roman" w:eastAsiaTheme="minorEastAsia"/>
          <w:snapToGrid w:val="0"/>
          <w:kern w:val="2"/>
          <w:sz w:val="24"/>
          <w:szCs w:val="24"/>
        </w:rPr>
        <w:t xml:space="preserve"> &gt; 0.05). After treatment, the Constant-Murley score in the observation group was significantly higher than that in the control group (</w:t>
      </w:r>
      <w:r>
        <w:rPr>
          <w:rFonts w:hint="default" w:ascii="Times New Roman" w:hAnsi="Times New Roman" w:cs="Times New Roman" w:eastAsiaTheme="minorEastAsia"/>
          <w:i/>
          <w:iCs/>
          <w:snapToGrid w:val="0"/>
          <w:kern w:val="2"/>
          <w:sz w:val="24"/>
          <w:szCs w:val="24"/>
        </w:rPr>
        <w:t>P</w:t>
      </w:r>
      <w:r>
        <w:rPr>
          <w:rFonts w:hint="default" w:ascii="Times New Roman" w:hAnsi="Times New Roman" w:cs="Times New Roman" w:eastAsiaTheme="minorEastAsia"/>
          <w:snapToGrid w:val="0"/>
          <w:kern w:val="2"/>
          <w:sz w:val="24"/>
          <w:szCs w:val="24"/>
        </w:rPr>
        <w:t xml:space="preserve"> &lt; 0.00), and the Constant-Murley scores in both groups were significantly improved compared to those before treatment (</w:t>
      </w:r>
      <w:r>
        <w:rPr>
          <w:rFonts w:hint="default" w:ascii="Times New Roman" w:hAnsi="Times New Roman" w:cs="Times New Roman" w:eastAsiaTheme="minorEastAsia"/>
          <w:i/>
          <w:iCs/>
          <w:snapToGrid w:val="0"/>
          <w:kern w:val="2"/>
          <w:sz w:val="24"/>
          <w:szCs w:val="24"/>
        </w:rPr>
        <w:t>P</w:t>
      </w:r>
      <w:r>
        <w:rPr>
          <w:rFonts w:hint="default" w:ascii="Times New Roman" w:hAnsi="Times New Roman" w:cs="Times New Roman" w:eastAsiaTheme="minorEastAsia"/>
          <w:snapToGrid w:val="0"/>
          <w:kern w:val="2"/>
          <w:sz w:val="24"/>
          <w:szCs w:val="24"/>
        </w:rPr>
        <w:t xml:space="preserve"> &lt; 0.00). After treatment, the VAS score in the observation group was significantly lower than that in the control group (</w:t>
      </w:r>
      <w:r>
        <w:rPr>
          <w:rFonts w:hint="default" w:ascii="Times New Roman" w:hAnsi="Times New Roman" w:cs="Times New Roman" w:eastAsiaTheme="minorEastAsia"/>
          <w:i/>
          <w:iCs/>
          <w:snapToGrid w:val="0"/>
          <w:kern w:val="2"/>
          <w:sz w:val="24"/>
          <w:szCs w:val="24"/>
        </w:rPr>
        <w:t>P</w:t>
      </w:r>
      <w:r>
        <w:rPr>
          <w:rFonts w:hint="default" w:ascii="Times New Roman" w:hAnsi="Times New Roman" w:cs="Times New Roman" w:eastAsiaTheme="minorEastAsia"/>
          <w:snapToGrid w:val="0"/>
          <w:kern w:val="2"/>
          <w:sz w:val="24"/>
          <w:szCs w:val="24"/>
        </w:rPr>
        <w:t xml:space="preserve"> &lt; 0.00), and the VAS scores in both groups were significantly reduced compared to those before treatment (</w:t>
      </w:r>
      <w:r>
        <w:rPr>
          <w:rFonts w:hint="default" w:ascii="Times New Roman" w:hAnsi="Times New Roman" w:cs="Times New Roman" w:eastAsiaTheme="minorEastAsia"/>
          <w:i/>
          <w:iCs/>
          <w:snapToGrid w:val="0"/>
          <w:kern w:val="2"/>
          <w:sz w:val="24"/>
          <w:szCs w:val="24"/>
        </w:rPr>
        <w:t>P</w:t>
      </w:r>
      <w:r>
        <w:rPr>
          <w:rFonts w:hint="default" w:ascii="Times New Roman" w:hAnsi="Times New Roman" w:cs="Times New Roman" w:eastAsiaTheme="minorEastAsia"/>
          <w:snapToGrid w:val="0"/>
          <w:kern w:val="2"/>
          <w:sz w:val="24"/>
          <w:szCs w:val="24"/>
        </w:rPr>
        <w:t xml:space="preserve"> &lt; 0.00) (see </w:t>
      </w:r>
      <w:r>
        <w:rPr>
          <w:rFonts w:hint="default" w:ascii="Times New Roman" w:hAnsi="Times New Roman" w:cs="Times New Roman" w:eastAsiaTheme="minorEastAsia"/>
          <w:b/>
          <w:bCs/>
          <w:snapToGrid w:val="0"/>
          <w:kern w:val="2"/>
          <w:sz w:val="24"/>
          <w:szCs w:val="24"/>
        </w:rPr>
        <w:t>Table 1</w:t>
      </w:r>
      <w:r>
        <w:rPr>
          <w:rFonts w:hint="default" w:ascii="Times New Roman" w:hAnsi="Times New Roman" w:cs="Times New Roman" w:eastAsiaTheme="minorEastAsia"/>
          <w:snapToGrid w:val="0"/>
          <w:kern w:val="2"/>
          <w:sz w:val="24"/>
          <w:szCs w:val="24"/>
        </w:rPr>
        <w:t xml:space="preserve">). </w:t>
      </w:r>
    </w:p>
    <w:p w14:paraId="764923EC">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kern w:val="2"/>
          <w:sz w:val="24"/>
          <w:szCs w:val="24"/>
        </w:rPr>
      </w:pPr>
    </w:p>
    <w:p w14:paraId="229E157B">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napToGrid w:val="0"/>
          <w:kern w:val="2"/>
          <w:sz w:val="24"/>
          <w:szCs w:val="24"/>
        </w:rPr>
      </w:pPr>
      <w:r>
        <w:rPr>
          <w:rFonts w:hint="default" w:ascii="Times New Roman" w:hAnsi="Times New Roman" w:cs="Times New Roman" w:eastAsiaTheme="minorEastAsia"/>
          <w:b/>
          <w:bCs/>
          <w:snapToGrid w:val="0"/>
          <w:kern w:val="2"/>
          <w:sz w:val="24"/>
          <w:szCs w:val="24"/>
        </w:rPr>
        <w:t>Table 1</w:t>
      </w:r>
      <w:r>
        <w:rPr>
          <w:rFonts w:hint="default" w:ascii="Times New Roman" w:hAnsi="Times New Roman" w:cs="Times New Roman"/>
          <w:b/>
          <w:bCs/>
          <w:snapToGrid w:val="0"/>
          <w:kern w:val="2"/>
          <w:sz w:val="24"/>
          <w:szCs w:val="24"/>
          <w:lang w:val="en-US" w:eastAsia="zh-CN"/>
        </w:rPr>
        <w:t>.</w:t>
      </w:r>
      <w:r>
        <w:rPr>
          <w:rFonts w:hint="default" w:ascii="Times New Roman" w:hAnsi="Times New Roman" w:cs="Times New Roman" w:eastAsiaTheme="minorEastAsia"/>
          <w:b/>
          <w:bCs/>
          <w:snapToGrid w:val="0"/>
          <w:kern w:val="2"/>
          <w:sz w:val="24"/>
          <w:szCs w:val="24"/>
        </w:rPr>
        <w:t xml:space="preserve"> </w:t>
      </w:r>
      <w:r>
        <w:rPr>
          <w:rFonts w:hint="default" w:ascii="Times New Roman" w:hAnsi="Times New Roman" w:cs="Times New Roman" w:eastAsiaTheme="minorEastAsia"/>
          <w:snapToGrid w:val="0"/>
          <w:kern w:val="2"/>
          <w:sz w:val="24"/>
          <w:szCs w:val="24"/>
        </w:rPr>
        <w:t xml:space="preserve">Comparison of </w:t>
      </w:r>
      <w:r>
        <w:rPr>
          <w:rFonts w:hint="eastAsia" w:ascii="Times New Roman" w:hAnsi="Times New Roman" w:cs="Times New Roman"/>
          <w:snapToGrid w:val="0"/>
          <w:kern w:val="2"/>
          <w:sz w:val="24"/>
          <w:szCs w:val="24"/>
          <w:lang w:val="en-US" w:eastAsia="zh-CN"/>
        </w:rPr>
        <w:t>c</w:t>
      </w:r>
      <w:r>
        <w:rPr>
          <w:rFonts w:hint="default" w:ascii="Times New Roman" w:hAnsi="Times New Roman" w:cs="Times New Roman" w:eastAsiaTheme="minorEastAsia"/>
          <w:snapToGrid w:val="0"/>
          <w:kern w:val="2"/>
          <w:sz w:val="24"/>
          <w:szCs w:val="24"/>
        </w:rPr>
        <w:t>onstant-</w:t>
      </w:r>
      <w:r>
        <w:rPr>
          <w:rFonts w:hint="eastAsia" w:ascii="Times New Roman" w:hAnsi="Times New Roman" w:cs="Times New Roman"/>
          <w:snapToGrid w:val="0"/>
          <w:kern w:val="2"/>
          <w:sz w:val="24"/>
          <w:szCs w:val="24"/>
          <w:lang w:val="en-US" w:eastAsia="zh-CN"/>
        </w:rPr>
        <w:t>m</w:t>
      </w:r>
      <w:r>
        <w:rPr>
          <w:rFonts w:hint="default" w:ascii="Times New Roman" w:hAnsi="Times New Roman" w:cs="Times New Roman" w:eastAsiaTheme="minorEastAsia"/>
          <w:snapToGrid w:val="0"/>
          <w:kern w:val="2"/>
          <w:sz w:val="24"/>
          <w:szCs w:val="24"/>
        </w:rPr>
        <w:t xml:space="preserve">urley </w:t>
      </w:r>
      <w:r>
        <w:rPr>
          <w:rFonts w:hint="eastAsia" w:ascii="Times New Roman" w:hAnsi="Times New Roman" w:cs="Times New Roman"/>
          <w:snapToGrid w:val="0"/>
          <w:kern w:val="2"/>
          <w:sz w:val="24"/>
          <w:szCs w:val="24"/>
          <w:lang w:val="en-US" w:eastAsia="zh-CN"/>
        </w:rPr>
        <w:t>s</w:t>
      </w:r>
      <w:r>
        <w:rPr>
          <w:rFonts w:hint="default" w:ascii="Times New Roman" w:hAnsi="Times New Roman" w:cs="Times New Roman" w:eastAsiaTheme="minorEastAsia"/>
          <w:snapToGrid w:val="0"/>
          <w:kern w:val="2"/>
          <w:sz w:val="24"/>
          <w:szCs w:val="24"/>
        </w:rPr>
        <w:t xml:space="preserve">cores and </w:t>
      </w:r>
      <w:r>
        <w:rPr>
          <w:rFonts w:hint="eastAsia" w:ascii="Times New Roman" w:hAnsi="Times New Roman" w:cs="Times New Roman"/>
          <w:snapToGrid w:val="0"/>
          <w:kern w:val="2"/>
          <w:sz w:val="24"/>
          <w:szCs w:val="24"/>
          <w:lang w:val="en-US" w:eastAsia="zh-CN"/>
        </w:rPr>
        <w:t>s</w:t>
      </w:r>
      <w:r>
        <w:rPr>
          <w:rFonts w:hint="default" w:ascii="Times New Roman" w:hAnsi="Times New Roman" w:cs="Times New Roman" w:eastAsiaTheme="minorEastAsia"/>
          <w:snapToGrid w:val="0"/>
          <w:kern w:val="2"/>
          <w:sz w:val="24"/>
          <w:szCs w:val="24"/>
        </w:rPr>
        <w:t xml:space="preserve">houlder </w:t>
      </w:r>
      <w:r>
        <w:rPr>
          <w:rFonts w:hint="eastAsia" w:ascii="Times New Roman" w:hAnsi="Times New Roman" w:cs="Times New Roman"/>
          <w:snapToGrid w:val="0"/>
          <w:kern w:val="2"/>
          <w:sz w:val="24"/>
          <w:szCs w:val="24"/>
          <w:lang w:val="en-US" w:eastAsia="zh-CN"/>
        </w:rPr>
        <w:t>p</w:t>
      </w:r>
      <w:r>
        <w:rPr>
          <w:rFonts w:hint="default" w:ascii="Times New Roman" w:hAnsi="Times New Roman" w:cs="Times New Roman" w:eastAsiaTheme="minorEastAsia"/>
          <w:snapToGrid w:val="0"/>
          <w:kern w:val="2"/>
          <w:sz w:val="24"/>
          <w:szCs w:val="24"/>
        </w:rPr>
        <w:t xml:space="preserve">ain VAS </w:t>
      </w:r>
      <w:r>
        <w:rPr>
          <w:rFonts w:hint="eastAsia" w:ascii="Times New Roman" w:hAnsi="Times New Roman" w:cs="Times New Roman"/>
          <w:snapToGrid w:val="0"/>
          <w:kern w:val="2"/>
          <w:sz w:val="24"/>
          <w:szCs w:val="24"/>
          <w:lang w:val="en-US" w:eastAsia="zh-CN"/>
        </w:rPr>
        <w:t>s</w:t>
      </w:r>
      <w:r>
        <w:rPr>
          <w:rFonts w:hint="default" w:ascii="Times New Roman" w:hAnsi="Times New Roman" w:cs="Times New Roman" w:eastAsiaTheme="minorEastAsia"/>
          <w:snapToGrid w:val="0"/>
          <w:kern w:val="2"/>
          <w:sz w:val="24"/>
          <w:szCs w:val="24"/>
        </w:rPr>
        <w:t xml:space="preserve">cores </w:t>
      </w:r>
      <w:r>
        <w:rPr>
          <w:rFonts w:hint="eastAsia" w:ascii="Times New Roman" w:hAnsi="Times New Roman" w:cs="Times New Roman"/>
          <w:snapToGrid w:val="0"/>
          <w:kern w:val="2"/>
          <w:sz w:val="24"/>
          <w:szCs w:val="24"/>
          <w:lang w:val="en-US" w:eastAsia="zh-CN"/>
        </w:rPr>
        <w:t>b</w:t>
      </w:r>
      <w:r>
        <w:rPr>
          <w:rFonts w:hint="default" w:ascii="Times New Roman" w:hAnsi="Times New Roman" w:cs="Times New Roman" w:eastAsiaTheme="minorEastAsia"/>
          <w:snapToGrid w:val="0"/>
          <w:kern w:val="2"/>
          <w:sz w:val="24"/>
          <w:szCs w:val="24"/>
        </w:rPr>
        <w:t xml:space="preserve">efore and </w:t>
      </w:r>
      <w:r>
        <w:rPr>
          <w:rFonts w:hint="eastAsia" w:ascii="Times New Roman" w:hAnsi="Times New Roman" w:cs="Times New Roman"/>
          <w:snapToGrid w:val="0"/>
          <w:kern w:val="2"/>
          <w:sz w:val="24"/>
          <w:szCs w:val="24"/>
          <w:lang w:val="en-US" w:eastAsia="zh-CN"/>
        </w:rPr>
        <w:t>a</w:t>
      </w:r>
      <w:r>
        <w:rPr>
          <w:rFonts w:hint="default" w:ascii="Times New Roman" w:hAnsi="Times New Roman" w:cs="Times New Roman" w:eastAsiaTheme="minorEastAsia"/>
          <w:snapToGrid w:val="0"/>
          <w:kern w:val="2"/>
          <w:sz w:val="24"/>
          <w:szCs w:val="24"/>
        </w:rPr>
        <w:t xml:space="preserve">fter </w:t>
      </w:r>
      <w:r>
        <w:rPr>
          <w:rFonts w:hint="eastAsia" w:ascii="Times New Roman" w:hAnsi="Times New Roman" w:cs="Times New Roman"/>
          <w:snapToGrid w:val="0"/>
          <w:kern w:val="2"/>
          <w:sz w:val="24"/>
          <w:szCs w:val="24"/>
          <w:lang w:val="en-US" w:eastAsia="zh-CN"/>
        </w:rPr>
        <w:t>t</w:t>
      </w:r>
      <w:r>
        <w:rPr>
          <w:rFonts w:hint="default" w:ascii="Times New Roman" w:hAnsi="Times New Roman" w:cs="Times New Roman" w:eastAsiaTheme="minorEastAsia"/>
          <w:snapToGrid w:val="0"/>
          <w:kern w:val="2"/>
          <w:sz w:val="24"/>
          <w:szCs w:val="24"/>
        </w:rPr>
        <w:t xml:space="preserve">reatment </w:t>
      </w:r>
      <w:r>
        <w:rPr>
          <w:rFonts w:hint="eastAsia" w:ascii="Times New Roman" w:hAnsi="Times New Roman" w:cs="Times New Roman"/>
          <w:snapToGrid w:val="0"/>
          <w:kern w:val="2"/>
          <w:sz w:val="24"/>
          <w:szCs w:val="24"/>
          <w:lang w:val="en-US" w:eastAsia="zh-CN"/>
        </w:rPr>
        <w:t>b</w:t>
      </w:r>
      <w:r>
        <w:rPr>
          <w:rFonts w:hint="default" w:ascii="Times New Roman" w:hAnsi="Times New Roman" w:cs="Times New Roman" w:eastAsiaTheme="minorEastAsia"/>
          <w:snapToGrid w:val="0"/>
          <w:kern w:val="2"/>
          <w:sz w:val="24"/>
          <w:szCs w:val="24"/>
        </w:rPr>
        <w:t xml:space="preserve">etween the </w:t>
      </w:r>
      <w:r>
        <w:rPr>
          <w:rFonts w:hint="eastAsia" w:ascii="Times New Roman" w:hAnsi="Times New Roman" w:cs="Times New Roman"/>
          <w:snapToGrid w:val="0"/>
          <w:kern w:val="2"/>
          <w:sz w:val="24"/>
          <w:szCs w:val="24"/>
          <w:lang w:val="en-US" w:eastAsia="zh-CN"/>
        </w:rPr>
        <w:t>t</w:t>
      </w:r>
      <w:r>
        <w:rPr>
          <w:rFonts w:hint="default" w:ascii="Times New Roman" w:hAnsi="Times New Roman" w:cs="Times New Roman" w:eastAsiaTheme="minorEastAsia"/>
          <w:snapToGrid w:val="0"/>
          <w:kern w:val="2"/>
          <w:sz w:val="24"/>
          <w:szCs w:val="24"/>
        </w:rPr>
        <w:t xml:space="preserve">wo </w:t>
      </w:r>
      <w:r>
        <w:rPr>
          <w:rFonts w:hint="eastAsia" w:ascii="Times New Roman" w:hAnsi="Times New Roman" w:cs="Times New Roman"/>
          <w:snapToGrid w:val="0"/>
          <w:kern w:val="2"/>
          <w:sz w:val="24"/>
          <w:szCs w:val="24"/>
          <w:lang w:val="en-US" w:eastAsia="zh-CN"/>
        </w:rPr>
        <w:t>g</w:t>
      </w:r>
      <w:r>
        <w:rPr>
          <w:rFonts w:hint="default" w:ascii="Times New Roman" w:hAnsi="Times New Roman" w:cs="Times New Roman" w:eastAsiaTheme="minorEastAsia"/>
          <w:snapToGrid w:val="0"/>
          <w:kern w:val="2"/>
          <w:sz w:val="24"/>
          <w:szCs w:val="24"/>
        </w:rPr>
        <w:t>roups (</w:t>
      </w:r>
      <w:r>
        <w:rPr>
          <w:rFonts w:hint="default" w:ascii="Times New Roman" w:hAnsi="Times New Roman" w:eastAsia="宋体" w:cs="Times New Roman"/>
          <w:color w:val="0000FF"/>
          <w:position w:val="-6"/>
          <w:sz w:val="24"/>
          <w:szCs w:val="24"/>
        </w:rPr>
        <w:object>
          <v:shape id="_x0000_i1026" o:spt="75" type="#_x0000_t75" style="height:13.5pt;width:11pt;" o:ole="t" filled="f" o:preferrelative="t" stroked="f" coordsize="21600,21600">
            <v:path/>
            <v:fill on="f" focussize="0,0"/>
            <v:stroke on="f" joinstyle="miter"/>
            <v:imagedata r:id="rId5" o:title=""/>
            <o:lock v:ext="edit" aspectratio="t"/>
            <w10:wrap type="none"/>
            <w10:anchorlock/>
          </v:shape>
          <o:OLEObject Type="Embed" ProgID="Equation.DSMT4" ShapeID="_x0000_i1026" DrawAspect="Content" ObjectID="_1468075726" r:id="rId6">
            <o:LockedField>false</o:LockedField>
          </o:OLEObject>
        </w:object>
      </w:r>
      <w:r>
        <w:rPr>
          <w:rFonts w:ascii="Times New Roman" w:hAnsi="Times New Roman"/>
          <w:sz w:val="24"/>
          <w:szCs w:val="24"/>
        </w:rPr>
        <w:t>± s</w:t>
      </w:r>
      <w:r>
        <w:rPr>
          <w:rFonts w:hint="default" w:ascii="Times New Roman" w:hAnsi="Times New Roman" w:cs="Times New Roman" w:eastAsiaTheme="minorEastAsia"/>
          <w:snapToGrid w:val="0"/>
          <w:kern w:val="2"/>
          <w:sz w:val="24"/>
          <w:szCs w:val="24"/>
        </w:rPr>
        <w:t>, points)</w:t>
      </w:r>
    </w:p>
    <w:tbl>
      <w:tblPr>
        <w:tblStyle w:val="5"/>
        <w:tblW w:w="5111"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788"/>
        <w:gridCol w:w="820"/>
        <w:gridCol w:w="2383"/>
        <w:gridCol w:w="1748"/>
        <w:gridCol w:w="1689"/>
        <w:gridCol w:w="1645"/>
      </w:tblGrid>
      <w:tr w14:paraId="7FA9D1E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887" w:type="pct"/>
            <w:vMerge w:val="restart"/>
            <w:tcBorders>
              <w:top w:val="single" w:color="auto" w:sz="12" w:space="0"/>
              <w:left w:val="nil"/>
              <w:right w:val="nil"/>
            </w:tcBorders>
            <w:noWrap w:val="0"/>
            <w:tcMar>
              <w:top w:w="-1" w:type="dxa"/>
              <w:left w:w="-1" w:type="dxa"/>
              <w:bottom w:w="-1" w:type="dxa"/>
              <w:right w:w="-1" w:type="dxa"/>
            </w:tcMar>
            <w:vAlign w:val="center"/>
          </w:tcPr>
          <w:p w14:paraId="63725A7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sz w:val="24"/>
                <w:szCs w:val="24"/>
              </w:rPr>
            </w:pPr>
            <w:r>
              <w:rPr>
                <w:rFonts w:hint="default" w:ascii="Times New Roman" w:hAnsi="Times New Roman" w:eastAsia="Segoe UI" w:cs="Times New Roman"/>
                <w:b/>
                <w:bCs/>
                <w:i w:val="0"/>
                <w:iCs w:val="0"/>
                <w:caps w:val="0"/>
                <w:color w:val="0F1115"/>
                <w:spacing w:val="0"/>
                <w:sz w:val="24"/>
                <w:szCs w:val="24"/>
                <w:shd w:val="clear" w:fill="FFFFFF"/>
              </w:rPr>
              <w:t>Group</w:t>
            </w:r>
          </w:p>
        </w:tc>
        <w:tc>
          <w:tcPr>
            <w:tcW w:w="407" w:type="pct"/>
            <w:vMerge w:val="restart"/>
            <w:tcBorders>
              <w:top w:val="single" w:color="auto" w:sz="12" w:space="0"/>
              <w:left w:val="nil"/>
              <w:right w:val="nil"/>
            </w:tcBorders>
            <w:noWrap w:val="0"/>
            <w:tcMar>
              <w:top w:w="-1" w:type="dxa"/>
              <w:left w:w="-1" w:type="dxa"/>
              <w:bottom w:w="-1" w:type="dxa"/>
              <w:right w:w="-1" w:type="dxa"/>
            </w:tcMar>
            <w:vAlign w:val="center"/>
          </w:tcPr>
          <w:p w14:paraId="48D2D94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sz w:val="24"/>
                <w:szCs w:val="24"/>
              </w:rPr>
            </w:pPr>
            <w:r>
              <w:rPr>
                <w:rFonts w:hint="default" w:ascii="Times New Roman" w:hAnsi="Times New Roman" w:eastAsia="Segoe UI" w:cs="Times New Roman"/>
                <w:b/>
                <w:bCs/>
                <w:i w:val="0"/>
                <w:iCs w:val="0"/>
                <w:caps w:val="0"/>
                <w:color w:val="0F1115"/>
                <w:spacing w:val="0"/>
                <w:sz w:val="24"/>
                <w:szCs w:val="24"/>
                <w:shd w:val="clear" w:fill="FFFFFF"/>
              </w:rPr>
              <w:t>Cases</w:t>
            </w:r>
          </w:p>
        </w:tc>
        <w:tc>
          <w:tcPr>
            <w:tcW w:w="1182" w:type="pct"/>
            <w:tcBorders>
              <w:top w:val="single" w:color="auto" w:sz="12" w:space="0"/>
              <w:left w:val="nil"/>
              <w:bottom w:val="nil"/>
              <w:right w:val="nil"/>
            </w:tcBorders>
            <w:noWrap w:val="0"/>
            <w:tcMar>
              <w:top w:w="-1" w:type="dxa"/>
              <w:left w:w="-1" w:type="dxa"/>
              <w:bottom w:w="-1" w:type="dxa"/>
              <w:right w:w="-1" w:type="dxa"/>
            </w:tcMar>
            <w:vAlign w:val="center"/>
          </w:tcPr>
          <w:p w14:paraId="5722D21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sz w:val="24"/>
                <w:szCs w:val="24"/>
              </w:rPr>
            </w:pPr>
            <w:r>
              <w:rPr>
                <w:rFonts w:hint="default" w:ascii="Times New Roman" w:hAnsi="Times New Roman" w:eastAsia="Segoe UI" w:cs="Times New Roman"/>
                <w:b/>
                <w:bCs/>
                <w:i w:val="0"/>
                <w:iCs w:val="0"/>
                <w:caps w:val="0"/>
                <w:color w:val="0F1115"/>
                <w:spacing w:val="0"/>
                <w:sz w:val="24"/>
                <w:szCs w:val="24"/>
                <w:shd w:val="clear" w:fill="FFFFFF"/>
              </w:rPr>
              <w:t>Constant-Murley score</w:t>
            </w:r>
          </w:p>
        </w:tc>
        <w:tc>
          <w:tcPr>
            <w:tcW w:w="867" w:type="pct"/>
            <w:tcBorders>
              <w:top w:val="single" w:color="auto" w:sz="12" w:space="0"/>
              <w:left w:val="nil"/>
              <w:bottom w:val="nil"/>
              <w:right w:val="nil"/>
            </w:tcBorders>
            <w:noWrap w:val="0"/>
            <w:tcMar>
              <w:top w:w="-1" w:type="dxa"/>
              <w:left w:w="-1" w:type="dxa"/>
              <w:bottom w:w="-1" w:type="dxa"/>
              <w:right w:w="-1" w:type="dxa"/>
            </w:tcMar>
            <w:vAlign w:val="center"/>
          </w:tcPr>
          <w:p w14:paraId="2DE2412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sz w:val="24"/>
                <w:szCs w:val="24"/>
              </w:rPr>
            </w:pPr>
          </w:p>
        </w:tc>
        <w:tc>
          <w:tcPr>
            <w:tcW w:w="838" w:type="pct"/>
            <w:tcBorders>
              <w:top w:val="single" w:color="auto" w:sz="12" w:space="0"/>
              <w:left w:val="nil"/>
              <w:bottom w:val="nil"/>
              <w:right w:val="nil"/>
            </w:tcBorders>
            <w:noWrap w:val="0"/>
            <w:tcMar>
              <w:top w:w="-1" w:type="dxa"/>
              <w:left w:w="-1" w:type="dxa"/>
              <w:bottom w:w="-1" w:type="dxa"/>
              <w:right w:w="-1" w:type="dxa"/>
            </w:tcMar>
            <w:vAlign w:val="center"/>
          </w:tcPr>
          <w:p w14:paraId="4E4FF14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sz w:val="24"/>
                <w:szCs w:val="24"/>
              </w:rPr>
            </w:pPr>
            <w:r>
              <w:rPr>
                <w:rFonts w:hint="default" w:ascii="Times New Roman" w:hAnsi="Times New Roman" w:eastAsia="Segoe UI" w:cs="Times New Roman"/>
                <w:b/>
                <w:bCs/>
                <w:i w:val="0"/>
                <w:iCs w:val="0"/>
                <w:caps w:val="0"/>
                <w:color w:val="0F1115"/>
                <w:spacing w:val="0"/>
                <w:sz w:val="24"/>
                <w:szCs w:val="24"/>
                <w:shd w:val="clear" w:fill="FFFFFF"/>
              </w:rPr>
              <w:t>VAS score</w:t>
            </w:r>
          </w:p>
        </w:tc>
        <w:tc>
          <w:tcPr>
            <w:tcW w:w="816" w:type="pct"/>
            <w:tcBorders>
              <w:top w:val="single" w:color="auto" w:sz="12" w:space="0"/>
              <w:left w:val="nil"/>
              <w:bottom w:val="nil"/>
              <w:right w:val="nil"/>
            </w:tcBorders>
            <w:noWrap w:val="0"/>
            <w:tcMar>
              <w:top w:w="-1" w:type="dxa"/>
              <w:left w:w="-1" w:type="dxa"/>
              <w:bottom w:w="-1" w:type="dxa"/>
              <w:right w:w="-1" w:type="dxa"/>
            </w:tcMar>
            <w:vAlign w:val="center"/>
          </w:tcPr>
          <w:p w14:paraId="361EB72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sz w:val="24"/>
                <w:szCs w:val="24"/>
              </w:rPr>
            </w:pPr>
          </w:p>
        </w:tc>
      </w:tr>
      <w:tr w14:paraId="27FA9C3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887" w:type="pct"/>
            <w:vMerge w:val="continue"/>
            <w:tcBorders>
              <w:left w:val="nil"/>
              <w:bottom w:val="single" w:color="auto" w:sz="4" w:space="0"/>
              <w:right w:val="nil"/>
            </w:tcBorders>
            <w:noWrap w:val="0"/>
            <w:tcMar>
              <w:top w:w="-1" w:type="dxa"/>
              <w:left w:w="-1" w:type="dxa"/>
              <w:bottom w:w="-1" w:type="dxa"/>
              <w:right w:w="-1" w:type="dxa"/>
            </w:tcMar>
            <w:vAlign w:val="center"/>
          </w:tcPr>
          <w:p w14:paraId="2DCDA8E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sz w:val="24"/>
                <w:szCs w:val="24"/>
              </w:rPr>
            </w:pPr>
          </w:p>
        </w:tc>
        <w:tc>
          <w:tcPr>
            <w:tcW w:w="407" w:type="pct"/>
            <w:vMerge w:val="continue"/>
            <w:tcBorders>
              <w:left w:val="nil"/>
              <w:bottom w:val="single" w:color="auto" w:sz="4" w:space="0"/>
              <w:right w:val="nil"/>
            </w:tcBorders>
            <w:noWrap w:val="0"/>
            <w:tcMar>
              <w:top w:w="-1" w:type="dxa"/>
              <w:left w:w="-1" w:type="dxa"/>
              <w:bottom w:w="-1" w:type="dxa"/>
              <w:right w:w="-1" w:type="dxa"/>
            </w:tcMar>
            <w:vAlign w:val="center"/>
          </w:tcPr>
          <w:p w14:paraId="18F14A7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sz w:val="24"/>
                <w:szCs w:val="24"/>
              </w:rPr>
            </w:pPr>
          </w:p>
        </w:tc>
        <w:tc>
          <w:tcPr>
            <w:tcW w:w="1182" w:type="pct"/>
            <w:tcBorders>
              <w:top w:val="single" w:color="auto" w:sz="4" w:space="0"/>
              <w:left w:val="nil"/>
              <w:bottom w:val="single" w:color="auto" w:sz="4" w:space="0"/>
              <w:right w:val="nil"/>
            </w:tcBorders>
            <w:noWrap w:val="0"/>
            <w:tcMar>
              <w:top w:w="-1" w:type="dxa"/>
              <w:left w:w="-1" w:type="dxa"/>
              <w:bottom w:w="-1" w:type="dxa"/>
              <w:right w:w="-1" w:type="dxa"/>
            </w:tcMar>
            <w:vAlign w:val="center"/>
          </w:tcPr>
          <w:p w14:paraId="5E4EBBD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sz w:val="24"/>
                <w:szCs w:val="24"/>
              </w:rPr>
            </w:pPr>
            <w:r>
              <w:rPr>
                <w:rFonts w:hint="default" w:ascii="Times New Roman" w:hAnsi="Times New Roman" w:eastAsia="Segoe UI" w:cs="Times New Roman"/>
                <w:b/>
                <w:bCs/>
                <w:i w:val="0"/>
                <w:iCs w:val="0"/>
                <w:caps w:val="0"/>
                <w:color w:val="0F1115"/>
                <w:spacing w:val="0"/>
                <w:sz w:val="24"/>
                <w:szCs w:val="24"/>
                <w:shd w:val="clear" w:fill="FFFFFF"/>
              </w:rPr>
              <w:t>Before treatment</w:t>
            </w:r>
          </w:p>
        </w:tc>
        <w:tc>
          <w:tcPr>
            <w:tcW w:w="867" w:type="pct"/>
            <w:tcBorders>
              <w:top w:val="single" w:color="auto" w:sz="4" w:space="0"/>
              <w:left w:val="nil"/>
              <w:bottom w:val="single" w:color="auto" w:sz="4" w:space="0"/>
              <w:right w:val="nil"/>
            </w:tcBorders>
            <w:noWrap w:val="0"/>
            <w:tcMar>
              <w:top w:w="-1" w:type="dxa"/>
              <w:left w:w="-1" w:type="dxa"/>
              <w:bottom w:w="-1" w:type="dxa"/>
              <w:right w:w="-1" w:type="dxa"/>
            </w:tcMar>
            <w:vAlign w:val="center"/>
          </w:tcPr>
          <w:p w14:paraId="3998412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sz w:val="24"/>
                <w:szCs w:val="24"/>
              </w:rPr>
            </w:pPr>
            <w:r>
              <w:rPr>
                <w:rFonts w:hint="default" w:ascii="Times New Roman" w:hAnsi="Times New Roman" w:eastAsia="Segoe UI" w:cs="Times New Roman"/>
                <w:b/>
                <w:bCs/>
                <w:i w:val="0"/>
                <w:iCs w:val="0"/>
                <w:caps w:val="0"/>
                <w:color w:val="0F1115"/>
                <w:spacing w:val="0"/>
                <w:sz w:val="24"/>
                <w:szCs w:val="24"/>
                <w:shd w:val="clear" w:fill="FFFFFF"/>
              </w:rPr>
              <w:t>After treatment</w:t>
            </w:r>
          </w:p>
        </w:tc>
        <w:tc>
          <w:tcPr>
            <w:tcW w:w="838" w:type="pct"/>
            <w:tcBorders>
              <w:top w:val="single" w:color="auto" w:sz="4" w:space="0"/>
              <w:left w:val="nil"/>
              <w:bottom w:val="single" w:color="auto" w:sz="4" w:space="0"/>
              <w:right w:val="nil"/>
            </w:tcBorders>
            <w:noWrap w:val="0"/>
            <w:tcMar>
              <w:top w:w="-1" w:type="dxa"/>
              <w:left w:w="-1" w:type="dxa"/>
              <w:bottom w:w="-1" w:type="dxa"/>
              <w:right w:w="-1" w:type="dxa"/>
            </w:tcMar>
            <w:vAlign w:val="center"/>
          </w:tcPr>
          <w:p w14:paraId="1E3CA72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sz w:val="24"/>
                <w:szCs w:val="24"/>
              </w:rPr>
            </w:pPr>
            <w:r>
              <w:rPr>
                <w:rFonts w:hint="default" w:ascii="Times New Roman" w:hAnsi="Times New Roman" w:eastAsia="Segoe UI" w:cs="Times New Roman"/>
                <w:b/>
                <w:bCs/>
                <w:i w:val="0"/>
                <w:iCs w:val="0"/>
                <w:caps w:val="0"/>
                <w:color w:val="0F1115"/>
                <w:spacing w:val="0"/>
                <w:sz w:val="24"/>
                <w:szCs w:val="24"/>
                <w:shd w:val="clear" w:fill="FFFFFF"/>
              </w:rPr>
              <w:t>Before treatment</w:t>
            </w:r>
          </w:p>
        </w:tc>
        <w:tc>
          <w:tcPr>
            <w:tcW w:w="816" w:type="pct"/>
            <w:tcBorders>
              <w:top w:val="single" w:color="auto" w:sz="4" w:space="0"/>
              <w:left w:val="nil"/>
              <w:bottom w:val="single" w:color="auto" w:sz="4" w:space="0"/>
              <w:right w:val="nil"/>
            </w:tcBorders>
            <w:noWrap w:val="0"/>
            <w:tcMar>
              <w:top w:w="-1" w:type="dxa"/>
              <w:left w:w="-1" w:type="dxa"/>
              <w:bottom w:w="-1" w:type="dxa"/>
              <w:right w:w="-1" w:type="dxa"/>
            </w:tcMar>
            <w:vAlign w:val="center"/>
          </w:tcPr>
          <w:p w14:paraId="0FD2DBE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sz w:val="24"/>
                <w:szCs w:val="24"/>
              </w:rPr>
            </w:pPr>
            <w:r>
              <w:rPr>
                <w:rFonts w:hint="default" w:ascii="Times New Roman" w:hAnsi="Times New Roman" w:eastAsia="Segoe UI" w:cs="Times New Roman"/>
                <w:b/>
                <w:bCs/>
                <w:i w:val="0"/>
                <w:iCs w:val="0"/>
                <w:caps w:val="0"/>
                <w:color w:val="0F1115"/>
                <w:spacing w:val="0"/>
                <w:sz w:val="24"/>
                <w:szCs w:val="24"/>
                <w:shd w:val="clear" w:fill="FFFFFF"/>
              </w:rPr>
              <w:t>After treatment</w:t>
            </w:r>
          </w:p>
        </w:tc>
      </w:tr>
      <w:tr w14:paraId="2321F6A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887" w:type="pct"/>
            <w:tcBorders>
              <w:top w:val="single" w:color="auto" w:sz="4" w:space="0"/>
              <w:left w:val="nil"/>
              <w:bottom w:val="nil"/>
              <w:right w:val="nil"/>
            </w:tcBorders>
            <w:noWrap w:val="0"/>
            <w:tcMar>
              <w:top w:w="-1" w:type="dxa"/>
              <w:left w:w="-1" w:type="dxa"/>
              <w:bottom w:w="-1" w:type="dxa"/>
              <w:right w:w="-1" w:type="dxa"/>
            </w:tcMar>
            <w:vAlign w:val="center"/>
          </w:tcPr>
          <w:p w14:paraId="3F42050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Observation group</w:t>
            </w:r>
          </w:p>
        </w:tc>
        <w:tc>
          <w:tcPr>
            <w:tcW w:w="407" w:type="pct"/>
            <w:tcBorders>
              <w:top w:val="single" w:color="auto" w:sz="4" w:space="0"/>
              <w:left w:val="nil"/>
              <w:bottom w:val="nil"/>
              <w:right w:val="nil"/>
            </w:tcBorders>
            <w:noWrap w:val="0"/>
            <w:tcMar>
              <w:top w:w="-1" w:type="dxa"/>
              <w:left w:w="-1" w:type="dxa"/>
              <w:bottom w:w="-1" w:type="dxa"/>
              <w:right w:w="-1" w:type="dxa"/>
            </w:tcMar>
            <w:vAlign w:val="center"/>
          </w:tcPr>
          <w:p w14:paraId="2EB815E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35</w:t>
            </w:r>
          </w:p>
        </w:tc>
        <w:tc>
          <w:tcPr>
            <w:tcW w:w="1182" w:type="pct"/>
            <w:tcBorders>
              <w:top w:val="single" w:color="auto" w:sz="4" w:space="0"/>
              <w:left w:val="nil"/>
              <w:bottom w:val="nil"/>
              <w:right w:val="nil"/>
            </w:tcBorders>
            <w:noWrap w:val="0"/>
            <w:tcMar>
              <w:top w:w="-1" w:type="dxa"/>
              <w:left w:w="-1" w:type="dxa"/>
              <w:bottom w:w="-1" w:type="dxa"/>
              <w:right w:w="-1" w:type="dxa"/>
            </w:tcMar>
            <w:vAlign w:val="center"/>
          </w:tcPr>
          <w:p w14:paraId="5992224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41.33±14.36</w:t>
            </w:r>
          </w:p>
        </w:tc>
        <w:tc>
          <w:tcPr>
            <w:tcW w:w="867" w:type="pct"/>
            <w:tcBorders>
              <w:top w:val="single" w:color="auto" w:sz="4" w:space="0"/>
              <w:left w:val="nil"/>
              <w:bottom w:val="nil"/>
              <w:right w:val="nil"/>
            </w:tcBorders>
            <w:noWrap w:val="0"/>
            <w:tcMar>
              <w:top w:w="-1" w:type="dxa"/>
              <w:left w:w="-1" w:type="dxa"/>
              <w:bottom w:w="-1" w:type="dxa"/>
              <w:right w:w="-1" w:type="dxa"/>
            </w:tcMar>
            <w:vAlign w:val="center"/>
          </w:tcPr>
          <w:p w14:paraId="4634F6A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68.84±9.48</w:t>
            </w:r>
            <w:r>
              <w:rPr>
                <w:rFonts w:hint="default" w:ascii="Times New Roman" w:hAnsi="Times New Roman" w:eastAsia="Segoe UI" w:cs="Times New Roman"/>
                <w:i w:val="0"/>
                <w:iCs w:val="0"/>
                <w:caps w:val="0"/>
                <w:color w:val="0F1115"/>
                <w:spacing w:val="0"/>
                <w:sz w:val="24"/>
                <w:szCs w:val="24"/>
                <w:shd w:val="clear" w:fill="FFFFFF"/>
                <w:vertAlign w:val="superscript"/>
              </w:rPr>
              <w:t>#</w:t>
            </w:r>
          </w:p>
        </w:tc>
        <w:tc>
          <w:tcPr>
            <w:tcW w:w="838" w:type="pct"/>
            <w:tcBorders>
              <w:top w:val="single" w:color="auto" w:sz="4" w:space="0"/>
              <w:left w:val="nil"/>
              <w:bottom w:val="nil"/>
              <w:right w:val="nil"/>
            </w:tcBorders>
            <w:noWrap w:val="0"/>
            <w:tcMar>
              <w:top w:w="-1" w:type="dxa"/>
              <w:left w:w="-1" w:type="dxa"/>
              <w:bottom w:w="-1" w:type="dxa"/>
              <w:right w:w="-1" w:type="dxa"/>
            </w:tcMar>
            <w:vAlign w:val="center"/>
          </w:tcPr>
          <w:p w14:paraId="1BA6954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7.28±1.73</w:t>
            </w:r>
          </w:p>
        </w:tc>
        <w:tc>
          <w:tcPr>
            <w:tcW w:w="816" w:type="pct"/>
            <w:tcBorders>
              <w:top w:val="single" w:color="auto" w:sz="4" w:space="0"/>
              <w:left w:val="nil"/>
              <w:bottom w:val="nil"/>
              <w:right w:val="nil"/>
            </w:tcBorders>
            <w:noWrap w:val="0"/>
            <w:tcMar>
              <w:top w:w="-1" w:type="dxa"/>
              <w:left w:w="-1" w:type="dxa"/>
              <w:bottom w:w="-1" w:type="dxa"/>
              <w:right w:w="-1" w:type="dxa"/>
            </w:tcMar>
            <w:vAlign w:val="center"/>
          </w:tcPr>
          <w:p w14:paraId="073A045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2.29±0.86</w:t>
            </w:r>
            <w:r>
              <w:rPr>
                <w:rFonts w:hint="default" w:ascii="Times New Roman" w:hAnsi="Times New Roman" w:eastAsia="Segoe UI" w:cs="Times New Roman"/>
                <w:i w:val="0"/>
                <w:iCs w:val="0"/>
                <w:caps w:val="0"/>
                <w:color w:val="0F1115"/>
                <w:spacing w:val="0"/>
                <w:sz w:val="24"/>
                <w:szCs w:val="24"/>
                <w:shd w:val="clear" w:fill="FFFFFF"/>
                <w:vertAlign w:val="superscript"/>
              </w:rPr>
              <w:t>#</w:t>
            </w:r>
          </w:p>
        </w:tc>
      </w:tr>
      <w:tr w14:paraId="643083C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887" w:type="pct"/>
            <w:tcBorders>
              <w:top w:val="nil"/>
              <w:left w:val="nil"/>
              <w:bottom w:val="nil"/>
              <w:right w:val="nil"/>
            </w:tcBorders>
            <w:noWrap w:val="0"/>
            <w:tcMar>
              <w:top w:w="-1" w:type="dxa"/>
              <w:left w:w="-1" w:type="dxa"/>
              <w:bottom w:w="-1" w:type="dxa"/>
              <w:right w:w="-1" w:type="dxa"/>
            </w:tcMar>
            <w:vAlign w:val="center"/>
          </w:tcPr>
          <w:p w14:paraId="0069C46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Control group</w:t>
            </w:r>
          </w:p>
        </w:tc>
        <w:tc>
          <w:tcPr>
            <w:tcW w:w="407" w:type="pct"/>
            <w:tcBorders>
              <w:top w:val="nil"/>
              <w:left w:val="nil"/>
              <w:bottom w:val="nil"/>
              <w:right w:val="nil"/>
            </w:tcBorders>
            <w:noWrap w:val="0"/>
            <w:tcMar>
              <w:top w:w="-1" w:type="dxa"/>
              <w:left w:w="-1" w:type="dxa"/>
              <w:bottom w:w="-1" w:type="dxa"/>
              <w:right w:w="-1" w:type="dxa"/>
            </w:tcMar>
            <w:vAlign w:val="center"/>
          </w:tcPr>
          <w:p w14:paraId="1FFB380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35</w:t>
            </w:r>
          </w:p>
        </w:tc>
        <w:tc>
          <w:tcPr>
            <w:tcW w:w="1182" w:type="pct"/>
            <w:tcBorders>
              <w:top w:val="nil"/>
              <w:left w:val="nil"/>
              <w:bottom w:val="nil"/>
              <w:right w:val="nil"/>
            </w:tcBorders>
            <w:noWrap w:val="0"/>
            <w:tcMar>
              <w:top w:w="-1" w:type="dxa"/>
              <w:left w:w="-1" w:type="dxa"/>
              <w:bottom w:w="-1" w:type="dxa"/>
              <w:right w:w="-1" w:type="dxa"/>
            </w:tcMar>
            <w:vAlign w:val="center"/>
          </w:tcPr>
          <w:p w14:paraId="1E5B4E5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40.89±13.95</w:t>
            </w:r>
          </w:p>
        </w:tc>
        <w:tc>
          <w:tcPr>
            <w:tcW w:w="867" w:type="pct"/>
            <w:tcBorders>
              <w:top w:val="nil"/>
              <w:left w:val="nil"/>
              <w:bottom w:val="nil"/>
              <w:right w:val="nil"/>
            </w:tcBorders>
            <w:noWrap w:val="0"/>
            <w:tcMar>
              <w:top w:w="-1" w:type="dxa"/>
              <w:left w:w="-1" w:type="dxa"/>
              <w:bottom w:w="-1" w:type="dxa"/>
              <w:right w:w="-1" w:type="dxa"/>
            </w:tcMar>
            <w:vAlign w:val="center"/>
          </w:tcPr>
          <w:p w14:paraId="0E467EE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53.76±10.52</w:t>
            </w:r>
            <w:r>
              <w:rPr>
                <w:rFonts w:hint="default" w:ascii="Times New Roman" w:hAnsi="Times New Roman" w:eastAsia="Segoe UI" w:cs="Times New Roman"/>
                <w:i w:val="0"/>
                <w:iCs w:val="0"/>
                <w:caps w:val="0"/>
                <w:color w:val="0F1115"/>
                <w:spacing w:val="0"/>
                <w:sz w:val="24"/>
                <w:szCs w:val="24"/>
                <w:shd w:val="clear" w:fill="FFFFFF"/>
                <w:vertAlign w:val="superscript"/>
              </w:rPr>
              <w:t>#</w:t>
            </w:r>
          </w:p>
        </w:tc>
        <w:tc>
          <w:tcPr>
            <w:tcW w:w="838" w:type="pct"/>
            <w:tcBorders>
              <w:top w:val="nil"/>
              <w:left w:val="nil"/>
              <w:bottom w:val="nil"/>
              <w:right w:val="nil"/>
            </w:tcBorders>
            <w:noWrap w:val="0"/>
            <w:tcMar>
              <w:top w:w="-1" w:type="dxa"/>
              <w:left w:w="-1" w:type="dxa"/>
              <w:bottom w:w="-1" w:type="dxa"/>
              <w:right w:w="-1" w:type="dxa"/>
            </w:tcMar>
            <w:vAlign w:val="center"/>
          </w:tcPr>
          <w:p w14:paraId="14FDF25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7.33±1.80</w:t>
            </w:r>
          </w:p>
        </w:tc>
        <w:tc>
          <w:tcPr>
            <w:tcW w:w="816" w:type="pct"/>
            <w:tcBorders>
              <w:top w:val="nil"/>
              <w:left w:val="nil"/>
              <w:bottom w:val="nil"/>
              <w:right w:val="nil"/>
            </w:tcBorders>
            <w:noWrap w:val="0"/>
            <w:tcMar>
              <w:top w:w="-1" w:type="dxa"/>
              <w:left w:w="-1" w:type="dxa"/>
              <w:bottom w:w="-1" w:type="dxa"/>
              <w:right w:w="-1" w:type="dxa"/>
            </w:tcMar>
            <w:vAlign w:val="center"/>
          </w:tcPr>
          <w:p w14:paraId="2D3E759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3.94±0.91</w:t>
            </w:r>
            <w:r>
              <w:rPr>
                <w:rFonts w:hint="default" w:ascii="Times New Roman" w:hAnsi="Times New Roman" w:eastAsia="Segoe UI" w:cs="Times New Roman"/>
                <w:i w:val="0"/>
                <w:iCs w:val="0"/>
                <w:caps w:val="0"/>
                <w:color w:val="0F1115"/>
                <w:spacing w:val="0"/>
                <w:sz w:val="24"/>
                <w:szCs w:val="24"/>
                <w:shd w:val="clear" w:fill="FFFFFF"/>
                <w:vertAlign w:val="superscript"/>
              </w:rPr>
              <w:t>#</w:t>
            </w:r>
          </w:p>
        </w:tc>
      </w:tr>
      <w:tr w14:paraId="66FCC3B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887" w:type="pct"/>
            <w:tcBorders>
              <w:top w:val="nil"/>
              <w:left w:val="nil"/>
              <w:bottom w:val="nil"/>
              <w:right w:val="nil"/>
            </w:tcBorders>
            <w:noWrap w:val="0"/>
            <w:tcMar>
              <w:top w:w="-1" w:type="dxa"/>
              <w:left w:w="-1" w:type="dxa"/>
              <w:bottom w:w="-1" w:type="dxa"/>
              <w:right w:w="-1" w:type="dxa"/>
            </w:tcMar>
            <w:vAlign w:val="center"/>
          </w:tcPr>
          <w:p w14:paraId="55A948C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iCs/>
                <w:caps w:val="0"/>
                <w:color w:val="0F1115"/>
                <w:spacing w:val="0"/>
                <w:sz w:val="24"/>
                <w:szCs w:val="24"/>
                <w:shd w:val="clear" w:fill="FFFFFF"/>
              </w:rPr>
              <w:t xml:space="preserve">t </w:t>
            </w:r>
            <w:r>
              <w:rPr>
                <w:rFonts w:hint="default" w:ascii="Times New Roman" w:hAnsi="Times New Roman" w:eastAsia="Segoe UI" w:cs="Times New Roman"/>
                <w:i w:val="0"/>
                <w:iCs w:val="0"/>
                <w:caps w:val="0"/>
                <w:color w:val="0F1115"/>
                <w:spacing w:val="0"/>
                <w:sz w:val="24"/>
                <w:szCs w:val="24"/>
                <w:shd w:val="clear" w:fill="FFFFFF"/>
              </w:rPr>
              <w:t>value</w:t>
            </w:r>
          </w:p>
        </w:tc>
        <w:tc>
          <w:tcPr>
            <w:tcW w:w="407" w:type="pct"/>
            <w:tcBorders>
              <w:top w:val="nil"/>
              <w:left w:val="nil"/>
              <w:bottom w:val="nil"/>
              <w:right w:val="nil"/>
            </w:tcBorders>
            <w:noWrap w:val="0"/>
            <w:tcMar>
              <w:top w:w="-1" w:type="dxa"/>
              <w:left w:w="-1" w:type="dxa"/>
              <w:bottom w:w="-1" w:type="dxa"/>
              <w:right w:w="-1" w:type="dxa"/>
            </w:tcMar>
            <w:vAlign w:val="center"/>
          </w:tcPr>
          <w:p w14:paraId="177EC8A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p>
        </w:tc>
        <w:tc>
          <w:tcPr>
            <w:tcW w:w="1182" w:type="pct"/>
            <w:tcBorders>
              <w:top w:val="nil"/>
              <w:left w:val="nil"/>
              <w:bottom w:val="nil"/>
              <w:right w:val="nil"/>
            </w:tcBorders>
            <w:noWrap w:val="0"/>
            <w:tcMar>
              <w:top w:w="-1" w:type="dxa"/>
              <w:left w:w="-1" w:type="dxa"/>
              <w:bottom w:w="-1" w:type="dxa"/>
              <w:right w:w="-1" w:type="dxa"/>
            </w:tcMar>
            <w:vAlign w:val="center"/>
          </w:tcPr>
          <w:p w14:paraId="2878990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0.13</w:t>
            </w:r>
          </w:p>
        </w:tc>
        <w:tc>
          <w:tcPr>
            <w:tcW w:w="867" w:type="pct"/>
            <w:tcBorders>
              <w:top w:val="nil"/>
              <w:left w:val="nil"/>
              <w:bottom w:val="nil"/>
              <w:right w:val="nil"/>
            </w:tcBorders>
            <w:noWrap w:val="0"/>
            <w:tcMar>
              <w:top w:w="-1" w:type="dxa"/>
              <w:left w:w="-1" w:type="dxa"/>
              <w:bottom w:w="-1" w:type="dxa"/>
              <w:right w:w="-1" w:type="dxa"/>
            </w:tcMar>
            <w:vAlign w:val="center"/>
          </w:tcPr>
          <w:p w14:paraId="4D351DF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6.30</w:t>
            </w:r>
          </w:p>
        </w:tc>
        <w:tc>
          <w:tcPr>
            <w:tcW w:w="838" w:type="pct"/>
            <w:tcBorders>
              <w:top w:val="nil"/>
              <w:left w:val="nil"/>
              <w:bottom w:val="nil"/>
              <w:right w:val="nil"/>
            </w:tcBorders>
            <w:noWrap w:val="0"/>
            <w:tcMar>
              <w:top w:w="-1" w:type="dxa"/>
              <w:left w:w="-1" w:type="dxa"/>
              <w:bottom w:w="-1" w:type="dxa"/>
              <w:right w:w="-1" w:type="dxa"/>
            </w:tcMar>
            <w:vAlign w:val="center"/>
          </w:tcPr>
          <w:p w14:paraId="4F49A1B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0.12</w:t>
            </w:r>
          </w:p>
        </w:tc>
        <w:tc>
          <w:tcPr>
            <w:tcW w:w="816" w:type="pct"/>
            <w:tcBorders>
              <w:top w:val="nil"/>
              <w:left w:val="nil"/>
              <w:bottom w:val="nil"/>
              <w:right w:val="nil"/>
            </w:tcBorders>
            <w:noWrap w:val="0"/>
            <w:tcMar>
              <w:top w:w="-1" w:type="dxa"/>
              <w:left w:w="-1" w:type="dxa"/>
              <w:bottom w:w="-1" w:type="dxa"/>
              <w:right w:w="-1" w:type="dxa"/>
            </w:tcMar>
            <w:vAlign w:val="center"/>
          </w:tcPr>
          <w:p w14:paraId="263C751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7.79</w:t>
            </w:r>
          </w:p>
        </w:tc>
      </w:tr>
      <w:tr w14:paraId="57789B3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887" w:type="pct"/>
            <w:tcBorders>
              <w:top w:val="nil"/>
              <w:left w:val="nil"/>
              <w:bottom w:val="single" w:color="auto" w:sz="12" w:space="0"/>
              <w:right w:val="nil"/>
            </w:tcBorders>
            <w:noWrap w:val="0"/>
            <w:tcMar>
              <w:top w:w="-1" w:type="dxa"/>
              <w:left w:w="-1" w:type="dxa"/>
              <w:bottom w:w="-1" w:type="dxa"/>
              <w:right w:w="-1" w:type="dxa"/>
            </w:tcMar>
            <w:vAlign w:val="center"/>
          </w:tcPr>
          <w:p w14:paraId="68DB1C3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iCs/>
                <w:caps w:val="0"/>
                <w:color w:val="0F1115"/>
                <w:spacing w:val="0"/>
                <w:sz w:val="24"/>
                <w:szCs w:val="24"/>
                <w:shd w:val="clear" w:fill="FFFFFF"/>
              </w:rPr>
              <w:t>P</w:t>
            </w:r>
            <w:r>
              <w:rPr>
                <w:rFonts w:hint="default" w:ascii="Times New Roman" w:hAnsi="Times New Roman" w:eastAsia="Segoe UI" w:cs="Times New Roman"/>
                <w:i w:val="0"/>
                <w:iCs w:val="0"/>
                <w:caps w:val="0"/>
                <w:color w:val="0F1115"/>
                <w:spacing w:val="0"/>
                <w:sz w:val="24"/>
                <w:szCs w:val="24"/>
                <w:shd w:val="clear" w:fill="FFFFFF"/>
              </w:rPr>
              <w:t xml:space="preserve"> value</w:t>
            </w:r>
          </w:p>
        </w:tc>
        <w:tc>
          <w:tcPr>
            <w:tcW w:w="407" w:type="pct"/>
            <w:tcBorders>
              <w:top w:val="nil"/>
              <w:left w:val="nil"/>
              <w:bottom w:val="single" w:color="auto" w:sz="12" w:space="0"/>
              <w:right w:val="nil"/>
            </w:tcBorders>
            <w:noWrap w:val="0"/>
            <w:tcMar>
              <w:top w:w="-1" w:type="dxa"/>
              <w:left w:w="-1" w:type="dxa"/>
              <w:bottom w:w="-1" w:type="dxa"/>
              <w:right w:w="-1" w:type="dxa"/>
            </w:tcMar>
            <w:vAlign w:val="center"/>
          </w:tcPr>
          <w:p w14:paraId="6A9C02C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p>
        </w:tc>
        <w:tc>
          <w:tcPr>
            <w:tcW w:w="1182" w:type="pct"/>
            <w:tcBorders>
              <w:top w:val="nil"/>
              <w:left w:val="nil"/>
              <w:bottom w:val="single" w:color="auto" w:sz="12" w:space="0"/>
              <w:right w:val="nil"/>
            </w:tcBorders>
            <w:noWrap w:val="0"/>
            <w:tcMar>
              <w:top w:w="-1" w:type="dxa"/>
              <w:left w:w="-1" w:type="dxa"/>
              <w:bottom w:w="-1" w:type="dxa"/>
              <w:right w:w="-1" w:type="dxa"/>
            </w:tcMar>
            <w:vAlign w:val="center"/>
          </w:tcPr>
          <w:p w14:paraId="46FD45E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0.74</w:t>
            </w:r>
          </w:p>
        </w:tc>
        <w:tc>
          <w:tcPr>
            <w:tcW w:w="867" w:type="pct"/>
            <w:tcBorders>
              <w:top w:val="nil"/>
              <w:left w:val="nil"/>
              <w:bottom w:val="single" w:color="auto" w:sz="12" w:space="0"/>
              <w:right w:val="nil"/>
            </w:tcBorders>
            <w:noWrap w:val="0"/>
            <w:tcMar>
              <w:top w:w="-1" w:type="dxa"/>
              <w:left w:w="-1" w:type="dxa"/>
              <w:bottom w:w="-1" w:type="dxa"/>
              <w:right w:w="-1" w:type="dxa"/>
            </w:tcMar>
            <w:vAlign w:val="center"/>
          </w:tcPr>
          <w:p w14:paraId="03C1947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0.00</w:t>
            </w:r>
          </w:p>
        </w:tc>
        <w:tc>
          <w:tcPr>
            <w:tcW w:w="838" w:type="pct"/>
            <w:tcBorders>
              <w:top w:val="nil"/>
              <w:left w:val="nil"/>
              <w:bottom w:val="single" w:color="auto" w:sz="12" w:space="0"/>
              <w:right w:val="nil"/>
            </w:tcBorders>
            <w:noWrap w:val="0"/>
            <w:tcMar>
              <w:top w:w="-1" w:type="dxa"/>
              <w:left w:w="-1" w:type="dxa"/>
              <w:bottom w:w="-1" w:type="dxa"/>
              <w:right w:w="-1" w:type="dxa"/>
            </w:tcMar>
            <w:vAlign w:val="center"/>
          </w:tcPr>
          <w:p w14:paraId="543FD76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0.77</w:t>
            </w:r>
          </w:p>
        </w:tc>
        <w:tc>
          <w:tcPr>
            <w:tcW w:w="816" w:type="pct"/>
            <w:tcBorders>
              <w:top w:val="nil"/>
              <w:left w:val="nil"/>
              <w:bottom w:val="single" w:color="auto" w:sz="12" w:space="0"/>
              <w:right w:val="nil"/>
            </w:tcBorders>
            <w:noWrap w:val="0"/>
            <w:tcMar>
              <w:top w:w="-1" w:type="dxa"/>
              <w:left w:w="-1" w:type="dxa"/>
              <w:bottom w:w="-1" w:type="dxa"/>
              <w:right w:w="-1" w:type="dxa"/>
            </w:tcMar>
            <w:vAlign w:val="center"/>
          </w:tcPr>
          <w:p w14:paraId="7ABC9F9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0.00</w:t>
            </w:r>
          </w:p>
        </w:tc>
      </w:tr>
    </w:tbl>
    <w:p w14:paraId="3AAC1F34">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 xml:space="preserve">Note: Compared with the same group before treatment, </w:t>
      </w:r>
      <w:r>
        <w:rPr>
          <w:rFonts w:hint="default" w:ascii="Times New Roman" w:hAnsi="Times New Roman" w:eastAsia="Segoe UI" w:cs="Times New Roman"/>
          <w:i w:val="0"/>
          <w:iCs w:val="0"/>
          <w:caps w:val="0"/>
          <w:color w:val="0F1115"/>
          <w:spacing w:val="0"/>
          <w:sz w:val="24"/>
          <w:szCs w:val="24"/>
          <w:shd w:val="clear" w:fill="FFFFFF"/>
          <w:vertAlign w:val="superscript"/>
        </w:rPr>
        <w:t>#</w:t>
      </w:r>
      <w:r>
        <w:rPr>
          <w:rFonts w:hint="default" w:ascii="Times New Roman" w:hAnsi="Times New Roman" w:eastAsia="Segoe UI" w:cs="Times New Roman"/>
          <w:i/>
          <w:iCs/>
          <w:caps w:val="0"/>
          <w:color w:val="0F1115"/>
          <w:spacing w:val="0"/>
          <w:sz w:val="24"/>
          <w:szCs w:val="24"/>
          <w:shd w:val="clear" w:fill="FFFFFF"/>
        </w:rPr>
        <w:t>P</w:t>
      </w:r>
      <w:r>
        <w:rPr>
          <w:rFonts w:hint="default" w:ascii="Times New Roman" w:hAnsi="Times New Roman" w:eastAsia="Segoe UI" w:cs="Times New Roman"/>
          <w:i w:val="0"/>
          <w:iCs w:val="0"/>
          <w:caps w:val="0"/>
          <w:color w:val="0F1115"/>
          <w:spacing w:val="0"/>
          <w:sz w:val="24"/>
          <w:szCs w:val="24"/>
          <w:shd w:val="clear" w:fill="FFFFFF"/>
        </w:rPr>
        <w:t xml:space="preserve"> &lt; 0.00</w:t>
      </w:r>
    </w:p>
    <w:p w14:paraId="58928FFC">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i w:val="0"/>
          <w:iCs w:val="0"/>
          <w:caps w:val="0"/>
          <w:color w:val="0F1115"/>
          <w:spacing w:val="0"/>
          <w:sz w:val="24"/>
          <w:szCs w:val="24"/>
          <w:shd w:val="clear" w:fill="FFFFFF"/>
        </w:rPr>
      </w:pPr>
    </w:p>
    <w:p w14:paraId="17962D3C">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b/>
          <w:bCs/>
          <w:i w:val="0"/>
          <w:iCs w:val="0"/>
          <w:caps w:val="0"/>
          <w:color w:val="0F1115"/>
          <w:spacing w:val="0"/>
          <w:sz w:val="24"/>
          <w:szCs w:val="24"/>
          <w:shd w:val="clear" w:fill="FFFFFF"/>
        </w:rPr>
      </w:pPr>
      <w:r>
        <w:rPr>
          <w:rFonts w:hint="eastAsia" w:ascii="Times New Roman" w:hAnsi="Times New Roman" w:eastAsia="宋体" w:cs="Times New Roman"/>
          <w:b/>
          <w:bCs/>
          <w:i w:val="0"/>
          <w:iCs w:val="0"/>
          <w:caps w:val="0"/>
          <w:color w:val="0F1115"/>
          <w:spacing w:val="0"/>
          <w:sz w:val="24"/>
          <w:szCs w:val="24"/>
          <w:shd w:val="clear" w:fill="FFFFFF"/>
          <w:lang w:val="en-US" w:eastAsia="zh-CN"/>
        </w:rPr>
        <w:t>3</w:t>
      </w:r>
      <w:r>
        <w:rPr>
          <w:rFonts w:hint="default" w:ascii="Times New Roman" w:hAnsi="Times New Roman" w:eastAsia="Segoe UI" w:cs="Times New Roman"/>
          <w:b/>
          <w:bCs/>
          <w:i w:val="0"/>
          <w:iCs w:val="0"/>
          <w:caps w:val="0"/>
          <w:color w:val="0F1115"/>
          <w:spacing w:val="0"/>
          <w:sz w:val="24"/>
          <w:szCs w:val="24"/>
          <w:shd w:val="clear" w:fill="FFFFFF"/>
        </w:rPr>
        <w:t>.2</w:t>
      </w:r>
      <w:r>
        <w:rPr>
          <w:rFonts w:hint="default" w:ascii="Times New Roman" w:hAnsi="Times New Roman" w:eastAsia="宋体" w:cs="Times New Roman"/>
          <w:b/>
          <w:bCs/>
          <w:i w:val="0"/>
          <w:iCs w:val="0"/>
          <w:caps w:val="0"/>
          <w:color w:val="0F1115"/>
          <w:spacing w:val="0"/>
          <w:sz w:val="24"/>
          <w:szCs w:val="24"/>
          <w:shd w:val="clear" w:fill="FFFFFF"/>
          <w:lang w:val="en-US" w:eastAsia="zh-CN"/>
        </w:rPr>
        <w:t>.</w:t>
      </w:r>
      <w:r>
        <w:rPr>
          <w:rFonts w:hint="default" w:ascii="Times New Roman" w:hAnsi="Times New Roman" w:eastAsia="Segoe UI" w:cs="Times New Roman"/>
          <w:b/>
          <w:bCs/>
          <w:i w:val="0"/>
          <w:iCs w:val="0"/>
          <w:caps w:val="0"/>
          <w:color w:val="0F1115"/>
          <w:spacing w:val="0"/>
          <w:sz w:val="24"/>
          <w:szCs w:val="24"/>
          <w:shd w:val="clear" w:fill="FFFFFF"/>
        </w:rPr>
        <w:t xml:space="preserve"> Comparison of TCM </w:t>
      </w:r>
      <w:r>
        <w:rPr>
          <w:rFonts w:hint="eastAsia" w:ascii="Times New Roman" w:hAnsi="Times New Roman" w:eastAsia="宋体" w:cs="Times New Roman"/>
          <w:b/>
          <w:bCs/>
          <w:i w:val="0"/>
          <w:iCs w:val="0"/>
          <w:caps w:val="0"/>
          <w:color w:val="0F1115"/>
          <w:spacing w:val="0"/>
          <w:sz w:val="24"/>
          <w:szCs w:val="24"/>
          <w:shd w:val="clear" w:fill="FFFFFF"/>
          <w:lang w:val="en-US" w:eastAsia="zh-CN"/>
        </w:rPr>
        <w:t>s</w:t>
      </w:r>
      <w:r>
        <w:rPr>
          <w:rFonts w:hint="default" w:ascii="Times New Roman" w:hAnsi="Times New Roman" w:eastAsia="Segoe UI" w:cs="Times New Roman"/>
          <w:b/>
          <w:bCs/>
          <w:i w:val="0"/>
          <w:iCs w:val="0"/>
          <w:caps w:val="0"/>
          <w:color w:val="0F1115"/>
          <w:spacing w:val="0"/>
          <w:sz w:val="24"/>
          <w:szCs w:val="24"/>
          <w:shd w:val="clear" w:fill="FFFFFF"/>
        </w:rPr>
        <w:t xml:space="preserve">yndrome </w:t>
      </w:r>
      <w:r>
        <w:rPr>
          <w:rFonts w:hint="eastAsia" w:ascii="Times New Roman" w:hAnsi="Times New Roman" w:eastAsia="宋体" w:cs="Times New Roman"/>
          <w:b/>
          <w:bCs/>
          <w:i w:val="0"/>
          <w:iCs w:val="0"/>
          <w:caps w:val="0"/>
          <w:color w:val="0F1115"/>
          <w:spacing w:val="0"/>
          <w:sz w:val="24"/>
          <w:szCs w:val="24"/>
          <w:shd w:val="clear" w:fill="FFFFFF"/>
          <w:lang w:val="en-US" w:eastAsia="zh-CN"/>
        </w:rPr>
        <w:t>s</w:t>
      </w:r>
      <w:r>
        <w:rPr>
          <w:rFonts w:hint="default" w:ascii="Times New Roman" w:hAnsi="Times New Roman" w:eastAsia="Segoe UI" w:cs="Times New Roman"/>
          <w:b/>
          <w:bCs/>
          <w:i w:val="0"/>
          <w:iCs w:val="0"/>
          <w:caps w:val="0"/>
          <w:color w:val="0F1115"/>
          <w:spacing w:val="0"/>
          <w:sz w:val="24"/>
          <w:szCs w:val="24"/>
          <w:shd w:val="clear" w:fill="FFFFFF"/>
        </w:rPr>
        <w:t xml:space="preserve">cores </w:t>
      </w:r>
      <w:r>
        <w:rPr>
          <w:rFonts w:hint="eastAsia" w:ascii="Times New Roman" w:hAnsi="Times New Roman" w:eastAsia="宋体" w:cs="Times New Roman"/>
          <w:b/>
          <w:bCs/>
          <w:i w:val="0"/>
          <w:iCs w:val="0"/>
          <w:caps w:val="0"/>
          <w:color w:val="0F1115"/>
          <w:spacing w:val="0"/>
          <w:sz w:val="24"/>
          <w:szCs w:val="24"/>
          <w:shd w:val="clear" w:fill="FFFFFF"/>
          <w:lang w:val="en-US" w:eastAsia="zh-CN"/>
        </w:rPr>
        <w:t>b</w:t>
      </w:r>
      <w:r>
        <w:rPr>
          <w:rFonts w:hint="default" w:ascii="Times New Roman" w:hAnsi="Times New Roman" w:eastAsia="Segoe UI" w:cs="Times New Roman"/>
          <w:b/>
          <w:bCs/>
          <w:i w:val="0"/>
          <w:iCs w:val="0"/>
          <w:caps w:val="0"/>
          <w:color w:val="0F1115"/>
          <w:spacing w:val="0"/>
          <w:sz w:val="24"/>
          <w:szCs w:val="24"/>
          <w:shd w:val="clear" w:fill="FFFFFF"/>
        </w:rPr>
        <w:t xml:space="preserve">efore and </w:t>
      </w:r>
      <w:r>
        <w:rPr>
          <w:rFonts w:hint="eastAsia" w:ascii="Times New Roman" w:hAnsi="Times New Roman" w:eastAsia="宋体" w:cs="Times New Roman"/>
          <w:b/>
          <w:bCs/>
          <w:i w:val="0"/>
          <w:iCs w:val="0"/>
          <w:caps w:val="0"/>
          <w:color w:val="0F1115"/>
          <w:spacing w:val="0"/>
          <w:sz w:val="24"/>
          <w:szCs w:val="24"/>
          <w:shd w:val="clear" w:fill="FFFFFF"/>
          <w:lang w:val="en-US" w:eastAsia="zh-CN"/>
        </w:rPr>
        <w:t>a</w:t>
      </w:r>
      <w:r>
        <w:rPr>
          <w:rFonts w:hint="default" w:ascii="Times New Roman" w:hAnsi="Times New Roman" w:eastAsia="Segoe UI" w:cs="Times New Roman"/>
          <w:b/>
          <w:bCs/>
          <w:i w:val="0"/>
          <w:iCs w:val="0"/>
          <w:caps w:val="0"/>
          <w:color w:val="0F1115"/>
          <w:spacing w:val="0"/>
          <w:sz w:val="24"/>
          <w:szCs w:val="24"/>
          <w:shd w:val="clear" w:fill="FFFFFF"/>
        </w:rPr>
        <w:t xml:space="preserve">fter </w:t>
      </w:r>
      <w:r>
        <w:rPr>
          <w:rFonts w:hint="eastAsia" w:ascii="Times New Roman" w:hAnsi="Times New Roman" w:eastAsia="宋体" w:cs="Times New Roman"/>
          <w:b/>
          <w:bCs/>
          <w:i w:val="0"/>
          <w:iCs w:val="0"/>
          <w:caps w:val="0"/>
          <w:color w:val="0F1115"/>
          <w:spacing w:val="0"/>
          <w:sz w:val="24"/>
          <w:szCs w:val="24"/>
          <w:shd w:val="clear" w:fill="FFFFFF"/>
          <w:lang w:val="en-US" w:eastAsia="zh-CN"/>
        </w:rPr>
        <w:t>t</w:t>
      </w:r>
      <w:r>
        <w:rPr>
          <w:rFonts w:hint="default" w:ascii="Times New Roman" w:hAnsi="Times New Roman" w:eastAsia="Segoe UI" w:cs="Times New Roman"/>
          <w:b/>
          <w:bCs/>
          <w:i w:val="0"/>
          <w:iCs w:val="0"/>
          <w:caps w:val="0"/>
          <w:color w:val="0F1115"/>
          <w:spacing w:val="0"/>
          <w:sz w:val="24"/>
          <w:szCs w:val="24"/>
          <w:shd w:val="clear" w:fill="FFFFFF"/>
        </w:rPr>
        <w:t xml:space="preserve">reatment </w:t>
      </w:r>
      <w:r>
        <w:rPr>
          <w:rFonts w:hint="eastAsia" w:ascii="Times New Roman" w:hAnsi="Times New Roman" w:eastAsia="宋体" w:cs="Times New Roman"/>
          <w:b/>
          <w:bCs/>
          <w:i w:val="0"/>
          <w:iCs w:val="0"/>
          <w:caps w:val="0"/>
          <w:color w:val="0F1115"/>
          <w:spacing w:val="0"/>
          <w:sz w:val="24"/>
          <w:szCs w:val="24"/>
          <w:shd w:val="clear" w:fill="FFFFFF"/>
          <w:lang w:val="en-US" w:eastAsia="zh-CN"/>
        </w:rPr>
        <w:t>b</w:t>
      </w:r>
      <w:r>
        <w:rPr>
          <w:rFonts w:hint="default" w:ascii="Times New Roman" w:hAnsi="Times New Roman" w:eastAsia="Segoe UI" w:cs="Times New Roman"/>
          <w:b/>
          <w:bCs/>
          <w:i w:val="0"/>
          <w:iCs w:val="0"/>
          <w:caps w:val="0"/>
          <w:color w:val="0F1115"/>
          <w:spacing w:val="0"/>
          <w:sz w:val="24"/>
          <w:szCs w:val="24"/>
          <w:shd w:val="clear" w:fill="FFFFFF"/>
        </w:rPr>
        <w:t xml:space="preserve">etween the </w:t>
      </w:r>
      <w:r>
        <w:rPr>
          <w:rFonts w:hint="eastAsia" w:ascii="Times New Roman" w:hAnsi="Times New Roman" w:eastAsia="宋体" w:cs="Times New Roman"/>
          <w:b/>
          <w:bCs/>
          <w:i w:val="0"/>
          <w:iCs w:val="0"/>
          <w:caps w:val="0"/>
          <w:color w:val="0F1115"/>
          <w:spacing w:val="0"/>
          <w:sz w:val="24"/>
          <w:szCs w:val="24"/>
          <w:shd w:val="clear" w:fill="FFFFFF"/>
          <w:lang w:val="en-US" w:eastAsia="zh-CN"/>
        </w:rPr>
        <w:t>t</w:t>
      </w:r>
      <w:r>
        <w:rPr>
          <w:rFonts w:hint="default" w:ascii="Times New Roman" w:hAnsi="Times New Roman" w:eastAsia="Segoe UI" w:cs="Times New Roman"/>
          <w:b/>
          <w:bCs/>
          <w:i w:val="0"/>
          <w:iCs w:val="0"/>
          <w:caps w:val="0"/>
          <w:color w:val="0F1115"/>
          <w:spacing w:val="0"/>
          <w:sz w:val="24"/>
          <w:szCs w:val="24"/>
          <w:shd w:val="clear" w:fill="FFFFFF"/>
        </w:rPr>
        <w:t xml:space="preserve">wo </w:t>
      </w:r>
      <w:r>
        <w:rPr>
          <w:rFonts w:hint="eastAsia" w:ascii="Times New Roman" w:hAnsi="Times New Roman" w:eastAsia="宋体" w:cs="Times New Roman"/>
          <w:b/>
          <w:bCs/>
          <w:i w:val="0"/>
          <w:iCs w:val="0"/>
          <w:caps w:val="0"/>
          <w:color w:val="0F1115"/>
          <w:spacing w:val="0"/>
          <w:sz w:val="24"/>
          <w:szCs w:val="24"/>
          <w:shd w:val="clear" w:fill="FFFFFF"/>
          <w:lang w:val="en-US" w:eastAsia="zh-CN"/>
        </w:rPr>
        <w:t>g</w:t>
      </w:r>
      <w:r>
        <w:rPr>
          <w:rFonts w:hint="default" w:ascii="Times New Roman" w:hAnsi="Times New Roman" w:eastAsia="Segoe UI" w:cs="Times New Roman"/>
          <w:b/>
          <w:bCs/>
          <w:i w:val="0"/>
          <w:iCs w:val="0"/>
          <w:caps w:val="0"/>
          <w:color w:val="0F1115"/>
          <w:spacing w:val="0"/>
          <w:sz w:val="24"/>
          <w:szCs w:val="24"/>
          <w:shd w:val="clear" w:fill="FFFFFF"/>
        </w:rPr>
        <w:t xml:space="preserve">roups </w:t>
      </w:r>
    </w:p>
    <w:p w14:paraId="15AAA898">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Before treatment, there was no statistically significant difference in TCM syndrome scores between the two groups (</w:t>
      </w:r>
      <w:r>
        <w:rPr>
          <w:rFonts w:hint="default" w:ascii="Times New Roman" w:hAnsi="Times New Roman" w:eastAsia="Segoe UI" w:cs="Times New Roman"/>
          <w:i/>
          <w:iCs/>
          <w:caps w:val="0"/>
          <w:color w:val="0F1115"/>
          <w:spacing w:val="0"/>
          <w:sz w:val="24"/>
          <w:szCs w:val="24"/>
          <w:shd w:val="clear" w:fill="FFFFFF"/>
        </w:rPr>
        <w:t>P</w:t>
      </w:r>
      <w:r>
        <w:rPr>
          <w:rFonts w:hint="default" w:ascii="Times New Roman" w:hAnsi="Times New Roman" w:eastAsia="Segoe UI" w:cs="Times New Roman"/>
          <w:i w:val="0"/>
          <w:iCs w:val="0"/>
          <w:caps w:val="0"/>
          <w:color w:val="0F1115"/>
          <w:spacing w:val="0"/>
          <w:sz w:val="24"/>
          <w:szCs w:val="24"/>
          <w:shd w:val="clear" w:fill="FFFFFF"/>
        </w:rPr>
        <w:t xml:space="preserve"> &gt; 0.05). After treatment, the TCM syndrome score in the observation group was significantly lower than that in the control group (</w:t>
      </w:r>
      <w:r>
        <w:rPr>
          <w:rFonts w:hint="default" w:ascii="Times New Roman" w:hAnsi="Times New Roman" w:eastAsia="Segoe UI" w:cs="Times New Roman"/>
          <w:i/>
          <w:iCs/>
          <w:caps w:val="0"/>
          <w:color w:val="0F1115"/>
          <w:spacing w:val="0"/>
          <w:sz w:val="24"/>
          <w:szCs w:val="24"/>
          <w:shd w:val="clear" w:fill="FFFFFF"/>
        </w:rPr>
        <w:t>P</w:t>
      </w:r>
      <w:r>
        <w:rPr>
          <w:rFonts w:hint="default" w:ascii="Times New Roman" w:hAnsi="Times New Roman" w:eastAsia="Segoe UI" w:cs="Times New Roman"/>
          <w:i w:val="0"/>
          <w:iCs w:val="0"/>
          <w:caps w:val="0"/>
          <w:color w:val="0F1115"/>
          <w:spacing w:val="0"/>
          <w:sz w:val="24"/>
          <w:szCs w:val="24"/>
          <w:shd w:val="clear" w:fill="FFFFFF"/>
        </w:rPr>
        <w:t xml:space="preserve"> &lt; 0.00). Both groups showed a significant decrease in TCM syndrome scores after treatment compared to before treatment (</w:t>
      </w:r>
      <w:r>
        <w:rPr>
          <w:rFonts w:hint="default" w:ascii="Times New Roman" w:hAnsi="Times New Roman" w:eastAsia="Segoe UI" w:cs="Times New Roman"/>
          <w:i/>
          <w:iCs/>
          <w:caps w:val="0"/>
          <w:color w:val="0F1115"/>
          <w:spacing w:val="0"/>
          <w:sz w:val="24"/>
          <w:szCs w:val="24"/>
          <w:shd w:val="clear" w:fill="FFFFFF"/>
        </w:rPr>
        <w:t>P</w:t>
      </w:r>
      <w:r>
        <w:rPr>
          <w:rFonts w:hint="default" w:ascii="Times New Roman" w:hAnsi="Times New Roman" w:eastAsia="Segoe UI" w:cs="Times New Roman"/>
          <w:i w:val="0"/>
          <w:iCs w:val="0"/>
          <w:caps w:val="0"/>
          <w:color w:val="0F1115"/>
          <w:spacing w:val="0"/>
          <w:sz w:val="24"/>
          <w:szCs w:val="24"/>
          <w:shd w:val="clear" w:fill="FFFFFF"/>
        </w:rPr>
        <w:t xml:space="preserve"> &lt; 0.00) (see </w:t>
      </w:r>
      <w:r>
        <w:rPr>
          <w:rFonts w:hint="default" w:ascii="Times New Roman" w:hAnsi="Times New Roman" w:eastAsia="Segoe UI" w:cs="Times New Roman"/>
          <w:b/>
          <w:bCs/>
          <w:i w:val="0"/>
          <w:iCs w:val="0"/>
          <w:caps w:val="0"/>
          <w:color w:val="0F1115"/>
          <w:spacing w:val="0"/>
          <w:sz w:val="24"/>
          <w:szCs w:val="24"/>
          <w:shd w:val="clear" w:fill="FFFFFF"/>
        </w:rPr>
        <w:t>Table 2</w:t>
      </w:r>
      <w:r>
        <w:rPr>
          <w:rFonts w:hint="default" w:ascii="Times New Roman" w:hAnsi="Times New Roman" w:eastAsia="Segoe UI" w:cs="Times New Roman"/>
          <w:i w:val="0"/>
          <w:iCs w:val="0"/>
          <w:caps w:val="0"/>
          <w:color w:val="0F1115"/>
          <w:spacing w:val="0"/>
          <w:sz w:val="24"/>
          <w:szCs w:val="24"/>
          <w:shd w:val="clear" w:fill="FFFFFF"/>
        </w:rPr>
        <w:t>).</w:t>
      </w:r>
    </w:p>
    <w:p w14:paraId="25ECE28F">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i w:val="0"/>
          <w:iCs w:val="0"/>
          <w:caps w:val="0"/>
          <w:color w:val="0F1115"/>
          <w:spacing w:val="0"/>
          <w:sz w:val="24"/>
          <w:szCs w:val="24"/>
          <w:shd w:val="clear" w:fill="FFFFFF"/>
        </w:rPr>
      </w:pPr>
    </w:p>
    <w:p w14:paraId="748CE534">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b/>
          <w:bCs/>
          <w:i w:val="0"/>
          <w:iCs w:val="0"/>
          <w:caps w:val="0"/>
          <w:color w:val="0F1115"/>
          <w:spacing w:val="0"/>
          <w:sz w:val="24"/>
          <w:szCs w:val="24"/>
          <w:shd w:val="clear" w:fill="FFFFFF"/>
        </w:rPr>
        <w:t>Table 2</w:t>
      </w:r>
      <w:r>
        <w:rPr>
          <w:rFonts w:hint="default" w:ascii="Times New Roman" w:hAnsi="Times New Roman" w:eastAsia="宋体" w:cs="Times New Roman"/>
          <w:b/>
          <w:bCs/>
          <w:i w:val="0"/>
          <w:iCs w:val="0"/>
          <w:caps w:val="0"/>
          <w:color w:val="0F1115"/>
          <w:spacing w:val="0"/>
          <w:sz w:val="24"/>
          <w:szCs w:val="24"/>
          <w:shd w:val="clear" w:fill="FFFFFF"/>
          <w:lang w:val="en-US" w:eastAsia="zh-CN"/>
        </w:rPr>
        <w:t>.</w:t>
      </w:r>
      <w:r>
        <w:rPr>
          <w:rFonts w:hint="default" w:ascii="Times New Roman" w:hAnsi="Times New Roman" w:eastAsia="Segoe UI" w:cs="Times New Roman"/>
          <w:b/>
          <w:bCs/>
          <w:i w:val="0"/>
          <w:iCs w:val="0"/>
          <w:caps w:val="0"/>
          <w:color w:val="0F1115"/>
          <w:spacing w:val="0"/>
          <w:sz w:val="24"/>
          <w:szCs w:val="24"/>
          <w:shd w:val="clear" w:fill="FFFFFF"/>
        </w:rPr>
        <w:t xml:space="preserve"> </w:t>
      </w:r>
      <w:r>
        <w:rPr>
          <w:rFonts w:hint="default" w:ascii="Times New Roman" w:hAnsi="Times New Roman" w:eastAsia="Segoe UI" w:cs="Times New Roman"/>
          <w:i w:val="0"/>
          <w:iCs w:val="0"/>
          <w:caps w:val="0"/>
          <w:color w:val="0F1115"/>
          <w:spacing w:val="0"/>
          <w:sz w:val="24"/>
          <w:szCs w:val="24"/>
          <w:shd w:val="clear" w:fill="FFFFFF"/>
        </w:rPr>
        <w:t xml:space="preserve">Comparison of TCM </w:t>
      </w:r>
      <w:r>
        <w:rPr>
          <w:rFonts w:hint="eastAsia" w:ascii="Times New Roman" w:hAnsi="Times New Roman" w:eastAsia="宋体" w:cs="Times New Roman"/>
          <w:i w:val="0"/>
          <w:iCs w:val="0"/>
          <w:caps w:val="0"/>
          <w:color w:val="0F1115"/>
          <w:spacing w:val="0"/>
          <w:sz w:val="24"/>
          <w:szCs w:val="24"/>
          <w:shd w:val="clear" w:fill="FFFFFF"/>
          <w:lang w:val="en-US" w:eastAsia="zh-CN"/>
        </w:rPr>
        <w:t>s</w:t>
      </w:r>
      <w:r>
        <w:rPr>
          <w:rFonts w:hint="default" w:ascii="Times New Roman" w:hAnsi="Times New Roman" w:eastAsia="Segoe UI" w:cs="Times New Roman"/>
          <w:i w:val="0"/>
          <w:iCs w:val="0"/>
          <w:caps w:val="0"/>
          <w:color w:val="0F1115"/>
          <w:spacing w:val="0"/>
          <w:sz w:val="24"/>
          <w:szCs w:val="24"/>
          <w:shd w:val="clear" w:fill="FFFFFF"/>
        </w:rPr>
        <w:t xml:space="preserve">yndrome </w:t>
      </w:r>
      <w:r>
        <w:rPr>
          <w:rFonts w:hint="eastAsia" w:ascii="Times New Roman" w:hAnsi="Times New Roman" w:eastAsia="宋体" w:cs="Times New Roman"/>
          <w:i w:val="0"/>
          <w:iCs w:val="0"/>
          <w:caps w:val="0"/>
          <w:color w:val="0F1115"/>
          <w:spacing w:val="0"/>
          <w:sz w:val="24"/>
          <w:szCs w:val="24"/>
          <w:shd w:val="clear" w:fill="FFFFFF"/>
          <w:lang w:val="en-US" w:eastAsia="zh-CN"/>
        </w:rPr>
        <w:t>s</w:t>
      </w:r>
      <w:r>
        <w:rPr>
          <w:rFonts w:hint="default" w:ascii="Times New Roman" w:hAnsi="Times New Roman" w:eastAsia="Segoe UI" w:cs="Times New Roman"/>
          <w:i w:val="0"/>
          <w:iCs w:val="0"/>
          <w:caps w:val="0"/>
          <w:color w:val="0F1115"/>
          <w:spacing w:val="0"/>
          <w:sz w:val="24"/>
          <w:szCs w:val="24"/>
          <w:shd w:val="clear" w:fill="FFFFFF"/>
        </w:rPr>
        <w:t xml:space="preserve">cores </w:t>
      </w:r>
      <w:r>
        <w:rPr>
          <w:rFonts w:hint="eastAsia" w:ascii="Times New Roman" w:hAnsi="Times New Roman" w:eastAsia="宋体" w:cs="Times New Roman"/>
          <w:i w:val="0"/>
          <w:iCs w:val="0"/>
          <w:caps w:val="0"/>
          <w:color w:val="0F1115"/>
          <w:spacing w:val="0"/>
          <w:sz w:val="24"/>
          <w:szCs w:val="24"/>
          <w:shd w:val="clear" w:fill="FFFFFF"/>
          <w:lang w:val="en-US" w:eastAsia="zh-CN"/>
        </w:rPr>
        <w:t>b</w:t>
      </w:r>
      <w:r>
        <w:rPr>
          <w:rFonts w:hint="default" w:ascii="Times New Roman" w:hAnsi="Times New Roman" w:eastAsia="Segoe UI" w:cs="Times New Roman"/>
          <w:i w:val="0"/>
          <w:iCs w:val="0"/>
          <w:caps w:val="0"/>
          <w:color w:val="0F1115"/>
          <w:spacing w:val="0"/>
          <w:sz w:val="24"/>
          <w:szCs w:val="24"/>
          <w:shd w:val="clear" w:fill="FFFFFF"/>
        </w:rPr>
        <w:t xml:space="preserve">efore and </w:t>
      </w:r>
      <w:r>
        <w:rPr>
          <w:rFonts w:hint="eastAsia" w:ascii="Times New Roman" w:hAnsi="Times New Roman" w:eastAsia="宋体" w:cs="Times New Roman"/>
          <w:i w:val="0"/>
          <w:iCs w:val="0"/>
          <w:caps w:val="0"/>
          <w:color w:val="0F1115"/>
          <w:spacing w:val="0"/>
          <w:sz w:val="24"/>
          <w:szCs w:val="24"/>
          <w:shd w:val="clear" w:fill="FFFFFF"/>
          <w:lang w:val="en-US" w:eastAsia="zh-CN"/>
        </w:rPr>
        <w:t>a</w:t>
      </w:r>
      <w:r>
        <w:rPr>
          <w:rFonts w:hint="default" w:ascii="Times New Roman" w:hAnsi="Times New Roman" w:eastAsia="Segoe UI" w:cs="Times New Roman"/>
          <w:i w:val="0"/>
          <w:iCs w:val="0"/>
          <w:caps w:val="0"/>
          <w:color w:val="0F1115"/>
          <w:spacing w:val="0"/>
          <w:sz w:val="24"/>
          <w:szCs w:val="24"/>
          <w:shd w:val="clear" w:fill="FFFFFF"/>
        </w:rPr>
        <w:t xml:space="preserve">fter </w:t>
      </w:r>
      <w:r>
        <w:rPr>
          <w:rFonts w:hint="eastAsia" w:ascii="Times New Roman" w:hAnsi="Times New Roman" w:eastAsia="宋体" w:cs="Times New Roman"/>
          <w:i w:val="0"/>
          <w:iCs w:val="0"/>
          <w:caps w:val="0"/>
          <w:color w:val="0F1115"/>
          <w:spacing w:val="0"/>
          <w:sz w:val="24"/>
          <w:szCs w:val="24"/>
          <w:shd w:val="clear" w:fill="FFFFFF"/>
          <w:lang w:val="en-US" w:eastAsia="zh-CN"/>
        </w:rPr>
        <w:t>t</w:t>
      </w:r>
      <w:r>
        <w:rPr>
          <w:rFonts w:hint="default" w:ascii="Times New Roman" w:hAnsi="Times New Roman" w:eastAsia="Segoe UI" w:cs="Times New Roman"/>
          <w:i w:val="0"/>
          <w:iCs w:val="0"/>
          <w:caps w:val="0"/>
          <w:color w:val="0F1115"/>
          <w:spacing w:val="0"/>
          <w:sz w:val="24"/>
          <w:szCs w:val="24"/>
          <w:shd w:val="clear" w:fill="FFFFFF"/>
        </w:rPr>
        <w:t xml:space="preserve">reatment </w:t>
      </w:r>
      <w:r>
        <w:rPr>
          <w:rFonts w:hint="eastAsia" w:ascii="Times New Roman" w:hAnsi="Times New Roman" w:eastAsia="宋体" w:cs="Times New Roman"/>
          <w:i w:val="0"/>
          <w:iCs w:val="0"/>
          <w:caps w:val="0"/>
          <w:color w:val="0F1115"/>
          <w:spacing w:val="0"/>
          <w:sz w:val="24"/>
          <w:szCs w:val="24"/>
          <w:shd w:val="clear" w:fill="FFFFFF"/>
          <w:lang w:val="en-US" w:eastAsia="zh-CN"/>
        </w:rPr>
        <w:t>b</w:t>
      </w:r>
      <w:r>
        <w:rPr>
          <w:rFonts w:hint="default" w:ascii="Times New Roman" w:hAnsi="Times New Roman" w:eastAsia="Segoe UI" w:cs="Times New Roman"/>
          <w:i w:val="0"/>
          <w:iCs w:val="0"/>
          <w:caps w:val="0"/>
          <w:color w:val="0F1115"/>
          <w:spacing w:val="0"/>
          <w:sz w:val="24"/>
          <w:szCs w:val="24"/>
          <w:shd w:val="clear" w:fill="FFFFFF"/>
        </w:rPr>
        <w:t xml:space="preserve">etween the </w:t>
      </w:r>
      <w:r>
        <w:rPr>
          <w:rFonts w:hint="eastAsia" w:ascii="Times New Roman" w:hAnsi="Times New Roman" w:eastAsia="宋体" w:cs="Times New Roman"/>
          <w:i w:val="0"/>
          <w:iCs w:val="0"/>
          <w:caps w:val="0"/>
          <w:color w:val="0F1115"/>
          <w:spacing w:val="0"/>
          <w:sz w:val="24"/>
          <w:szCs w:val="24"/>
          <w:shd w:val="clear" w:fill="FFFFFF"/>
          <w:lang w:val="en-US" w:eastAsia="zh-CN"/>
        </w:rPr>
        <w:t>t</w:t>
      </w:r>
      <w:r>
        <w:rPr>
          <w:rFonts w:hint="default" w:ascii="Times New Roman" w:hAnsi="Times New Roman" w:eastAsia="Segoe UI" w:cs="Times New Roman"/>
          <w:i w:val="0"/>
          <w:iCs w:val="0"/>
          <w:caps w:val="0"/>
          <w:color w:val="0F1115"/>
          <w:spacing w:val="0"/>
          <w:sz w:val="24"/>
          <w:szCs w:val="24"/>
          <w:shd w:val="clear" w:fill="FFFFFF"/>
        </w:rPr>
        <w:t xml:space="preserve">wo </w:t>
      </w:r>
      <w:r>
        <w:rPr>
          <w:rFonts w:hint="eastAsia" w:ascii="Times New Roman" w:hAnsi="Times New Roman" w:eastAsia="宋体" w:cs="Times New Roman"/>
          <w:i w:val="0"/>
          <w:iCs w:val="0"/>
          <w:caps w:val="0"/>
          <w:color w:val="0F1115"/>
          <w:spacing w:val="0"/>
          <w:sz w:val="24"/>
          <w:szCs w:val="24"/>
          <w:shd w:val="clear" w:fill="FFFFFF"/>
          <w:lang w:val="en-US" w:eastAsia="zh-CN"/>
        </w:rPr>
        <w:t>g</w:t>
      </w:r>
      <w:r>
        <w:rPr>
          <w:rFonts w:hint="default" w:ascii="Times New Roman" w:hAnsi="Times New Roman" w:eastAsia="Segoe UI" w:cs="Times New Roman"/>
          <w:i w:val="0"/>
          <w:iCs w:val="0"/>
          <w:caps w:val="0"/>
          <w:color w:val="0F1115"/>
          <w:spacing w:val="0"/>
          <w:sz w:val="24"/>
          <w:szCs w:val="24"/>
          <w:shd w:val="clear" w:fill="FFFFFF"/>
        </w:rPr>
        <w:t>roups (</w:t>
      </w:r>
      <w:r>
        <w:rPr>
          <w:rFonts w:hint="default" w:ascii="Times New Roman" w:hAnsi="Times New Roman" w:eastAsia="宋体" w:cs="Times New Roman"/>
          <w:color w:val="0000FF"/>
          <w:position w:val="-6"/>
          <w:sz w:val="24"/>
          <w:szCs w:val="24"/>
        </w:rPr>
        <w:object>
          <v:shape id="_x0000_i1027" o:spt="75" type="#_x0000_t75" style="height:13.5pt;width:11pt;" o:ole="t" filled="f" o:preferrelative="t" stroked="f" coordsize="21600,21600">
            <v:path/>
            <v:fill on="f" focussize="0,0"/>
            <v:stroke on="f" joinstyle="miter"/>
            <v:imagedata r:id="rId5" o:title=""/>
            <o:lock v:ext="edit" aspectratio="t"/>
            <w10:wrap type="none"/>
            <w10:anchorlock/>
          </v:shape>
          <o:OLEObject Type="Embed" ProgID="Equation.DSMT4" ShapeID="_x0000_i1027" DrawAspect="Content" ObjectID="_1468075727" r:id="rId7">
            <o:LockedField>false</o:LockedField>
          </o:OLEObject>
        </w:object>
      </w:r>
      <w:r>
        <w:rPr>
          <w:rFonts w:ascii="Times New Roman" w:hAnsi="Times New Roman"/>
          <w:sz w:val="24"/>
          <w:szCs w:val="24"/>
        </w:rPr>
        <w:t>± s</w:t>
      </w:r>
      <w:r>
        <w:rPr>
          <w:rFonts w:hint="default" w:ascii="Times New Roman" w:hAnsi="Times New Roman" w:eastAsia="Segoe UI" w:cs="Times New Roman"/>
          <w:i w:val="0"/>
          <w:iCs w:val="0"/>
          <w:caps w:val="0"/>
          <w:color w:val="0F1115"/>
          <w:spacing w:val="0"/>
          <w:sz w:val="24"/>
          <w:szCs w:val="24"/>
          <w:shd w:val="clear" w:fill="FFFFFF"/>
        </w:rPr>
        <w:t>, points)</w:t>
      </w:r>
    </w:p>
    <w:tbl>
      <w:tblPr>
        <w:tblStyle w:val="5"/>
        <w:tblW w:w="5111"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2393"/>
        <w:gridCol w:w="955"/>
        <w:gridCol w:w="2334"/>
        <w:gridCol w:w="2177"/>
        <w:gridCol w:w="1074"/>
        <w:gridCol w:w="1140"/>
      </w:tblGrid>
      <w:tr w14:paraId="27FC2A2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187" w:type="pct"/>
            <w:tcBorders>
              <w:top w:val="single" w:color="auto" w:sz="12" w:space="0"/>
              <w:left w:val="nil"/>
              <w:bottom w:val="nil"/>
              <w:right w:val="nil"/>
            </w:tcBorders>
            <w:noWrap w:val="0"/>
            <w:tcMar>
              <w:top w:w="-1" w:type="dxa"/>
              <w:left w:w="-1" w:type="dxa"/>
              <w:bottom w:w="-1" w:type="dxa"/>
              <w:right w:w="-1" w:type="dxa"/>
            </w:tcMar>
            <w:vAlign w:val="center"/>
          </w:tcPr>
          <w:p w14:paraId="618B483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sz w:val="24"/>
                <w:szCs w:val="24"/>
              </w:rPr>
            </w:pPr>
            <w:r>
              <w:rPr>
                <w:rFonts w:hint="default" w:ascii="Times New Roman" w:hAnsi="Times New Roman" w:eastAsia="Segoe UI" w:cs="Times New Roman"/>
                <w:b/>
                <w:i w:val="0"/>
                <w:iCs w:val="0"/>
                <w:caps w:val="0"/>
                <w:color w:val="0F1115"/>
                <w:spacing w:val="0"/>
                <w:sz w:val="24"/>
                <w:szCs w:val="24"/>
                <w:shd w:val="clear" w:fill="FFFFFF"/>
              </w:rPr>
              <w:t xml:space="preserve">Group </w:t>
            </w:r>
          </w:p>
        </w:tc>
        <w:tc>
          <w:tcPr>
            <w:tcW w:w="474" w:type="pct"/>
            <w:tcBorders>
              <w:top w:val="single" w:color="auto" w:sz="12" w:space="0"/>
              <w:left w:val="nil"/>
              <w:bottom w:val="nil"/>
              <w:right w:val="nil"/>
            </w:tcBorders>
            <w:noWrap w:val="0"/>
            <w:tcMar>
              <w:top w:w="-1" w:type="dxa"/>
              <w:left w:w="-1" w:type="dxa"/>
              <w:bottom w:w="-1" w:type="dxa"/>
              <w:right w:w="-1" w:type="dxa"/>
            </w:tcMar>
            <w:vAlign w:val="center"/>
          </w:tcPr>
          <w:p w14:paraId="208B517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sz w:val="24"/>
                <w:szCs w:val="24"/>
              </w:rPr>
            </w:pPr>
            <w:r>
              <w:rPr>
                <w:rFonts w:hint="default" w:ascii="Times New Roman" w:hAnsi="Times New Roman" w:eastAsia="Segoe UI" w:cs="Times New Roman"/>
                <w:b/>
                <w:i w:val="0"/>
                <w:iCs w:val="0"/>
                <w:caps w:val="0"/>
                <w:color w:val="0F1115"/>
                <w:spacing w:val="0"/>
                <w:sz w:val="24"/>
                <w:szCs w:val="24"/>
                <w:shd w:val="clear" w:fill="FFFFFF"/>
              </w:rPr>
              <w:t xml:space="preserve">Cases </w:t>
            </w:r>
          </w:p>
        </w:tc>
        <w:tc>
          <w:tcPr>
            <w:tcW w:w="1158" w:type="pct"/>
            <w:tcBorders>
              <w:top w:val="single" w:color="auto" w:sz="12" w:space="0"/>
              <w:left w:val="nil"/>
              <w:bottom w:val="nil"/>
              <w:right w:val="nil"/>
            </w:tcBorders>
            <w:noWrap w:val="0"/>
            <w:tcMar>
              <w:top w:w="-1" w:type="dxa"/>
              <w:left w:w="-1" w:type="dxa"/>
              <w:bottom w:w="-1" w:type="dxa"/>
              <w:right w:w="-1" w:type="dxa"/>
            </w:tcMar>
            <w:vAlign w:val="center"/>
          </w:tcPr>
          <w:p w14:paraId="7B0AFD9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sz w:val="24"/>
                <w:szCs w:val="24"/>
              </w:rPr>
            </w:pPr>
            <w:r>
              <w:rPr>
                <w:rFonts w:hint="default" w:ascii="Times New Roman" w:hAnsi="Times New Roman" w:eastAsia="Segoe UI" w:cs="Times New Roman"/>
                <w:b/>
                <w:i w:val="0"/>
                <w:iCs w:val="0"/>
                <w:caps w:val="0"/>
                <w:color w:val="0F1115"/>
                <w:spacing w:val="0"/>
                <w:sz w:val="24"/>
                <w:szCs w:val="24"/>
                <w:shd w:val="clear" w:fill="FFFFFF"/>
              </w:rPr>
              <w:t xml:space="preserve">Before treatment </w:t>
            </w:r>
          </w:p>
        </w:tc>
        <w:tc>
          <w:tcPr>
            <w:tcW w:w="1080" w:type="pct"/>
            <w:tcBorders>
              <w:top w:val="single" w:color="auto" w:sz="12" w:space="0"/>
              <w:left w:val="nil"/>
              <w:bottom w:val="nil"/>
              <w:right w:val="nil"/>
            </w:tcBorders>
            <w:noWrap w:val="0"/>
            <w:tcMar>
              <w:top w:w="-1" w:type="dxa"/>
              <w:left w:w="-1" w:type="dxa"/>
              <w:bottom w:w="-1" w:type="dxa"/>
              <w:right w:w="-1" w:type="dxa"/>
            </w:tcMar>
            <w:vAlign w:val="center"/>
          </w:tcPr>
          <w:p w14:paraId="20E134D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sz w:val="24"/>
                <w:szCs w:val="24"/>
              </w:rPr>
            </w:pPr>
            <w:r>
              <w:rPr>
                <w:rFonts w:hint="default" w:ascii="Times New Roman" w:hAnsi="Times New Roman" w:eastAsia="Segoe UI" w:cs="Times New Roman"/>
                <w:b/>
                <w:i w:val="0"/>
                <w:iCs w:val="0"/>
                <w:caps w:val="0"/>
                <w:color w:val="0F1115"/>
                <w:spacing w:val="0"/>
                <w:sz w:val="24"/>
                <w:szCs w:val="24"/>
                <w:shd w:val="clear" w:fill="FFFFFF"/>
              </w:rPr>
              <w:t xml:space="preserve">After treatment </w:t>
            </w:r>
          </w:p>
        </w:tc>
        <w:tc>
          <w:tcPr>
            <w:tcW w:w="533" w:type="pct"/>
            <w:tcBorders>
              <w:top w:val="single" w:color="auto" w:sz="12" w:space="0"/>
              <w:left w:val="nil"/>
              <w:bottom w:val="nil"/>
              <w:right w:val="nil"/>
            </w:tcBorders>
            <w:noWrap w:val="0"/>
            <w:tcMar>
              <w:top w:w="-1" w:type="dxa"/>
              <w:left w:w="-1" w:type="dxa"/>
              <w:bottom w:w="-1" w:type="dxa"/>
              <w:right w:w="-1" w:type="dxa"/>
            </w:tcMar>
            <w:vAlign w:val="center"/>
          </w:tcPr>
          <w:p w14:paraId="4B7068F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sz w:val="24"/>
                <w:szCs w:val="24"/>
              </w:rPr>
            </w:pPr>
            <w:r>
              <w:rPr>
                <w:rFonts w:hint="default" w:ascii="Times New Roman" w:hAnsi="Times New Roman" w:eastAsia="Segoe UI" w:cs="Times New Roman"/>
                <w:b/>
                <w:i/>
                <w:iCs/>
                <w:caps w:val="0"/>
                <w:color w:val="0F1115"/>
                <w:spacing w:val="0"/>
                <w:sz w:val="24"/>
                <w:szCs w:val="24"/>
                <w:shd w:val="clear" w:fill="FFFFFF"/>
              </w:rPr>
              <w:t xml:space="preserve">t </w:t>
            </w:r>
            <w:r>
              <w:rPr>
                <w:rFonts w:hint="default" w:ascii="Times New Roman" w:hAnsi="Times New Roman" w:eastAsia="Segoe UI" w:cs="Times New Roman"/>
                <w:b/>
                <w:i w:val="0"/>
                <w:iCs w:val="0"/>
                <w:caps w:val="0"/>
                <w:color w:val="0F1115"/>
                <w:spacing w:val="0"/>
                <w:sz w:val="24"/>
                <w:szCs w:val="24"/>
                <w:shd w:val="clear" w:fill="FFFFFF"/>
              </w:rPr>
              <w:t xml:space="preserve">value </w:t>
            </w:r>
          </w:p>
        </w:tc>
        <w:tc>
          <w:tcPr>
            <w:tcW w:w="565" w:type="pct"/>
            <w:tcBorders>
              <w:top w:val="single" w:color="auto" w:sz="12" w:space="0"/>
              <w:left w:val="nil"/>
              <w:bottom w:val="nil"/>
              <w:right w:val="nil"/>
            </w:tcBorders>
            <w:noWrap w:val="0"/>
            <w:tcMar>
              <w:top w:w="-1" w:type="dxa"/>
              <w:left w:w="-1" w:type="dxa"/>
              <w:bottom w:w="-1" w:type="dxa"/>
              <w:right w:w="-1" w:type="dxa"/>
            </w:tcMar>
            <w:vAlign w:val="center"/>
          </w:tcPr>
          <w:p w14:paraId="326D0B7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sz w:val="24"/>
                <w:szCs w:val="24"/>
              </w:rPr>
            </w:pPr>
            <w:r>
              <w:rPr>
                <w:rFonts w:hint="default" w:ascii="Times New Roman" w:hAnsi="Times New Roman" w:eastAsia="Segoe UI" w:cs="Times New Roman"/>
                <w:b/>
                <w:i/>
                <w:iCs/>
                <w:caps w:val="0"/>
                <w:color w:val="0F1115"/>
                <w:spacing w:val="0"/>
                <w:sz w:val="24"/>
                <w:szCs w:val="24"/>
                <w:shd w:val="clear" w:fill="FFFFFF"/>
              </w:rPr>
              <w:t>p</w:t>
            </w:r>
            <w:r>
              <w:rPr>
                <w:rFonts w:hint="default" w:ascii="Times New Roman" w:hAnsi="Times New Roman" w:eastAsia="Segoe UI" w:cs="Times New Roman"/>
                <w:b/>
                <w:i w:val="0"/>
                <w:iCs w:val="0"/>
                <w:caps w:val="0"/>
                <w:color w:val="0F1115"/>
                <w:spacing w:val="0"/>
                <w:sz w:val="24"/>
                <w:szCs w:val="24"/>
                <w:shd w:val="clear" w:fill="FFFFFF"/>
              </w:rPr>
              <w:t xml:space="preserve"> value</w:t>
            </w:r>
          </w:p>
        </w:tc>
      </w:tr>
      <w:tr w14:paraId="523071E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87" w:type="pct"/>
            <w:tcBorders>
              <w:top w:val="single" w:color="auto" w:sz="4" w:space="0"/>
              <w:left w:val="nil"/>
              <w:bottom w:val="nil"/>
              <w:right w:val="nil"/>
            </w:tcBorders>
            <w:noWrap w:val="0"/>
            <w:tcMar>
              <w:top w:w="-1" w:type="dxa"/>
              <w:left w:w="-1" w:type="dxa"/>
              <w:bottom w:w="-1" w:type="dxa"/>
              <w:right w:w="-1" w:type="dxa"/>
            </w:tcMar>
            <w:vAlign w:val="center"/>
          </w:tcPr>
          <w:p w14:paraId="085927F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Observation group </w:t>
            </w:r>
          </w:p>
        </w:tc>
        <w:tc>
          <w:tcPr>
            <w:tcW w:w="474" w:type="pct"/>
            <w:tcBorders>
              <w:top w:val="single" w:color="auto" w:sz="4" w:space="0"/>
              <w:left w:val="nil"/>
              <w:bottom w:val="nil"/>
              <w:right w:val="nil"/>
            </w:tcBorders>
            <w:noWrap w:val="0"/>
            <w:tcMar>
              <w:top w:w="-1" w:type="dxa"/>
              <w:left w:w="-1" w:type="dxa"/>
              <w:bottom w:w="-1" w:type="dxa"/>
              <w:right w:w="-1" w:type="dxa"/>
            </w:tcMar>
            <w:vAlign w:val="center"/>
          </w:tcPr>
          <w:p w14:paraId="1A52C16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35 </w:t>
            </w:r>
          </w:p>
        </w:tc>
        <w:tc>
          <w:tcPr>
            <w:tcW w:w="1158" w:type="pct"/>
            <w:tcBorders>
              <w:top w:val="single" w:color="auto" w:sz="4" w:space="0"/>
              <w:left w:val="nil"/>
              <w:bottom w:val="nil"/>
              <w:right w:val="nil"/>
            </w:tcBorders>
            <w:noWrap w:val="0"/>
            <w:tcMar>
              <w:top w:w="-1" w:type="dxa"/>
              <w:left w:w="-1" w:type="dxa"/>
              <w:bottom w:w="-1" w:type="dxa"/>
              <w:right w:w="-1" w:type="dxa"/>
            </w:tcMar>
            <w:vAlign w:val="center"/>
          </w:tcPr>
          <w:p w14:paraId="6C169A2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8.89±2.38 </w:t>
            </w:r>
          </w:p>
        </w:tc>
        <w:tc>
          <w:tcPr>
            <w:tcW w:w="1080" w:type="pct"/>
            <w:tcBorders>
              <w:top w:val="single" w:color="auto" w:sz="4" w:space="0"/>
              <w:left w:val="nil"/>
              <w:bottom w:val="nil"/>
              <w:right w:val="nil"/>
            </w:tcBorders>
            <w:noWrap w:val="0"/>
            <w:tcMar>
              <w:top w:w="-1" w:type="dxa"/>
              <w:left w:w="-1" w:type="dxa"/>
              <w:bottom w:w="-1" w:type="dxa"/>
              <w:right w:w="-1" w:type="dxa"/>
            </w:tcMar>
            <w:vAlign w:val="center"/>
          </w:tcPr>
          <w:p w14:paraId="0EFBB21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2.52±1.16 </w:t>
            </w:r>
          </w:p>
        </w:tc>
        <w:tc>
          <w:tcPr>
            <w:tcW w:w="533" w:type="pct"/>
            <w:tcBorders>
              <w:top w:val="single" w:color="auto" w:sz="4" w:space="0"/>
              <w:left w:val="nil"/>
              <w:bottom w:val="nil"/>
              <w:right w:val="nil"/>
            </w:tcBorders>
            <w:noWrap w:val="0"/>
            <w:tcMar>
              <w:top w:w="-1" w:type="dxa"/>
              <w:left w:w="-1" w:type="dxa"/>
              <w:bottom w:w="-1" w:type="dxa"/>
              <w:right w:w="-1" w:type="dxa"/>
            </w:tcMar>
            <w:vAlign w:val="center"/>
          </w:tcPr>
          <w:p w14:paraId="6F7D991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10.32 </w:t>
            </w:r>
          </w:p>
        </w:tc>
        <w:tc>
          <w:tcPr>
            <w:tcW w:w="565" w:type="pct"/>
            <w:tcBorders>
              <w:top w:val="single" w:color="auto" w:sz="4" w:space="0"/>
              <w:left w:val="nil"/>
              <w:bottom w:val="nil"/>
              <w:right w:val="nil"/>
            </w:tcBorders>
            <w:noWrap w:val="0"/>
            <w:tcMar>
              <w:top w:w="-1" w:type="dxa"/>
              <w:left w:w="-1" w:type="dxa"/>
              <w:bottom w:w="-1" w:type="dxa"/>
              <w:right w:w="-1" w:type="dxa"/>
            </w:tcMar>
            <w:vAlign w:val="center"/>
          </w:tcPr>
          <w:p w14:paraId="3CD686D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0.00</w:t>
            </w:r>
          </w:p>
        </w:tc>
      </w:tr>
      <w:tr w14:paraId="0DE1399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87" w:type="pct"/>
            <w:tcBorders>
              <w:top w:val="nil"/>
              <w:left w:val="nil"/>
              <w:bottom w:val="nil"/>
              <w:right w:val="nil"/>
            </w:tcBorders>
            <w:noWrap w:val="0"/>
            <w:tcMar>
              <w:top w:w="-1" w:type="dxa"/>
              <w:left w:w="-1" w:type="dxa"/>
              <w:bottom w:w="-1" w:type="dxa"/>
              <w:right w:w="-1" w:type="dxa"/>
            </w:tcMar>
            <w:vAlign w:val="center"/>
          </w:tcPr>
          <w:p w14:paraId="3ECBAC1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Control group </w:t>
            </w:r>
          </w:p>
        </w:tc>
        <w:tc>
          <w:tcPr>
            <w:tcW w:w="474" w:type="pct"/>
            <w:tcBorders>
              <w:top w:val="nil"/>
              <w:left w:val="nil"/>
              <w:bottom w:val="nil"/>
              <w:right w:val="nil"/>
            </w:tcBorders>
            <w:noWrap w:val="0"/>
            <w:tcMar>
              <w:top w:w="-1" w:type="dxa"/>
              <w:left w:w="-1" w:type="dxa"/>
              <w:bottom w:w="-1" w:type="dxa"/>
              <w:right w:w="-1" w:type="dxa"/>
            </w:tcMar>
            <w:vAlign w:val="center"/>
          </w:tcPr>
          <w:p w14:paraId="54B3613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35 </w:t>
            </w:r>
          </w:p>
        </w:tc>
        <w:tc>
          <w:tcPr>
            <w:tcW w:w="1158" w:type="pct"/>
            <w:tcBorders>
              <w:top w:val="nil"/>
              <w:left w:val="nil"/>
              <w:bottom w:val="nil"/>
              <w:right w:val="nil"/>
            </w:tcBorders>
            <w:noWrap w:val="0"/>
            <w:tcMar>
              <w:top w:w="-1" w:type="dxa"/>
              <w:left w:w="-1" w:type="dxa"/>
              <w:bottom w:w="-1" w:type="dxa"/>
              <w:right w:w="-1" w:type="dxa"/>
            </w:tcMar>
            <w:vAlign w:val="center"/>
          </w:tcPr>
          <w:p w14:paraId="61AC330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8.94±2.14 </w:t>
            </w:r>
          </w:p>
        </w:tc>
        <w:tc>
          <w:tcPr>
            <w:tcW w:w="1080" w:type="pct"/>
            <w:tcBorders>
              <w:top w:val="nil"/>
              <w:left w:val="nil"/>
              <w:bottom w:val="nil"/>
              <w:right w:val="nil"/>
            </w:tcBorders>
            <w:noWrap w:val="0"/>
            <w:tcMar>
              <w:top w:w="-1" w:type="dxa"/>
              <w:left w:w="-1" w:type="dxa"/>
              <w:bottom w:w="-1" w:type="dxa"/>
              <w:right w:w="-1" w:type="dxa"/>
            </w:tcMar>
            <w:vAlign w:val="center"/>
          </w:tcPr>
          <w:p w14:paraId="7BBE308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6.28±1.42 </w:t>
            </w:r>
          </w:p>
        </w:tc>
        <w:tc>
          <w:tcPr>
            <w:tcW w:w="533" w:type="pct"/>
            <w:tcBorders>
              <w:top w:val="nil"/>
              <w:left w:val="nil"/>
              <w:bottom w:val="nil"/>
              <w:right w:val="nil"/>
            </w:tcBorders>
            <w:noWrap w:val="0"/>
            <w:tcMar>
              <w:top w:w="-1" w:type="dxa"/>
              <w:left w:w="-1" w:type="dxa"/>
              <w:bottom w:w="-1" w:type="dxa"/>
              <w:right w:w="-1" w:type="dxa"/>
            </w:tcMar>
            <w:vAlign w:val="center"/>
          </w:tcPr>
          <w:p w14:paraId="186BE88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3.72 </w:t>
            </w:r>
          </w:p>
        </w:tc>
        <w:tc>
          <w:tcPr>
            <w:tcW w:w="565" w:type="pct"/>
            <w:tcBorders>
              <w:top w:val="nil"/>
              <w:left w:val="nil"/>
              <w:bottom w:val="nil"/>
              <w:right w:val="nil"/>
            </w:tcBorders>
            <w:noWrap w:val="0"/>
            <w:tcMar>
              <w:top w:w="-1" w:type="dxa"/>
              <w:left w:w="-1" w:type="dxa"/>
              <w:bottom w:w="-1" w:type="dxa"/>
              <w:right w:w="-1" w:type="dxa"/>
            </w:tcMar>
            <w:vAlign w:val="center"/>
          </w:tcPr>
          <w:p w14:paraId="5D5F86D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0.00</w:t>
            </w:r>
          </w:p>
        </w:tc>
      </w:tr>
      <w:tr w14:paraId="040D8D7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87" w:type="pct"/>
            <w:tcBorders>
              <w:top w:val="nil"/>
              <w:left w:val="nil"/>
              <w:bottom w:val="nil"/>
              <w:right w:val="nil"/>
            </w:tcBorders>
            <w:noWrap w:val="0"/>
            <w:tcMar>
              <w:top w:w="-1" w:type="dxa"/>
              <w:left w:w="-1" w:type="dxa"/>
              <w:bottom w:w="-1" w:type="dxa"/>
              <w:right w:w="-1" w:type="dxa"/>
            </w:tcMar>
            <w:vAlign w:val="center"/>
          </w:tcPr>
          <w:p w14:paraId="64CDA6B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iCs/>
                <w:caps w:val="0"/>
                <w:color w:val="0F1115"/>
                <w:spacing w:val="0"/>
                <w:sz w:val="24"/>
                <w:szCs w:val="24"/>
                <w:shd w:val="clear" w:fill="FFFFFF"/>
              </w:rPr>
              <w:t>t</w:t>
            </w:r>
            <w:r>
              <w:rPr>
                <w:rFonts w:hint="default" w:ascii="Times New Roman" w:hAnsi="Times New Roman" w:eastAsia="Segoe UI" w:cs="Times New Roman"/>
                <w:i w:val="0"/>
                <w:iCs w:val="0"/>
                <w:caps w:val="0"/>
                <w:color w:val="0F1115"/>
                <w:spacing w:val="0"/>
                <w:sz w:val="24"/>
                <w:szCs w:val="24"/>
                <w:shd w:val="clear" w:fill="FFFFFF"/>
              </w:rPr>
              <w:t xml:space="preserve"> value </w:t>
            </w:r>
          </w:p>
        </w:tc>
        <w:tc>
          <w:tcPr>
            <w:tcW w:w="474" w:type="pct"/>
            <w:tcBorders>
              <w:top w:val="nil"/>
              <w:left w:val="nil"/>
              <w:bottom w:val="nil"/>
              <w:right w:val="nil"/>
            </w:tcBorders>
            <w:noWrap w:val="0"/>
            <w:tcMar>
              <w:top w:w="-1" w:type="dxa"/>
              <w:left w:w="-1" w:type="dxa"/>
              <w:bottom w:w="-1" w:type="dxa"/>
              <w:right w:w="-1" w:type="dxa"/>
            </w:tcMar>
            <w:vAlign w:val="center"/>
          </w:tcPr>
          <w:p w14:paraId="7D70F82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 </w:t>
            </w:r>
          </w:p>
        </w:tc>
        <w:tc>
          <w:tcPr>
            <w:tcW w:w="1158" w:type="pct"/>
            <w:tcBorders>
              <w:top w:val="nil"/>
              <w:left w:val="nil"/>
              <w:bottom w:val="nil"/>
              <w:right w:val="nil"/>
            </w:tcBorders>
            <w:noWrap w:val="0"/>
            <w:tcMar>
              <w:top w:w="-1" w:type="dxa"/>
              <w:left w:w="-1" w:type="dxa"/>
              <w:bottom w:w="-1" w:type="dxa"/>
              <w:right w:w="-1" w:type="dxa"/>
            </w:tcMar>
            <w:vAlign w:val="center"/>
          </w:tcPr>
          <w:p w14:paraId="05178B5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0.09 </w:t>
            </w:r>
          </w:p>
        </w:tc>
        <w:tc>
          <w:tcPr>
            <w:tcW w:w="1080" w:type="pct"/>
            <w:tcBorders>
              <w:top w:val="nil"/>
              <w:left w:val="nil"/>
              <w:bottom w:val="nil"/>
              <w:right w:val="nil"/>
            </w:tcBorders>
            <w:noWrap w:val="0"/>
            <w:tcMar>
              <w:top w:w="-1" w:type="dxa"/>
              <w:left w:w="-1" w:type="dxa"/>
              <w:bottom w:w="-1" w:type="dxa"/>
              <w:right w:w="-1" w:type="dxa"/>
            </w:tcMar>
            <w:vAlign w:val="center"/>
          </w:tcPr>
          <w:p w14:paraId="29AE7B0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12.13 </w:t>
            </w:r>
          </w:p>
        </w:tc>
        <w:tc>
          <w:tcPr>
            <w:tcW w:w="533" w:type="pct"/>
            <w:tcBorders>
              <w:top w:val="nil"/>
              <w:left w:val="nil"/>
              <w:bottom w:val="nil"/>
              <w:right w:val="nil"/>
            </w:tcBorders>
            <w:noWrap w:val="0"/>
            <w:tcMar>
              <w:top w:w="-1" w:type="dxa"/>
              <w:left w:w="-1" w:type="dxa"/>
              <w:bottom w:w="-1" w:type="dxa"/>
              <w:right w:w="-1" w:type="dxa"/>
            </w:tcMar>
            <w:vAlign w:val="center"/>
          </w:tcPr>
          <w:p w14:paraId="766A75A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 </w:t>
            </w:r>
          </w:p>
        </w:tc>
        <w:tc>
          <w:tcPr>
            <w:tcW w:w="565" w:type="pct"/>
            <w:tcBorders>
              <w:top w:val="nil"/>
              <w:left w:val="nil"/>
              <w:bottom w:val="nil"/>
              <w:right w:val="nil"/>
            </w:tcBorders>
            <w:noWrap w:val="0"/>
            <w:tcMar>
              <w:top w:w="-1" w:type="dxa"/>
              <w:left w:w="-1" w:type="dxa"/>
              <w:bottom w:w="-1" w:type="dxa"/>
              <w:right w:w="-1" w:type="dxa"/>
            </w:tcMar>
            <w:vAlign w:val="center"/>
          </w:tcPr>
          <w:p w14:paraId="75CAD8B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w:t>
            </w:r>
          </w:p>
        </w:tc>
      </w:tr>
      <w:tr w14:paraId="4BF7628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87" w:type="pct"/>
            <w:tcBorders>
              <w:top w:val="nil"/>
              <w:left w:val="nil"/>
              <w:bottom w:val="single" w:color="auto" w:sz="12" w:space="0"/>
              <w:right w:val="nil"/>
            </w:tcBorders>
            <w:noWrap w:val="0"/>
            <w:tcMar>
              <w:top w:w="-1" w:type="dxa"/>
              <w:left w:w="-1" w:type="dxa"/>
              <w:bottom w:w="-1" w:type="dxa"/>
              <w:right w:w="-1" w:type="dxa"/>
            </w:tcMar>
            <w:vAlign w:val="center"/>
          </w:tcPr>
          <w:p w14:paraId="22ABDE0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iCs/>
                <w:caps w:val="0"/>
                <w:color w:val="0F1115"/>
                <w:spacing w:val="0"/>
                <w:sz w:val="24"/>
                <w:szCs w:val="24"/>
                <w:shd w:val="clear" w:fill="FFFFFF"/>
              </w:rPr>
              <w:t>p</w:t>
            </w:r>
            <w:r>
              <w:rPr>
                <w:rFonts w:hint="default" w:ascii="Times New Roman" w:hAnsi="Times New Roman" w:eastAsia="Segoe UI" w:cs="Times New Roman"/>
                <w:i w:val="0"/>
                <w:iCs w:val="0"/>
                <w:caps w:val="0"/>
                <w:color w:val="0F1115"/>
                <w:spacing w:val="0"/>
                <w:sz w:val="24"/>
                <w:szCs w:val="24"/>
                <w:shd w:val="clear" w:fill="FFFFFF"/>
              </w:rPr>
              <w:t xml:space="preserve"> value </w:t>
            </w:r>
          </w:p>
        </w:tc>
        <w:tc>
          <w:tcPr>
            <w:tcW w:w="474" w:type="pct"/>
            <w:tcBorders>
              <w:top w:val="nil"/>
              <w:left w:val="nil"/>
              <w:bottom w:val="single" w:color="auto" w:sz="12" w:space="0"/>
              <w:right w:val="nil"/>
            </w:tcBorders>
            <w:noWrap w:val="0"/>
            <w:tcMar>
              <w:top w:w="-1" w:type="dxa"/>
              <w:left w:w="-1" w:type="dxa"/>
              <w:bottom w:w="-1" w:type="dxa"/>
              <w:right w:w="-1" w:type="dxa"/>
            </w:tcMar>
            <w:vAlign w:val="center"/>
          </w:tcPr>
          <w:p w14:paraId="509D2F1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 </w:t>
            </w:r>
          </w:p>
        </w:tc>
        <w:tc>
          <w:tcPr>
            <w:tcW w:w="1158" w:type="pct"/>
            <w:tcBorders>
              <w:top w:val="nil"/>
              <w:left w:val="nil"/>
              <w:bottom w:val="single" w:color="auto" w:sz="12" w:space="0"/>
              <w:right w:val="nil"/>
            </w:tcBorders>
            <w:noWrap w:val="0"/>
            <w:tcMar>
              <w:top w:w="-1" w:type="dxa"/>
              <w:left w:w="-1" w:type="dxa"/>
              <w:bottom w:w="-1" w:type="dxa"/>
              <w:right w:w="-1" w:type="dxa"/>
            </w:tcMar>
            <w:vAlign w:val="center"/>
          </w:tcPr>
          <w:p w14:paraId="6519148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0.23 </w:t>
            </w:r>
          </w:p>
        </w:tc>
        <w:tc>
          <w:tcPr>
            <w:tcW w:w="1080" w:type="pct"/>
            <w:tcBorders>
              <w:top w:val="nil"/>
              <w:left w:val="nil"/>
              <w:bottom w:val="single" w:color="auto" w:sz="12" w:space="0"/>
              <w:right w:val="nil"/>
            </w:tcBorders>
            <w:noWrap w:val="0"/>
            <w:tcMar>
              <w:top w:w="-1" w:type="dxa"/>
              <w:left w:w="-1" w:type="dxa"/>
              <w:bottom w:w="-1" w:type="dxa"/>
              <w:right w:w="-1" w:type="dxa"/>
            </w:tcMar>
            <w:vAlign w:val="center"/>
          </w:tcPr>
          <w:p w14:paraId="2E738F8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0.00 </w:t>
            </w:r>
          </w:p>
        </w:tc>
        <w:tc>
          <w:tcPr>
            <w:tcW w:w="533" w:type="pct"/>
            <w:tcBorders>
              <w:top w:val="nil"/>
              <w:left w:val="nil"/>
              <w:bottom w:val="single" w:color="auto" w:sz="12" w:space="0"/>
              <w:right w:val="nil"/>
            </w:tcBorders>
            <w:noWrap w:val="0"/>
            <w:tcMar>
              <w:top w:w="-1" w:type="dxa"/>
              <w:left w:w="-1" w:type="dxa"/>
              <w:bottom w:w="-1" w:type="dxa"/>
              <w:right w:w="-1" w:type="dxa"/>
            </w:tcMar>
            <w:vAlign w:val="center"/>
          </w:tcPr>
          <w:p w14:paraId="535A58F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 </w:t>
            </w:r>
          </w:p>
        </w:tc>
        <w:tc>
          <w:tcPr>
            <w:tcW w:w="565" w:type="pct"/>
            <w:tcBorders>
              <w:top w:val="nil"/>
              <w:left w:val="nil"/>
              <w:bottom w:val="single" w:color="auto" w:sz="12" w:space="0"/>
              <w:right w:val="nil"/>
            </w:tcBorders>
            <w:noWrap w:val="0"/>
            <w:tcMar>
              <w:top w:w="-1" w:type="dxa"/>
              <w:left w:w="-1" w:type="dxa"/>
              <w:bottom w:w="-1" w:type="dxa"/>
              <w:right w:w="-1" w:type="dxa"/>
            </w:tcMar>
            <w:vAlign w:val="center"/>
          </w:tcPr>
          <w:p w14:paraId="731C95E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w:t>
            </w:r>
          </w:p>
        </w:tc>
      </w:tr>
    </w:tbl>
    <w:p w14:paraId="25B6FF2B">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i w:val="0"/>
          <w:iCs w:val="0"/>
          <w:caps w:val="0"/>
          <w:color w:val="0F1115"/>
          <w:spacing w:val="0"/>
          <w:sz w:val="24"/>
          <w:szCs w:val="24"/>
          <w:shd w:val="clear" w:fill="FFFFFF"/>
        </w:rPr>
      </w:pPr>
    </w:p>
    <w:p w14:paraId="06482152">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b/>
          <w:bCs/>
          <w:i w:val="0"/>
          <w:iCs w:val="0"/>
          <w:caps w:val="0"/>
          <w:color w:val="0F1115"/>
          <w:spacing w:val="0"/>
          <w:sz w:val="24"/>
          <w:szCs w:val="24"/>
          <w:shd w:val="clear" w:fill="FFFFFF"/>
        </w:rPr>
      </w:pPr>
      <w:r>
        <w:rPr>
          <w:rFonts w:hint="eastAsia" w:ascii="Times New Roman" w:hAnsi="Times New Roman" w:eastAsia="宋体" w:cs="Times New Roman"/>
          <w:b/>
          <w:bCs/>
          <w:i w:val="0"/>
          <w:iCs w:val="0"/>
          <w:caps w:val="0"/>
          <w:color w:val="0F1115"/>
          <w:spacing w:val="0"/>
          <w:sz w:val="24"/>
          <w:szCs w:val="24"/>
          <w:shd w:val="clear" w:fill="FFFFFF"/>
          <w:lang w:val="en-US" w:eastAsia="zh-CN"/>
        </w:rPr>
        <w:t>3</w:t>
      </w:r>
      <w:r>
        <w:rPr>
          <w:rFonts w:hint="default" w:ascii="Times New Roman" w:hAnsi="Times New Roman" w:eastAsia="Segoe UI" w:cs="Times New Roman"/>
          <w:b/>
          <w:bCs/>
          <w:i w:val="0"/>
          <w:iCs w:val="0"/>
          <w:caps w:val="0"/>
          <w:color w:val="0F1115"/>
          <w:spacing w:val="0"/>
          <w:sz w:val="24"/>
          <w:szCs w:val="24"/>
          <w:shd w:val="clear" w:fill="FFFFFF"/>
        </w:rPr>
        <w:t>.3</w:t>
      </w:r>
      <w:r>
        <w:rPr>
          <w:rFonts w:hint="default" w:ascii="Times New Roman" w:hAnsi="Times New Roman" w:eastAsia="宋体" w:cs="Times New Roman"/>
          <w:b/>
          <w:bCs/>
          <w:i w:val="0"/>
          <w:iCs w:val="0"/>
          <w:caps w:val="0"/>
          <w:color w:val="0F1115"/>
          <w:spacing w:val="0"/>
          <w:sz w:val="24"/>
          <w:szCs w:val="24"/>
          <w:shd w:val="clear" w:fill="FFFFFF"/>
          <w:lang w:val="en-US" w:eastAsia="zh-CN"/>
        </w:rPr>
        <w:t>.</w:t>
      </w:r>
      <w:r>
        <w:rPr>
          <w:rFonts w:hint="default" w:ascii="Times New Roman" w:hAnsi="Times New Roman" w:eastAsia="Segoe UI" w:cs="Times New Roman"/>
          <w:b/>
          <w:bCs/>
          <w:i w:val="0"/>
          <w:iCs w:val="0"/>
          <w:caps w:val="0"/>
          <w:color w:val="0F1115"/>
          <w:spacing w:val="0"/>
          <w:sz w:val="24"/>
          <w:szCs w:val="24"/>
          <w:shd w:val="clear" w:fill="FFFFFF"/>
        </w:rPr>
        <w:t xml:space="preserve"> Comparison of </w:t>
      </w:r>
      <w:r>
        <w:rPr>
          <w:rFonts w:hint="eastAsia" w:ascii="Times New Roman" w:hAnsi="Times New Roman" w:eastAsia="宋体" w:cs="Times New Roman"/>
          <w:b/>
          <w:bCs/>
          <w:i w:val="0"/>
          <w:iCs w:val="0"/>
          <w:caps w:val="0"/>
          <w:color w:val="0F1115"/>
          <w:spacing w:val="0"/>
          <w:sz w:val="24"/>
          <w:szCs w:val="24"/>
          <w:shd w:val="clear" w:fill="FFFFFF"/>
          <w:lang w:val="en-US" w:eastAsia="zh-CN"/>
        </w:rPr>
        <w:t>q</w:t>
      </w:r>
      <w:r>
        <w:rPr>
          <w:rFonts w:hint="default" w:ascii="Times New Roman" w:hAnsi="Times New Roman" w:eastAsia="Segoe UI" w:cs="Times New Roman"/>
          <w:b/>
          <w:bCs/>
          <w:i w:val="0"/>
          <w:iCs w:val="0"/>
          <w:caps w:val="0"/>
          <w:color w:val="0F1115"/>
          <w:spacing w:val="0"/>
          <w:sz w:val="24"/>
          <w:szCs w:val="24"/>
          <w:shd w:val="clear" w:fill="FFFFFF"/>
        </w:rPr>
        <w:t xml:space="preserve">uality of </w:t>
      </w:r>
      <w:r>
        <w:rPr>
          <w:rFonts w:hint="eastAsia" w:ascii="Times New Roman" w:hAnsi="Times New Roman" w:eastAsia="宋体" w:cs="Times New Roman"/>
          <w:b/>
          <w:bCs/>
          <w:i w:val="0"/>
          <w:iCs w:val="0"/>
          <w:caps w:val="0"/>
          <w:color w:val="0F1115"/>
          <w:spacing w:val="0"/>
          <w:sz w:val="24"/>
          <w:szCs w:val="24"/>
          <w:shd w:val="clear" w:fill="FFFFFF"/>
          <w:lang w:val="en-US" w:eastAsia="zh-CN"/>
        </w:rPr>
        <w:t>l</w:t>
      </w:r>
      <w:r>
        <w:rPr>
          <w:rFonts w:hint="default" w:ascii="Times New Roman" w:hAnsi="Times New Roman" w:eastAsia="Segoe UI" w:cs="Times New Roman"/>
          <w:b/>
          <w:bCs/>
          <w:i w:val="0"/>
          <w:iCs w:val="0"/>
          <w:caps w:val="0"/>
          <w:color w:val="0F1115"/>
          <w:spacing w:val="0"/>
          <w:sz w:val="24"/>
          <w:szCs w:val="24"/>
          <w:shd w:val="clear" w:fill="FFFFFF"/>
        </w:rPr>
        <w:t xml:space="preserve">ife </w:t>
      </w:r>
      <w:r>
        <w:rPr>
          <w:rFonts w:hint="eastAsia" w:ascii="Times New Roman" w:hAnsi="Times New Roman" w:eastAsia="宋体" w:cs="Times New Roman"/>
          <w:b/>
          <w:bCs/>
          <w:i w:val="0"/>
          <w:iCs w:val="0"/>
          <w:caps w:val="0"/>
          <w:color w:val="0F1115"/>
          <w:spacing w:val="0"/>
          <w:sz w:val="24"/>
          <w:szCs w:val="24"/>
          <w:shd w:val="clear" w:fill="FFFFFF"/>
          <w:lang w:val="en-US" w:eastAsia="zh-CN"/>
        </w:rPr>
        <w:t>s</w:t>
      </w:r>
      <w:r>
        <w:rPr>
          <w:rFonts w:hint="default" w:ascii="Times New Roman" w:hAnsi="Times New Roman" w:eastAsia="Segoe UI" w:cs="Times New Roman"/>
          <w:b/>
          <w:bCs/>
          <w:i w:val="0"/>
          <w:iCs w:val="0"/>
          <w:caps w:val="0"/>
          <w:color w:val="0F1115"/>
          <w:spacing w:val="0"/>
          <w:sz w:val="24"/>
          <w:szCs w:val="24"/>
          <w:shd w:val="clear" w:fill="FFFFFF"/>
        </w:rPr>
        <w:t xml:space="preserve">cores </w:t>
      </w:r>
    </w:p>
    <w:p w14:paraId="384B180E">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Before treatment, there was no statistically significant difference in the quality of life scores between the two groups (</w:t>
      </w:r>
      <w:r>
        <w:rPr>
          <w:rFonts w:hint="default" w:ascii="Times New Roman" w:hAnsi="Times New Roman" w:eastAsia="Segoe UI" w:cs="Times New Roman"/>
          <w:i/>
          <w:iCs/>
          <w:caps w:val="0"/>
          <w:color w:val="0F1115"/>
          <w:spacing w:val="0"/>
          <w:sz w:val="24"/>
          <w:szCs w:val="24"/>
          <w:shd w:val="clear" w:fill="FFFFFF"/>
        </w:rPr>
        <w:t>P</w:t>
      </w:r>
      <w:r>
        <w:rPr>
          <w:rFonts w:hint="default" w:ascii="Times New Roman" w:hAnsi="Times New Roman" w:eastAsia="Segoe UI" w:cs="Times New Roman"/>
          <w:i w:val="0"/>
          <w:iCs w:val="0"/>
          <w:caps w:val="0"/>
          <w:color w:val="0F1115"/>
          <w:spacing w:val="0"/>
          <w:sz w:val="24"/>
          <w:szCs w:val="24"/>
          <w:shd w:val="clear" w:fill="FFFFFF"/>
        </w:rPr>
        <w:t xml:space="preserve"> &gt; 0.05). After treatment, the quality of life score in the observation group was significantly higher than that in the control group (</w:t>
      </w:r>
      <w:r>
        <w:rPr>
          <w:rFonts w:hint="default" w:ascii="Times New Roman" w:hAnsi="Times New Roman" w:eastAsia="Segoe UI" w:cs="Times New Roman"/>
          <w:i/>
          <w:iCs/>
          <w:caps w:val="0"/>
          <w:color w:val="0F1115"/>
          <w:spacing w:val="0"/>
          <w:sz w:val="24"/>
          <w:szCs w:val="24"/>
          <w:shd w:val="clear" w:fill="FFFFFF"/>
        </w:rPr>
        <w:t>P</w:t>
      </w:r>
      <w:r>
        <w:rPr>
          <w:rFonts w:hint="default" w:ascii="Times New Roman" w:hAnsi="Times New Roman" w:eastAsia="Segoe UI" w:cs="Times New Roman"/>
          <w:i w:val="0"/>
          <w:iCs w:val="0"/>
          <w:caps w:val="0"/>
          <w:color w:val="0F1115"/>
          <w:spacing w:val="0"/>
          <w:sz w:val="24"/>
          <w:szCs w:val="24"/>
          <w:shd w:val="clear" w:fill="FFFFFF"/>
        </w:rPr>
        <w:t xml:space="preserve"> &lt; 0.00). Both groups showed a significant increase in quality of life scores after treatment compared to before treatment (</w:t>
      </w:r>
      <w:r>
        <w:rPr>
          <w:rFonts w:hint="default" w:ascii="Times New Roman" w:hAnsi="Times New Roman" w:eastAsia="Segoe UI" w:cs="Times New Roman"/>
          <w:i/>
          <w:iCs/>
          <w:caps w:val="0"/>
          <w:color w:val="0F1115"/>
          <w:spacing w:val="0"/>
          <w:sz w:val="24"/>
          <w:szCs w:val="24"/>
          <w:shd w:val="clear" w:fill="FFFFFF"/>
        </w:rPr>
        <w:t>P</w:t>
      </w:r>
      <w:r>
        <w:rPr>
          <w:rFonts w:hint="default" w:ascii="Times New Roman" w:hAnsi="Times New Roman" w:eastAsia="Segoe UI" w:cs="Times New Roman"/>
          <w:i w:val="0"/>
          <w:iCs w:val="0"/>
          <w:caps w:val="0"/>
          <w:color w:val="0F1115"/>
          <w:spacing w:val="0"/>
          <w:sz w:val="24"/>
          <w:szCs w:val="24"/>
          <w:shd w:val="clear" w:fill="FFFFFF"/>
        </w:rPr>
        <w:t xml:space="preserve"> &lt; 0.00) (see </w:t>
      </w:r>
      <w:r>
        <w:rPr>
          <w:rFonts w:hint="default" w:ascii="Times New Roman" w:hAnsi="Times New Roman" w:eastAsia="Segoe UI" w:cs="Times New Roman"/>
          <w:b/>
          <w:bCs/>
          <w:i w:val="0"/>
          <w:iCs w:val="0"/>
          <w:caps w:val="0"/>
          <w:color w:val="0F1115"/>
          <w:spacing w:val="0"/>
          <w:sz w:val="24"/>
          <w:szCs w:val="24"/>
          <w:shd w:val="clear" w:fill="FFFFFF"/>
        </w:rPr>
        <w:t>Table 3</w:t>
      </w:r>
      <w:r>
        <w:rPr>
          <w:rFonts w:hint="default" w:ascii="Times New Roman" w:hAnsi="Times New Roman" w:eastAsia="Segoe UI" w:cs="Times New Roman"/>
          <w:i w:val="0"/>
          <w:iCs w:val="0"/>
          <w:caps w:val="0"/>
          <w:color w:val="0F1115"/>
          <w:spacing w:val="0"/>
          <w:sz w:val="24"/>
          <w:szCs w:val="24"/>
          <w:shd w:val="clear" w:fill="FFFFFF"/>
        </w:rPr>
        <w:t xml:space="preserve">). </w:t>
      </w:r>
    </w:p>
    <w:p w14:paraId="049D677B">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i w:val="0"/>
          <w:iCs w:val="0"/>
          <w:caps w:val="0"/>
          <w:color w:val="0F1115"/>
          <w:spacing w:val="0"/>
          <w:sz w:val="24"/>
          <w:szCs w:val="24"/>
          <w:shd w:val="clear" w:fill="FFFFFF"/>
        </w:rPr>
      </w:pPr>
    </w:p>
    <w:p w14:paraId="49889613">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b/>
          <w:bCs/>
          <w:i w:val="0"/>
          <w:iCs w:val="0"/>
          <w:caps w:val="0"/>
          <w:color w:val="0F1115"/>
          <w:spacing w:val="0"/>
          <w:sz w:val="24"/>
          <w:szCs w:val="24"/>
          <w:shd w:val="clear" w:fill="FFFFFF"/>
        </w:rPr>
        <w:t>Table 3</w:t>
      </w:r>
      <w:r>
        <w:rPr>
          <w:rFonts w:hint="default" w:ascii="Times New Roman" w:hAnsi="Times New Roman" w:eastAsia="宋体" w:cs="Times New Roman"/>
          <w:b/>
          <w:bCs/>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 xml:space="preserve"> Comparison of </w:t>
      </w:r>
      <w:r>
        <w:rPr>
          <w:rFonts w:hint="eastAsia" w:ascii="Times New Roman" w:hAnsi="Times New Roman" w:eastAsia="宋体" w:cs="Times New Roman"/>
          <w:i w:val="0"/>
          <w:iCs w:val="0"/>
          <w:caps w:val="0"/>
          <w:color w:val="0F1115"/>
          <w:spacing w:val="0"/>
          <w:sz w:val="24"/>
          <w:szCs w:val="24"/>
          <w:shd w:val="clear" w:fill="FFFFFF"/>
          <w:lang w:val="en-US" w:eastAsia="zh-CN"/>
        </w:rPr>
        <w:t>q</w:t>
      </w:r>
      <w:r>
        <w:rPr>
          <w:rFonts w:hint="default" w:ascii="Times New Roman" w:hAnsi="Times New Roman" w:eastAsia="Segoe UI" w:cs="Times New Roman"/>
          <w:i w:val="0"/>
          <w:iCs w:val="0"/>
          <w:caps w:val="0"/>
          <w:color w:val="0F1115"/>
          <w:spacing w:val="0"/>
          <w:sz w:val="24"/>
          <w:szCs w:val="24"/>
          <w:shd w:val="clear" w:fill="FFFFFF"/>
        </w:rPr>
        <w:t xml:space="preserve">uality of </w:t>
      </w:r>
      <w:r>
        <w:rPr>
          <w:rFonts w:hint="eastAsia" w:ascii="Times New Roman" w:hAnsi="Times New Roman" w:eastAsia="宋体" w:cs="Times New Roman"/>
          <w:i w:val="0"/>
          <w:iCs w:val="0"/>
          <w:caps w:val="0"/>
          <w:color w:val="0F1115"/>
          <w:spacing w:val="0"/>
          <w:sz w:val="24"/>
          <w:szCs w:val="24"/>
          <w:shd w:val="clear" w:fill="FFFFFF"/>
          <w:lang w:val="en-US" w:eastAsia="zh-CN"/>
        </w:rPr>
        <w:t>l</w:t>
      </w:r>
      <w:r>
        <w:rPr>
          <w:rFonts w:hint="default" w:ascii="Times New Roman" w:hAnsi="Times New Roman" w:eastAsia="Segoe UI" w:cs="Times New Roman"/>
          <w:i w:val="0"/>
          <w:iCs w:val="0"/>
          <w:caps w:val="0"/>
          <w:color w:val="0F1115"/>
          <w:spacing w:val="0"/>
          <w:sz w:val="24"/>
          <w:szCs w:val="24"/>
          <w:shd w:val="clear" w:fill="FFFFFF"/>
        </w:rPr>
        <w:t xml:space="preserve">ife </w:t>
      </w:r>
      <w:r>
        <w:rPr>
          <w:rFonts w:hint="eastAsia" w:ascii="Times New Roman" w:hAnsi="Times New Roman" w:eastAsia="宋体" w:cs="Times New Roman"/>
          <w:i w:val="0"/>
          <w:iCs w:val="0"/>
          <w:caps w:val="0"/>
          <w:color w:val="0F1115"/>
          <w:spacing w:val="0"/>
          <w:sz w:val="24"/>
          <w:szCs w:val="24"/>
          <w:shd w:val="clear" w:fill="FFFFFF"/>
          <w:lang w:val="en-US" w:eastAsia="zh-CN"/>
        </w:rPr>
        <w:t>s</w:t>
      </w:r>
      <w:r>
        <w:rPr>
          <w:rFonts w:hint="default" w:ascii="Times New Roman" w:hAnsi="Times New Roman" w:eastAsia="Segoe UI" w:cs="Times New Roman"/>
          <w:i w:val="0"/>
          <w:iCs w:val="0"/>
          <w:caps w:val="0"/>
          <w:color w:val="0F1115"/>
          <w:spacing w:val="0"/>
          <w:sz w:val="24"/>
          <w:szCs w:val="24"/>
          <w:shd w:val="clear" w:fill="FFFFFF"/>
        </w:rPr>
        <w:t xml:space="preserve">cores </w:t>
      </w:r>
      <w:r>
        <w:rPr>
          <w:rFonts w:hint="eastAsia" w:ascii="Times New Roman" w:hAnsi="Times New Roman" w:eastAsia="宋体" w:cs="Times New Roman"/>
          <w:i w:val="0"/>
          <w:iCs w:val="0"/>
          <w:caps w:val="0"/>
          <w:color w:val="0F1115"/>
          <w:spacing w:val="0"/>
          <w:sz w:val="24"/>
          <w:szCs w:val="24"/>
          <w:shd w:val="clear" w:fill="FFFFFF"/>
          <w:lang w:val="en-US" w:eastAsia="zh-CN"/>
        </w:rPr>
        <w:t>b</w:t>
      </w:r>
      <w:r>
        <w:rPr>
          <w:rFonts w:hint="default" w:ascii="Times New Roman" w:hAnsi="Times New Roman" w:eastAsia="Segoe UI" w:cs="Times New Roman"/>
          <w:i w:val="0"/>
          <w:iCs w:val="0"/>
          <w:caps w:val="0"/>
          <w:color w:val="0F1115"/>
          <w:spacing w:val="0"/>
          <w:sz w:val="24"/>
          <w:szCs w:val="24"/>
          <w:shd w:val="clear" w:fill="FFFFFF"/>
        </w:rPr>
        <w:t xml:space="preserve">efore </w:t>
      </w:r>
      <w:r>
        <w:rPr>
          <w:rFonts w:hint="eastAsia" w:ascii="Times New Roman" w:hAnsi="Times New Roman" w:eastAsia="宋体" w:cs="Times New Roman"/>
          <w:i w:val="0"/>
          <w:iCs w:val="0"/>
          <w:caps w:val="0"/>
          <w:color w:val="0F1115"/>
          <w:spacing w:val="0"/>
          <w:sz w:val="24"/>
          <w:szCs w:val="24"/>
          <w:shd w:val="clear" w:fill="FFFFFF"/>
          <w:lang w:val="en-US" w:eastAsia="zh-CN"/>
        </w:rPr>
        <w:t>t</w:t>
      </w:r>
      <w:r>
        <w:rPr>
          <w:rFonts w:hint="default" w:ascii="Times New Roman" w:hAnsi="Times New Roman" w:eastAsia="Segoe UI" w:cs="Times New Roman"/>
          <w:i w:val="0"/>
          <w:iCs w:val="0"/>
          <w:caps w:val="0"/>
          <w:color w:val="0F1115"/>
          <w:spacing w:val="0"/>
          <w:sz w:val="24"/>
          <w:szCs w:val="24"/>
          <w:shd w:val="clear" w:fill="FFFFFF"/>
        </w:rPr>
        <w:t xml:space="preserve">reatment </w:t>
      </w:r>
      <w:r>
        <w:rPr>
          <w:rFonts w:hint="eastAsia" w:ascii="Times New Roman" w:hAnsi="Times New Roman" w:eastAsia="宋体" w:cs="Times New Roman"/>
          <w:i w:val="0"/>
          <w:iCs w:val="0"/>
          <w:caps w:val="0"/>
          <w:color w:val="0F1115"/>
          <w:spacing w:val="0"/>
          <w:sz w:val="24"/>
          <w:szCs w:val="24"/>
          <w:shd w:val="clear" w:fill="FFFFFF"/>
          <w:lang w:val="en-US" w:eastAsia="zh-CN"/>
        </w:rPr>
        <w:t>b</w:t>
      </w:r>
      <w:r>
        <w:rPr>
          <w:rFonts w:hint="default" w:ascii="Times New Roman" w:hAnsi="Times New Roman" w:eastAsia="Segoe UI" w:cs="Times New Roman"/>
          <w:i w:val="0"/>
          <w:iCs w:val="0"/>
          <w:caps w:val="0"/>
          <w:color w:val="0F1115"/>
          <w:spacing w:val="0"/>
          <w:sz w:val="24"/>
          <w:szCs w:val="24"/>
          <w:shd w:val="clear" w:fill="FFFFFF"/>
        </w:rPr>
        <w:t xml:space="preserve">etween the </w:t>
      </w:r>
      <w:r>
        <w:rPr>
          <w:rFonts w:hint="eastAsia" w:ascii="Times New Roman" w:hAnsi="Times New Roman" w:eastAsia="宋体" w:cs="Times New Roman"/>
          <w:i w:val="0"/>
          <w:iCs w:val="0"/>
          <w:caps w:val="0"/>
          <w:color w:val="0F1115"/>
          <w:spacing w:val="0"/>
          <w:sz w:val="24"/>
          <w:szCs w:val="24"/>
          <w:shd w:val="clear" w:fill="FFFFFF"/>
          <w:lang w:val="en-US" w:eastAsia="zh-CN"/>
        </w:rPr>
        <w:t>t</w:t>
      </w:r>
      <w:r>
        <w:rPr>
          <w:rFonts w:hint="default" w:ascii="Times New Roman" w:hAnsi="Times New Roman" w:eastAsia="Segoe UI" w:cs="Times New Roman"/>
          <w:i w:val="0"/>
          <w:iCs w:val="0"/>
          <w:caps w:val="0"/>
          <w:color w:val="0F1115"/>
          <w:spacing w:val="0"/>
          <w:sz w:val="24"/>
          <w:szCs w:val="24"/>
          <w:shd w:val="clear" w:fill="FFFFFF"/>
        </w:rPr>
        <w:t xml:space="preserve">wo </w:t>
      </w:r>
      <w:r>
        <w:rPr>
          <w:rFonts w:hint="eastAsia" w:ascii="Times New Roman" w:hAnsi="Times New Roman" w:eastAsia="宋体" w:cs="Times New Roman"/>
          <w:i w:val="0"/>
          <w:iCs w:val="0"/>
          <w:caps w:val="0"/>
          <w:color w:val="0F1115"/>
          <w:spacing w:val="0"/>
          <w:sz w:val="24"/>
          <w:szCs w:val="24"/>
          <w:shd w:val="clear" w:fill="FFFFFF"/>
          <w:lang w:val="en-US" w:eastAsia="zh-CN"/>
        </w:rPr>
        <w:t>g</w:t>
      </w:r>
      <w:r>
        <w:rPr>
          <w:rFonts w:hint="default" w:ascii="Times New Roman" w:hAnsi="Times New Roman" w:eastAsia="Segoe UI" w:cs="Times New Roman"/>
          <w:i w:val="0"/>
          <w:iCs w:val="0"/>
          <w:caps w:val="0"/>
          <w:color w:val="0F1115"/>
          <w:spacing w:val="0"/>
          <w:sz w:val="24"/>
          <w:szCs w:val="24"/>
          <w:shd w:val="clear" w:fill="FFFFFF"/>
        </w:rPr>
        <w:t>roups (</w:t>
      </w:r>
      <w:r>
        <w:rPr>
          <w:rFonts w:hint="default" w:ascii="Times New Roman" w:hAnsi="Times New Roman" w:eastAsia="宋体" w:cs="Times New Roman"/>
          <w:color w:val="0000FF"/>
          <w:position w:val="-6"/>
          <w:sz w:val="24"/>
          <w:szCs w:val="24"/>
        </w:rPr>
        <w:object>
          <v:shape id="_x0000_i1028" o:spt="75" type="#_x0000_t75" style="height:13.5pt;width:11pt;" o:ole="t" filled="f" o:preferrelative="t" stroked="f" coordsize="21600,21600">
            <v:path/>
            <v:fill on="f" focussize="0,0"/>
            <v:stroke on="f" joinstyle="miter"/>
            <v:imagedata r:id="rId5" o:title=""/>
            <o:lock v:ext="edit" aspectratio="t"/>
            <w10:wrap type="none"/>
            <w10:anchorlock/>
          </v:shape>
          <o:OLEObject Type="Embed" ProgID="Equation.DSMT4" ShapeID="_x0000_i1028" DrawAspect="Content" ObjectID="_1468075728" r:id="rId8">
            <o:LockedField>false</o:LockedField>
          </o:OLEObject>
        </w:object>
      </w:r>
      <w:r>
        <w:rPr>
          <w:rFonts w:ascii="Times New Roman" w:hAnsi="Times New Roman"/>
          <w:sz w:val="24"/>
          <w:szCs w:val="24"/>
        </w:rPr>
        <w:t>± s</w:t>
      </w:r>
      <w:r>
        <w:rPr>
          <w:rFonts w:hint="default" w:ascii="Times New Roman" w:hAnsi="Times New Roman" w:eastAsia="Segoe UI" w:cs="Times New Roman"/>
          <w:i w:val="0"/>
          <w:iCs w:val="0"/>
          <w:caps w:val="0"/>
          <w:color w:val="0F1115"/>
          <w:spacing w:val="0"/>
          <w:sz w:val="24"/>
          <w:szCs w:val="24"/>
          <w:shd w:val="clear" w:fill="FFFFFF"/>
        </w:rPr>
        <w:t>, points)</w:t>
      </w:r>
    </w:p>
    <w:tbl>
      <w:tblPr>
        <w:tblStyle w:val="5"/>
        <w:tblW w:w="5111"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2116"/>
        <w:gridCol w:w="2007"/>
        <w:gridCol w:w="2066"/>
        <w:gridCol w:w="1925"/>
        <w:gridCol w:w="951"/>
        <w:gridCol w:w="1008"/>
      </w:tblGrid>
      <w:tr w14:paraId="78FC80E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050" w:type="pct"/>
            <w:tcBorders>
              <w:top w:val="single" w:color="auto" w:sz="12" w:space="0"/>
              <w:left w:val="nil"/>
              <w:bottom w:val="nil"/>
              <w:right w:val="nil"/>
            </w:tcBorders>
            <w:noWrap w:val="0"/>
            <w:tcMar>
              <w:top w:w="-1" w:type="dxa"/>
              <w:left w:w="-1" w:type="dxa"/>
              <w:bottom w:w="-1" w:type="dxa"/>
              <w:right w:w="-1" w:type="dxa"/>
            </w:tcMar>
            <w:vAlign w:val="center"/>
          </w:tcPr>
          <w:p w14:paraId="6EFF47E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sz w:val="24"/>
                <w:szCs w:val="24"/>
              </w:rPr>
            </w:pPr>
            <w:r>
              <w:rPr>
                <w:rFonts w:hint="default" w:ascii="Times New Roman" w:hAnsi="Times New Roman" w:eastAsia="Segoe UI" w:cs="Times New Roman"/>
                <w:b/>
                <w:i w:val="0"/>
                <w:iCs w:val="0"/>
                <w:caps w:val="0"/>
                <w:color w:val="0F1115"/>
                <w:spacing w:val="0"/>
                <w:sz w:val="24"/>
                <w:szCs w:val="24"/>
                <w:shd w:val="clear" w:fill="FFFFFF"/>
              </w:rPr>
              <w:t xml:space="preserve">Group </w:t>
            </w:r>
          </w:p>
        </w:tc>
        <w:tc>
          <w:tcPr>
            <w:tcW w:w="996" w:type="pct"/>
            <w:tcBorders>
              <w:top w:val="single" w:color="auto" w:sz="12" w:space="0"/>
              <w:left w:val="nil"/>
              <w:bottom w:val="nil"/>
              <w:right w:val="nil"/>
            </w:tcBorders>
            <w:noWrap w:val="0"/>
            <w:tcMar>
              <w:top w:w="-1" w:type="dxa"/>
              <w:left w:w="-1" w:type="dxa"/>
              <w:bottom w:w="-1" w:type="dxa"/>
              <w:right w:w="-1" w:type="dxa"/>
            </w:tcMar>
            <w:vAlign w:val="center"/>
          </w:tcPr>
          <w:p w14:paraId="59CCC69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sz w:val="24"/>
                <w:szCs w:val="24"/>
              </w:rPr>
            </w:pPr>
            <w:r>
              <w:rPr>
                <w:rFonts w:hint="default" w:ascii="Times New Roman" w:hAnsi="Times New Roman" w:eastAsia="Segoe UI" w:cs="Times New Roman"/>
                <w:b/>
                <w:i w:val="0"/>
                <w:iCs w:val="0"/>
                <w:caps w:val="0"/>
                <w:color w:val="0F1115"/>
                <w:spacing w:val="0"/>
                <w:sz w:val="24"/>
                <w:szCs w:val="24"/>
                <w:shd w:val="clear" w:fill="FFFFFF"/>
              </w:rPr>
              <w:t xml:space="preserve">Number of cases </w:t>
            </w:r>
          </w:p>
        </w:tc>
        <w:tc>
          <w:tcPr>
            <w:tcW w:w="1025" w:type="pct"/>
            <w:tcBorders>
              <w:top w:val="single" w:color="auto" w:sz="12" w:space="0"/>
              <w:left w:val="nil"/>
              <w:bottom w:val="nil"/>
              <w:right w:val="nil"/>
            </w:tcBorders>
            <w:noWrap w:val="0"/>
            <w:tcMar>
              <w:top w:w="-1" w:type="dxa"/>
              <w:left w:w="-1" w:type="dxa"/>
              <w:bottom w:w="-1" w:type="dxa"/>
              <w:right w:w="-1" w:type="dxa"/>
            </w:tcMar>
            <w:vAlign w:val="center"/>
          </w:tcPr>
          <w:p w14:paraId="25F97C2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sz w:val="24"/>
                <w:szCs w:val="24"/>
              </w:rPr>
            </w:pPr>
            <w:r>
              <w:rPr>
                <w:rFonts w:hint="default" w:ascii="Times New Roman" w:hAnsi="Times New Roman" w:eastAsia="Segoe UI" w:cs="Times New Roman"/>
                <w:b/>
                <w:i w:val="0"/>
                <w:iCs w:val="0"/>
                <w:caps w:val="0"/>
                <w:color w:val="0F1115"/>
                <w:spacing w:val="0"/>
                <w:sz w:val="24"/>
                <w:szCs w:val="24"/>
                <w:shd w:val="clear" w:fill="FFFFFF"/>
              </w:rPr>
              <w:t xml:space="preserve">Before treatment </w:t>
            </w:r>
          </w:p>
        </w:tc>
        <w:tc>
          <w:tcPr>
            <w:tcW w:w="955" w:type="pct"/>
            <w:tcBorders>
              <w:top w:val="single" w:color="auto" w:sz="12" w:space="0"/>
              <w:left w:val="nil"/>
              <w:bottom w:val="nil"/>
              <w:right w:val="nil"/>
            </w:tcBorders>
            <w:noWrap w:val="0"/>
            <w:tcMar>
              <w:top w:w="-1" w:type="dxa"/>
              <w:left w:w="-1" w:type="dxa"/>
              <w:bottom w:w="-1" w:type="dxa"/>
              <w:right w:w="-1" w:type="dxa"/>
            </w:tcMar>
            <w:vAlign w:val="center"/>
          </w:tcPr>
          <w:p w14:paraId="7BC4295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sz w:val="24"/>
                <w:szCs w:val="24"/>
              </w:rPr>
            </w:pPr>
            <w:r>
              <w:rPr>
                <w:rFonts w:hint="default" w:ascii="Times New Roman" w:hAnsi="Times New Roman" w:eastAsia="Segoe UI" w:cs="Times New Roman"/>
                <w:b/>
                <w:i w:val="0"/>
                <w:iCs w:val="0"/>
                <w:caps w:val="0"/>
                <w:color w:val="0F1115"/>
                <w:spacing w:val="0"/>
                <w:sz w:val="24"/>
                <w:szCs w:val="24"/>
                <w:shd w:val="clear" w:fill="FFFFFF"/>
              </w:rPr>
              <w:t xml:space="preserve">After treatment </w:t>
            </w:r>
          </w:p>
        </w:tc>
        <w:tc>
          <w:tcPr>
            <w:tcW w:w="472" w:type="pct"/>
            <w:tcBorders>
              <w:top w:val="single" w:color="auto" w:sz="12" w:space="0"/>
              <w:left w:val="nil"/>
              <w:bottom w:val="nil"/>
              <w:right w:val="nil"/>
            </w:tcBorders>
            <w:noWrap w:val="0"/>
            <w:tcMar>
              <w:top w:w="-1" w:type="dxa"/>
              <w:left w:w="-1" w:type="dxa"/>
              <w:bottom w:w="-1" w:type="dxa"/>
              <w:right w:w="-1" w:type="dxa"/>
            </w:tcMar>
            <w:vAlign w:val="center"/>
          </w:tcPr>
          <w:p w14:paraId="08E4045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sz w:val="24"/>
                <w:szCs w:val="24"/>
              </w:rPr>
            </w:pPr>
            <w:r>
              <w:rPr>
                <w:rFonts w:hint="default" w:ascii="Times New Roman" w:hAnsi="Times New Roman" w:eastAsia="Segoe UI" w:cs="Times New Roman"/>
                <w:b/>
                <w:i/>
                <w:iCs/>
                <w:caps w:val="0"/>
                <w:color w:val="0F1115"/>
                <w:spacing w:val="0"/>
                <w:sz w:val="24"/>
                <w:szCs w:val="24"/>
                <w:shd w:val="clear" w:fill="FFFFFF"/>
              </w:rPr>
              <w:t>t</w:t>
            </w:r>
            <w:r>
              <w:rPr>
                <w:rFonts w:hint="default" w:ascii="Times New Roman" w:hAnsi="Times New Roman" w:eastAsia="Segoe UI" w:cs="Times New Roman"/>
                <w:b/>
                <w:i w:val="0"/>
                <w:iCs w:val="0"/>
                <w:caps w:val="0"/>
                <w:color w:val="0F1115"/>
                <w:spacing w:val="0"/>
                <w:sz w:val="24"/>
                <w:szCs w:val="24"/>
                <w:shd w:val="clear" w:fill="FFFFFF"/>
              </w:rPr>
              <w:t xml:space="preserve"> value </w:t>
            </w:r>
          </w:p>
        </w:tc>
        <w:tc>
          <w:tcPr>
            <w:tcW w:w="500" w:type="pct"/>
            <w:tcBorders>
              <w:top w:val="single" w:color="auto" w:sz="12" w:space="0"/>
              <w:left w:val="nil"/>
              <w:bottom w:val="nil"/>
              <w:right w:val="nil"/>
            </w:tcBorders>
            <w:noWrap w:val="0"/>
            <w:tcMar>
              <w:top w:w="-1" w:type="dxa"/>
              <w:left w:w="-1" w:type="dxa"/>
              <w:bottom w:w="-1" w:type="dxa"/>
              <w:right w:w="-1" w:type="dxa"/>
            </w:tcMar>
            <w:vAlign w:val="center"/>
          </w:tcPr>
          <w:p w14:paraId="08248F7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sz w:val="24"/>
                <w:szCs w:val="24"/>
              </w:rPr>
            </w:pPr>
            <w:r>
              <w:rPr>
                <w:rFonts w:hint="default" w:ascii="Times New Roman" w:hAnsi="Times New Roman" w:eastAsia="Segoe UI" w:cs="Times New Roman"/>
                <w:b/>
                <w:i/>
                <w:iCs/>
                <w:caps w:val="0"/>
                <w:color w:val="0F1115"/>
                <w:spacing w:val="0"/>
                <w:sz w:val="24"/>
                <w:szCs w:val="24"/>
                <w:shd w:val="clear" w:fill="FFFFFF"/>
              </w:rPr>
              <w:t>p</w:t>
            </w:r>
            <w:r>
              <w:rPr>
                <w:rFonts w:hint="default" w:ascii="Times New Roman" w:hAnsi="Times New Roman" w:eastAsia="Segoe UI" w:cs="Times New Roman"/>
                <w:b/>
                <w:i w:val="0"/>
                <w:iCs w:val="0"/>
                <w:caps w:val="0"/>
                <w:color w:val="0F1115"/>
                <w:spacing w:val="0"/>
                <w:sz w:val="24"/>
                <w:szCs w:val="24"/>
                <w:shd w:val="clear" w:fill="FFFFFF"/>
              </w:rPr>
              <w:t xml:space="preserve"> value</w:t>
            </w:r>
          </w:p>
        </w:tc>
      </w:tr>
      <w:tr w14:paraId="700C311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050" w:type="pct"/>
            <w:tcBorders>
              <w:top w:val="single" w:color="auto" w:sz="4" w:space="0"/>
              <w:left w:val="nil"/>
              <w:bottom w:val="nil"/>
              <w:right w:val="nil"/>
            </w:tcBorders>
            <w:noWrap w:val="0"/>
            <w:tcMar>
              <w:top w:w="-1" w:type="dxa"/>
              <w:left w:w="-1" w:type="dxa"/>
              <w:bottom w:w="-1" w:type="dxa"/>
              <w:right w:w="-1" w:type="dxa"/>
            </w:tcMar>
            <w:vAlign w:val="center"/>
          </w:tcPr>
          <w:p w14:paraId="05B5869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Observation group </w:t>
            </w:r>
          </w:p>
        </w:tc>
        <w:tc>
          <w:tcPr>
            <w:tcW w:w="996" w:type="pct"/>
            <w:tcBorders>
              <w:top w:val="single" w:color="auto" w:sz="4" w:space="0"/>
              <w:left w:val="nil"/>
              <w:bottom w:val="nil"/>
              <w:right w:val="nil"/>
            </w:tcBorders>
            <w:noWrap w:val="0"/>
            <w:tcMar>
              <w:top w:w="-1" w:type="dxa"/>
              <w:left w:w="-1" w:type="dxa"/>
              <w:bottom w:w="-1" w:type="dxa"/>
              <w:right w:w="-1" w:type="dxa"/>
            </w:tcMar>
            <w:vAlign w:val="center"/>
          </w:tcPr>
          <w:p w14:paraId="7E2D0FA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35 </w:t>
            </w:r>
          </w:p>
        </w:tc>
        <w:tc>
          <w:tcPr>
            <w:tcW w:w="1025" w:type="pct"/>
            <w:tcBorders>
              <w:top w:val="single" w:color="auto" w:sz="4" w:space="0"/>
              <w:left w:val="nil"/>
              <w:bottom w:val="nil"/>
              <w:right w:val="nil"/>
            </w:tcBorders>
            <w:noWrap w:val="0"/>
            <w:tcMar>
              <w:top w:w="-1" w:type="dxa"/>
              <w:left w:w="-1" w:type="dxa"/>
              <w:bottom w:w="-1" w:type="dxa"/>
              <w:right w:w="-1" w:type="dxa"/>
            </w:tcMar>
            <w:vAlign w:val="center"/>
          </w:tcPr>
          <w:p w14:paraId="0C71556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36.58±6.47 </w:t>
            </w:r>
          </w:p>
        </w:tc>
        <w:tc>
          <w:tcPr>
            <w:tcW w:w="955" w:type="pct"/>
            <w:tcBorders>
              <w:top w:val="single" w:color="auto" w:sz="4" w:space="0"/>
              <w:left w:val="nil"/>
              <w:bottom w:val="nil"/>
              <w:right w:val="nil"/>
            </w:tcBorders>
            <w:noWrap w:val="0"/>
            <w:tcMar>
              <w:top w:w="-1" w:type="dxa"/>
              <w:left w:w="-1" w:type="dxa"/>
              <w:bottom w:w="-1" w:type="dxa"/>
              <w:right w:w="-1" w:type="dxa"/>
            </w:tcMar>
            <w:vAlign w:val="center"/>
          </w:tcPr>
          <w:p w14:paraId="4CB748E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70.37±6.78 </w:t>
            </w:r>
          </w:p>
        </w:tc>
        <w:tc>
          <w:tcPr>
            <w:tcW w:w="472" w:type="pct"/>
            <w:tcBorders>
              <w:top w:val="single" w:color="auto" w:sz="4" w:space="0"/>
              <w:left w:val="nil"/>
              <w:bottom w:val="nil"/>
              <w:right w:val="nil"/>
            </w:tcBorders>
            <w:noWrap w:val="0"/>
            <w:tcMar>
              <w:top w:w="-1" w:type="dxa"/>
              <w:left w:w="-1" w:type="dxa"/>
              <w:bottom w:w="-1" w:type="dxa"/>
              <w:right w:w="-1" w:type="dxa"/>
            </w:tcMar>
            <w:vAlign w:val="center"/>
          </w:tcPr>
          <w:p w14:paraId="3537DBF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54.77 </w:t>
            </w:r>
          </w:p>
        </w:tc>
        <w:tc>
          <w:tcPr>
            <w:tcW w:w="500" w:type="pct"/>
            <w:tcBorders>
              <w:top w:val="single" w:color="auto" w:sz="4" w:space="0"/>
              <w:left w:val="nil"/>
              <w:bottom w:val="nil"/>
              <w:right w:val="nil"/>
            </w:tcBorders>
            <w:noWrap w:val="0"/>
            <w:tcMar>
              <w:top w:w="-1" w:type="dxa"/>
              <w:left w:w="-1" w:type="dxa"/>
              <w:bottom w:w="-1" w:type="dxa"/>
              <w:right w:w="-1" w:type="dxa"/>
            </w:tcMar>
            <w:vAlign w:val="center"/>
          </w:tcPr>
          <w:p w14:paraId="7828CCC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0.00</w:t>
            </w:r>
          </w:p>
        </w:tc>
      </w:tr>
      <w:tr w14:paraId="6E9F6CD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050" w:type="pct"/>
            <w:tcBorders>
              <w:top w:val="nil"/>
              <w:left w:val="nil"/>
              <w:bottom w:val="nil"/>
              <w:right w:val="nil"/>
            </w:tcBorders>
            <w:noWrap w:val="0"/>
            <w:tcMar>
              <w:top w:w="-1" w:type="dxa"/>
              <w:left w:w="-1" w:type="dxa"/>
              <w:bottom w:w="-1" w:type="dxa"/>
              <w:right w:w="-1" w:type="dxa"/>
            </w:tcMar>
            <w:vAlign w:val="center"/>
          </w:tcPr>
          <w:p w14:paraId="2291A52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Control group </w:t>
            </w:r>
          </w:p>
        </w:tc>
        <w:tc>
          <w:tcPr>
            <w:tcW w:w="996" w:type="pct"/>
            <w:tcBorders>
              <w:top w:val="nil"/>
              <w:left w:val="nil"/>
              <w:bottom w:val="nil"/>
              <w:right w:val="nil"/>
            </w:tcBorders>
            <w:noWrap w:val="0"/>
            <w:tcMar>
              <w:top w:w="-1" w:type="dxa"/>
              <w:left w:w="-1" w:type="dxa"/>
              <w:bottom w:w="-1" w:type="dxa"/>
              <w:right w:w="-1" w:type="dxa"/>
            </w:tcMar>
            <w:vAlign w:val="center"/>
          </w:tcPr>
          <w:p w14:paraId="54B4E7D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35 </w:t>
            </w:r>
          </w:p>
        </w:tc>
        <w:tc>
          <w:tcPr>
            <w:tcW w:w="1025" w:type="pct"/>
            <w:tcBorders>
              <w:top w:val="nil"/>
              <w:left w:val="nil"/>
              <w:bottom w:val="nil"/>
              <w:right w:val="nil"/>
            </w:tcBorders>
            <w:noWrap w:val="0"/>
            <w:tcMar>
              <w:top w:w="-1" w:type="dxa"/>
              <w:left w:w="-1" w:type="dxa"/>
              <w:bottom w:w="-1" w:type="dxa"/>
              <w:right w:w="-1" w:type="dxa"/>
            </w:tcMar>
            <w:vAlign w:val="center"/>
          </w:tcPr>
          <w:p w14:paraId="0344941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35.84±6.72 </w:t>
            </w:r>
          </w:p>
        </w:tc>
        <w:tc>
          <w:tcPr>
            <w:tcW w:w="955" w:type="pct"/>
            <w:tcBorders>
              <w:top w:val="nil"/>
              <w:left w:val="nil"/>
              <w:bottom w:val="nil"/>
              <w:right w:val="nil"/>
            </w:tcBorders>
            <w:noWrap w:val="0"/>
            <w:tcMar>
              <w:top w:w="-1" w:type="dxa"/>
              <w:left w:w="-1" w:type="dxa"/>
              <w:bottom w:w="-1" w:type="dxa"/>
              <w:right w:w="-1" w:type="dxa"/>
            </w:tcMar>
            <w:vAlign w:val="center"/>
          </w:tcPr>
          <w:p w14:paraId="49DF679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54.21±7.22 </w:t>
            </w:r>
          </w:p>
        </w:tc>
        <w:tc>
          <w:tcPr>
            <w:tcW w:w="472" w:type="pct"/>
            <w:tcBorders>
              <w:top w:val="nil"/>
              <w:left w:val="nil"/>
              <w:bottom w:val="nil"/>
              <w:right w:val="nil"/>
            </w:tcBorders>
            <w:noWrap w:val="0"/>
            <w:tcMar>
              <w:top w:w="-1" w:type="dxa"/>
              <w:left w:w="-1" w:type="dxa"/>
              <w:bottom w:w="-1" w:type="dxa"/>
              <w:right w:w="-1" w:type="dxa"/>
            </w:tcMar>
            <w:vAlign w:val="center"/>
          </w:tcPr>
          <w:p w14:paraId="0C1F95B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25.69 </w:t>
            </w:r>
          </w:p>
        </w:tc>
        <w:tc>
          <w:tcPr>
            <w:tcW w:w="500" w:type="pct"/>
            <w:tcBorders>
              <w:top w:val="nil"/>
              <w:left w:val="nil"/>
              <w:bottom w:val="nil"/>
              <w:right w:val="nil"/>
            </w:tcBorders>
            <w:noWrap w:val="0"/>
            <w:tcMar>
              <w:top w:w="-1" w:type="dxa"/>
              <w:left w:w="-1" w:type="dxa"/>
              <w:bottom w:w="-1" w:type="dxa"/>
              <w:right w:w="-1" w:type="dxa"/>
            </w:tcMar>
            <w:vAlign w:val="center"/>
          </w:tcPr>
          <w:p w14:paraId="45D66C8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0.00</w:t>
            </w:r>
          </w:p>
        </w:tc>
      </w:tr>
      <w:tr w14:paraId="23DD2E2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050" w:type="pct"/>
            <w:tcBorders>
              <w:top w:val="nil"/>
              <w:left w:val="nil"/>
              <w:bottom w:val="nil"/>
              <w:right w:val="nil"/>
            </w:tcBorders>
            <w:noWrap w:val="0"/>
            <w:tcMar>
              <w:top w:w="-1" w:type="dxa"/>
              <w:left w:w="-1" w:type="dxa"/>
              <w:bottom w:w="-1" w:type="dxa"/>
              <w:right w:w="-1" w:type="dxa"/>
            </w:tcMar>
            <w:vAlign w:val="center"/>
          </w:tcPr>
          <w:p w14:paraId="17CE1C1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iCs/>
                <w:caps w:val="0"/>
                <w:color w:val="0F1115"/>
                <w:spacing w:val="0"/>
                <w:sz w:val="24"/>
                <w:szCs w:val="24"/>
                <w:shd w:val="clear" w:fill="FFFFFF"/>
              </w:rPr>
              <w:t>t</w:t>
            </w:r>
            <w:r>
              <w:rPr>
                <w:rFonts w:hint="default" w:ascii="Times New Roman" w:hAnsi="Times New Roman" w:eastAsia="Segoe UI" w:cs="Times New Roman"/>
                <w:i w:val="0"/>
                <w:iCs w:val="0"/>
                <w:caps w:val="0"/>
                <w:color w:val="0F1115"/>
                <w:spacing w:val="0"/>
                <w:sz w:val="24"/>
                <w:szCs w:val="24"/>
                <w:shd w:val="clear" w:fill="FFFFFF"/>
              </w:rPr>
              <w:t xml:space="preserve"> value </w:t>
            </w:r>
          </w:p>
        </w:tc>
        <w:tc>
          <w:tcPr>
            <w:tcW w:w="996" w:type="pct"/>
            <w:tcBorders>
              <w:top w:val="nil"/>
              <w:left w:val="nil"/>
              <w:bottom w:val="nil"/>
              <w:right w:val="nil"/>
            </w:tcBorders>
            <w:noWrap w:val="0"/>
            <w:tcMar>
              <w:top w:w="-1" w:type="dxa"/>
              <w:left w:w="-1" w:type="dxa"/>
              <w:bottom w:w="-1" w:type="dxa"/>
              <w:right w:w="-1" w:type="dxa"/>
            </w:tcMar>
            <w:vAlign w:val="center"/>
          </w:tcPr>
          <w:p w14:paraId="135D8A9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 </w:t>
            </w:r>
          </w:p>
        </w:tc>
        <w:tc>
          <w:tcPr>
            <w:tcW w:w="1025" w:type="pct"/>
            <w:tcBorders>
              <w:top w:val="nil"/>
              <w:left w:val="nil"/>
              <w:bottom w:val="nil"/>
              <w:right w:val="nil"/>
            </w:tcBorders>
            <w:noWrap w:val="0"/>
            <w:tcMar>
              <w:top w:w="-1" w:type="dxa"/>
              <w:left w:w="-1" w:type="dxa"/>
              <w:bottom w:w="-1" w:type="dxa"/>
              <w:right w:w="-1" w:type="dxa"/>
            </w:tcMar>
            <w:vAlign w:val="center"/>
          </w:tcPr>
          <w:p w14:paraId="5EA819F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0.47 </w:t>
            </w:r>
          </w:p>
        </w:tc>
        <w:tc>
          <w:tcPr>
            <w:tcW w:w="955" w:type="pct"/>
            <w:tcBorders>
              <w:top w:val="nil"/>
              <w:left w:val="nil"/>
              <w:bottom w:val="nil"/>
              <w:right w:val="nil"/>
            </w:tcBorders>
            <w:noWrap w:val="0"/>
            <w:tcMar>
              <w:top w:w="-1" w:type="dxa"/>
              <w:left w:w="-1" w:type="dxa"/>
              <w:bottom w:w="-1" w:type="dxa"/>
              <w:right w:w="-1" w:type="dxa"/>
            </w:tcMar>
            <w:vAlign w:val="center"/>
          </w:tcPr>
          <w:p w14:paraId="449525A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9.65 </w:t>
            </w:r>
          </w:p>
        </w:tc>
        <w:tc>
          <w:tcPr>
            <w:tcW w:w="472" w:type="pct"/>
            <w:tcBorders>
              <w:top w:val="nil"/>
              <w:left w:val="nil"/>
              <w:bottom w:val="nil"/>
              <w:right w:val="nil"/>
            </w:tcBorders>
            <w:noWrap w:val="0"/>
            <w:tcMar>
              <w:top w:w="-1" w:type="dxa"/>
              <w:left w:w="-1" w:type="dxa"/>
              <w:bottom w:w="-1" w:type="dxa"/>
              <w:right w:w="-1" w:type="dxa"/>
            </w:tcMar>
            <w:vAlign w:val="center"/>
          </w:tcPr>
          <w:p w14:paraId="3C31F15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 </w:t>
            </w:r>
          </w:p>
        </w:tc>
        <w:tc>
          <w:tcPr>
            <w:tcW w:w="500" w:type="pct"/>
            <w:tcBorders>
              <w:top w:val="nil"/>
              <w:left w:val="nil"/>
              <w:bottom w:val="nil"/>
              <w:right w:val="nil"/>
            </w:tcBorders>
            <w:noWrap w:val="0"/>
            <w:tcMar>
              <w:top w:w="-1" w:type="dxa"/>
              <w:left w:w="-1" w:type="dxa"/>
              <w:bottom w:w="-1" w:type="dxa"/>
              <w:right w:w="-1" w:type="dxa"/>
            </w:tcMar>
            <w:vAlign w:val="center"/>
          </w:tcPr>
          <w:p w14:paraId="7168D1C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w:t>
            </w:r>
          </w:p>
        </w:tc>
      </w:tr>
      <w:tr w14:paraId="5DB3D71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050" w:type="pct"/>
            <w:tcBorders>
              <w:top w:val="nil"/>
              <w:left w:val="nil"/>
              <w:bottom w:val="single" w:color="auto" w:sz="12" w:space="0"/>
              <w:right w:val="nil"/>
            </w:tcBorders>
            <w:noWrap w:val="0"/>
            <w:tcMar>
              <w:top w:w="-1" w:type="dxa"/>
              <w:left w:w="-1" w:type="dxa"/>
              <w:bottom w:w="-1" w:type="dxa"/>
              <w:right w:w="-1" w:type="dxa"/>
            </w:tcMar>
            <w:vAlign w:val="center"/>
          </w:tcPr>
          <w:p w14:paraId="265F09F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iCs/>
                <w:caps w:val="0"/>
                <w:color w:val="0F1115"/>
                <w:spacing w:val="0"/>
                <w:sz w:val="24"/>
                <w:szCs w:val="24"/>
                <w:shd w:val="clear" w:fill="FFFFFF"/>
              </w:rPr>
              <w:t>p</w:t>
            </w:r>
            <w:r>
              <w:rPr>
                <w:rFonts w:hint="default" w:ascii="Times New Roman" w:hAnsi="Times New Roman" w:eastAsia="Segoe UI" w:cs="Times New Roman"/>
                <w:i w:val="0"/>
                <w:iCs w:val="0"/>
                <w:caps w:val="0"/>
                <w:color w:val="0F1115"/>
                <w:spacing w:val="0"/>
                <w:sz w:val="24"/>
                <w:szCs w:val="24"/>
                <w:shd w:val="clear" w:fill="FFFFFF"/>
              </w:rPr>
              <w:t xml:space="preserve"> value </w:t>
            </w:r>
          </w:p>
        </w:tc>
        <w:tc>
          <w:tcPr>
            <w:tcW w:w="996" w:type="pct"/>
            <w:tcBorders>
              <w:top w:val="nil"/>
              <w:left w:val="nil"/>
              <w:bottom w:val="single" w:color="auto" w:sz="12" w:space="0"/>
              <w:right w:val="nil"/>
            </w:tcBorders>
            <w:noWrap w:val="0"/>
            <w:tcMar>
              <w:top w:w="-1" w:type="dxa"/>
              <w:left w:w="-1" w:type="dxa"/>
              <w:bottom w:w="-1" w:type="dxa"/>
              <w:right w:w="-1" w:type="dxa"/>
            </w:tcMar>
            <w:vAlign w:val="center"/>
          </w:tcPr>
          <w:p w14:paraId="375FB3B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 </w:t>
            </w:r>
          </w:p>
        </w:tc>
        <w:tc>
          <w:tcPr>
            <w:tcW w:w="1025" w:type="pct"/>
            <w:tcBorders>
              <w:top w:val="nil"/>
              <w:left w:val="nil"/>
              <w:bottom w:val="single" w:color="auto" w:sz="12" w:space="0"/>
              <w:right w:val="nil"/>
            </w:tcBorders>
            <w:noWrap w:val="0"/>
            <w:tcMar>
              <w:top w:w="-1" w:type="dxa"/>
              <w:left w:w="-1" w:type="dxa"/>
              <w:bottom w:w="-1" w:type="dxa"/>
              <w:right w:w="-1" w:type="dxa"/>
            </w:tcMar>
            <w:vAlign w:val="center"/>
          </w:tcPr>
          <w:p w14:paraId="11E5FCA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2.35 </w:t>
            </w:r>
          </w:p>
        </w:tc>
        <w:tc>
          <w:tcPr>
            <w:tcW w:w="955" w:type="pct"/>
            <w:tcBorders>
              <w:top w:val="nil"/>
              <w:left w:val="nil"/>
              <w:bottom w:val="single" w:color="auto" w:sz="12" w:space="0"/>
              <w:right w:val="nil"/>
            </w:tcBorders>
            <w:noWrap w:val="0"/>
            <w:tcMar>
              <w:top w:w="-1" w:type="dxa"/>
              <w:left w:w="-1" w:type="dxa"/>
              <w:bottom w:w="-1" w:type="dxa"/>
              <w:right w:w="-1" w:type="dxa"/>
            </w:tcMar>
            <w:vAlign w:val="center"/>
          </w:tcPr>
          <w:p w14:paraId="1BADB27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0.00 </w:t>
            </w:r>
          </w:p>
        </w:tc>
        <w:tc>
          <w:tcPr>
            <w:tcW w:w="472" w:type="pct"/>
            <w:tcBorders>
              <w:top w:val="nil"/>
              <w:left w:val="nil"/>
              <w:bottom w:val="single" w:color="auto" w:sz="12" w:space="0"/>
              <w:right w:val="nil"/>
            </w:tcBorders>
            <w:noWrap w:val="0"/>
            <w:tcMar>
              <w:top w:w="-1" w:type="dxa"/>
              <w:left w:w="-1" w:type="dxa"/>
              <w:bottom w:w="-1" w:type="dxa"/>
              <w:right w:w="-1" w:type="dxa"/>
            </w:tcMar>
            <w:vAlign w:val="center"/>
          </w:tcPr>
          <w:p w14:paraId="53A199C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 xml:space="preserve">- </w:t>
            </w:r>
          </w:p>
        </w:tc>
        <w:tc>
          <w:tcPr>
            <w:tcW w:w="500" w:type="pct"/>
            <w:tcBorders>
              <w:top w:val="nil"/>
              <w:left w:val="nil"/>
              <w:bottom w:val="single" w:color="auto" w:sz="12" w:space="0"/>
              <w:right w:val="nil"/>
            </w:tcBorders>
            <w:noWrap w:val="0"/>
            <w:tcMar>
              <w:top w:w="-1" w:type="dxa"/>
              <w:left w:w="-1" w:type="dxa"/>
              <w:bottom w:w="-1" w:type="dxa"/>
              <w:right w:w="-1" w:type="dxa"/>
            </w:tcMar>
            <w:vAlign w:val="center"/>
          </w:tcPr>
          <w:p w14:paraId="6F3844D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w:t>
            </w:r>
          </w:p>
        </w:tc>
      </w:tr>
    </w:tbl>
    <w:p w14:paraId="707231BB">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i w:val="0"/>
          <w:iCs w:val="0"/>
          <w:caps w:val="0"/>
          <w:color w:val="0F1115"/>
          <w:spacing w:val="0"/>
          <w:sz w:val="24"/>
          <w:szCs w:val="24"/>
          <w:shd w:val="clear" w:fill="FFFFFF"/>
        </w:rPr>
      </w:pPr>
    </w:p>
    <w:p w14:paraId="271269E1">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b/>
          <w:bCs/>
          <w:i w:val="0"/>
          <w:iCs w:val="0"/>
          <w:caps w:val="0"/>
          <w:color w:val="0F1115"/>
          <w:spacing w:val="0"/>
          <w:sz w:val="24"/>
          <w:szCs w:val="24"/>
          <w:shd w:val="clear" w:fill="FFFFFF"/>
        </w:rPr>
      </w:pPr>
      <w:r>
        <w:rPr>
          <w:rFonts w:hint="eastAsia" w:ascii="Times New Roman" w:hAnsi="Times New Roman" w:eastAsia="宋体" w:cs="Times New Roman"/>
          <w:b/>
          <w:bCs/>
          <w:i w:val="0"/>
          <w:iCs w:val="0"/>
          <w:caps w:val="0"/>
          <w:color w:val="0F1115"/>
          <w:spacing w:val="0"/>
          <w:sz w:val="24"/>
          <w:szCs w:val="24"/>
          <w:shd w:val="clear" w:fill="FFFFFF"/>
          <w:lang w:val="en-US" w:eastAsia="zh-CN"/>
        </w:rPr>
        <w:t>3</w:t>
      </w:r>
      <w:r>
        <w:rPr>
          <w:rFonts w:hint="default" w:ascii="Times New Roman" w:hAnsi="Times New Roman" w:eastAsia="Segoe UI" w:cs="Times New Roman"/>
          <w:b/>
          <w:bCs/>
          <w:i w:val="0"/>
          <w:iCs w:val="0"/>
          <w:caps w:val="0"/>
          <w:color w:val="0F1115"/>
          <w:spacing w:val="0"/>
          <w:sz w:val="24"/>
          <w:szCs w:val="24"/>
          <w:shd w:val="clear" w:fill="FFFFFF"/>
        </w:rPr>
        <w:t>.4</w:t>
      </w:r>
      <w:r>
        <w:rPr>
          <w:rFonts w:hint="default" w:ascii="Times New Roman" w:hAnsi="Times New Roman" w:eastAsia="宋体" w:cs="Times New Roman"/>
          <w:b/>
          <w:bCs/>
          <w:i w:val="0"/>
          <w:iCs w:val="0"/>
          <w:caps w:val="0"/>
          <w:color w:val="0F1115"/>
          <w:spacing w:val="0"/>
          <w:sz w:val="24"/>
          <w:szCs w:val="24"/>
          <w:shd w:val="clear" w:fill="FFFFFF"/>
          <w:lang w:val="en-US" w:eastAsia="zh-CN"/>
        </w:rPr>
        <w:t>.</w:t>
      </w:r>
      <w:r>
        <w:rPr>
          <w:rFonts w:hint="default" w:ascii="Times New Roman" w:hAnsi="Times New Roman" w:eastAsia="Segoe UI" w:cs="Times New Roman"/>
          <w:b/>
          <w:bCs/>
          <w:i w:val="0"/>
          <w:iCs w:val="0"/>
          <w:caps w:val="0"/>
          <w:color w:val="0F1115"/>
          <w:spacing w:val="0"/>
          <w:sz w:val="24"/>
          <w:szCs w:val="24"/>
          <w:shd w:val="clear" w:fill="FFFFFF"/>
        </w:rPr>
        <w:t xml:space="preserve"> Comparison of </w:t>
      </w:r>
      <w:r>
        <w:rPr>
          <w:rFonts w:hint="eastAsia" w:ascii="Times New Roman" w:hAnsi="Times New Roman" w:eastAsia="宋体" w:cs="Times New Roman"/>
          <w:b/>
          <w:bCs/>
          <w:i w:val="0"/>
          <w:iCs w:val="0"/>
          <w:caps w:val="0"/>
          <w:color w:val="0F1115"/>
          <w:spacing w:val="0"/>
          <w:sz w:val="24"/>
          <w:szCs w:val="24"/>
          <w:shd w:val="clear" w:fill="FFFFFF"/>
          <w:lang w:val="en-US" w:eastAsia="zh-CN"/>
        </w:rPr>
        <w:t>t</w:t>
      </w:r>
      <w:r>
        <w:rPr>
          <w:rFonts w:hint="default" w:ascii="Times New Roman" w:hAnsi="Times New Roman" w:eastAsia="Segoe UI" w:cs="Times New Roman"/>
          <w:b/>
          <w:bCs/>
          <w:i w:val="0"/>
          <w:iCs w:val="0"/>
          <w:caps w:val="0"/>
          <w:color w:val="0F1115"/>
          <w:spacing w:val="0"/>
          <w:sz w:val="24"/>
          <w:szCs w:val="24"/>
          <w:shd w:val="clear" w:fill="FFFFFF"/>
        </w:rPr>
        <w:t xml:space="preserve">reatment </w:t>
      </w:r>
      <w:r>
        <w:rPr>
          <w:rFonts w:hint="eastAsia" w:ascii="Times New Roman" w:hAnsi="Times New Roman" w:eastAsia="宋体" w:cs="Times New Roman"/>
          <w:b/>
          <w:bCs/>
          <w:i w:val="0"/>
          <w:iCs w:val="0"/>
          <w:caps w:val="0"/>
          <w:color w:val="0F1115"/>
          <w:spacing w:val="0"/>
          <w:sz w:val="24"/>
          <w:szCs w:val="24"/>
          <w:shd w:val="clear" w:fill="FFFFFF"/>
          <w:lang w:val="en-US" w:eastAsia="zh-CN"/>
        </w:rPr>
        <w:t>e</w:t>
      </w:r>
      <w:r>
        <w:rPr>
          <w:rFonts w:hint="default" w:ascii="Times New Roman" w:hAnsi="Times New Roman" w:eastAsia="Segoe UI" w:cs="Times New Roman"/>
          <w:b/>
          <w:bCs/>
          <w:i w:val="0"/>
          <w:iCs w:val="0"/>
          <w:caps w:val="0"/>
          <w:color w:val="0F1115"/>
          <w:spacing w:val="0"/>
          <w:sz w:val="24"/>
          <w:szCs w:val="24"/>
          <w:shd w:val="clear" w:fill="FFFFFF"/>
        </w:rPr>
        <w:t xml:space="preserve">fficacy </w:t>
      </w:r>
      <w:r>
        <w:rPr>
          <w:rFonts w:hint="eastAsia" w:ascii="Times New Roman" w:hAnsi="Times New Roman" w:eastAsia="宋体" w:cs="Times New Roman"/>
          <w:b/>
          <w:bCs/>
          <w:i w:val="0"/>
          <w:iCs w:val="0"/>
          <w:caps w:val="0"/>
          <w:color w:val="0F1115"/>
          <w:spacing w:val="0"/>
          <w:sz w:val="24"/>
          <w:szCs w:val="24"/>
          <w:shd w:val="clear" w:fill="FFFFFF"/>
          <w:lang w:val="en-US" w:eastAsia="zh-CN"/>
        </w:rPr>
        <w:t>r</w:t>
      </w:r>
      <w:r>
        <w:rPr>
          <w:rFonts w:hint="default" w:ascii="Times New Roman" w:hAnsi="Times New Roman" w:eastAsia="Segoe UI" w:cs="Times New Roman"/>
          <w:b/>
          <w:bCs/>
          <w:i w:val="0"/>
          <w:iCs w:val="0"/>
          <w:caps w:val="0"/>
          <w:color w:val="0F1115"/>
          <w:spacing w:val="0"/>
          <w:sz w:val="24"/>
          <w:szCs w:val="24"/>
          <w:shd w:val="clear" w:fill="FFFFFF"/>
        </w:rPr>
        <w:t xml:space="preserve">ates </w:t>
      </w:r>
    </w:p>
    <w:p w14:paraId="5A18908C">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When comparing the clinical efficacy rates after treatment between the two groups, the observation group had an overall efficacy rate of 94.29%, which was significantly higher than the 77.14% in the control group, with a statistically significant difference (</w:t>
      </w:r>
      <w:r>
        <w:rPr>
          <w:rFonts w:hint="default" w:ascii="Times New Roman" w:hAnsi="Times New Roman" w:eastAsia="Segoe UI" w:cs="Times New Roman"/>
          <w:i/>
          <w:iCs/>
          <w:caps w:val="0"/>
          <w:color w:val="0F1115"/>
          <w:spacing w:val="0"/>
          <w:sz w:val="24"/>
          <w:szCs w:val="24"/>
          <w:shd w:val="clear" w:fill="FFFFFF"/>
        </w:rPr>
        <w:t>P</w:t>
      </w:r>
      <w:r>
        <w:rPr>
          <w:rFonts w:hint="default" w:ascii="Times New Roman" w:hAnsi="Times New Roman" w:eastAsia="Segoe UI" w:cs="Times New Roman"/>
          <w:i w:val="0"/>
          <w:iCs w:val="0"/>
          <w:caps w:val="0"/>
          <w:color w:val="0F1115"/>
          <w:spacing w:val="0"/>
          <w:sz w:val="24"/>
          <w:szCs w:val="24"/>
          <w:shd w:val="clear" w:fill="FFFFFF"/>
        </w:rPr>
        <w:t xml:space="preserve"> &lt; 0.05) (see </w:t>
      </w:r>
      <w:r>
        <w:rPr>
          <w:rFonts w:hint="default" w:ascii="Times New Roman" w:hAnsi="Times New Roman" w:eastAsia="Segoe UI" w:cs="Times New Roman"/>
          <w:b/>
          <w:bCs/>
          <w:i w:val="0"/>
          <w:iCs w:val="0"/>
          <w:caps w:val="0"/>
          <w:color w:val="0F1115"/>
          <w:spacing w:val="0"/>
          <w:sz w:val="24"/>
          <w:szCs w:val="24"/>
          <w:shd w:val="clear" w:fill="FFFFFF"/>
        </w:rPr>
        <w:t>Table 4</w:t>
      </w:r>
      <w:r>
        <w:rPr>
          <w:rFonts w:hint="default" w:ascii="Times New Roman" w:hAnsi="Times New Roman" w:eastAsia="Segoe UI" w:cs="Times New Roman"/>
          <w:i w:val="0"/>
          <w:iCs w:val="0"/>
          <w:caps w:val="0"/>
          <w:color w:val="0F1115"/>
          <w:spacing w:val="0"/>
          <w:sz w:val="24"/>
          <w:szCs w:val="24"/>
          <w:shd w:val="clear" w:fill="FFFFFF"/>
        </w:rPr>
        <w:t xml:space="preserve">). </w:t>
      </w:r>
    </w:p>
    <w:p w14:paraId="047F57DA">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i w:val="0"/>
          <w:iCs w:val="0"/>
          <w:caps w:val="0"/>
          <w:color w:val="0F1115"/>
          <w:spacing w:val="0"/>
          <w:sz w:val="24"/>
          <w:szCs w:val="24"/>
          <w:shd w:val="clear" w:fill="FFFFFF"/>
        </w:rPr>
      </w:pPr>
    </w:p>
    <w:p w14:paraId="0457BE39">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b/>
          <w:bCs/>
          <w:i w:val="0"/>
          <w:iCs w:val="0"/>
          <w:caps w:val="0"/>
          <w:color w:val="0F1115"/>
          <w:spacing w:val="0"/>
          <w:sz w:val="24"/>
          <w:szCs w:val="24"/>
          <w:shd w:val="clear" w:fill="FFFFFF"/>
        </w:rPr>
        <w:t>Table 4</w:t>
      </w:r>
      <w:r>
        <w:rPr>
          <w:rFonts w:hint="default" w:ascii="Times New Roman" w:hAnsi="Times New Roman" w:eastAsia="宋体" w:cs="Times New Roman"/>
          <w:b/>
          <w:bCs/>
          <w:i w:val="0"/>
          <w:iCs w:val="0"/>
          <w:caps w:val="0"/>
          <w:color w:val="0F1115"/>
          <w:spacing w:val="0"/>
          <w:sz w:val="24"/>
          <w:szCs w:val="24"/>
          <w:shd w:val="clear" w:fill="FFFFFF"/>
          <w:lang w:val="en-US" w:eastAsia="zh-CN"/>
        </w:rPr>
        <w:t>.</w:t>
      </w:r>
      <w:r>
        <w:rPr>
          <w:rFonts w:hint="default" w:ascii="Times New Roman" w:hAnsi="Times New Roman" w:eastAsia="Segoe UI" w:cs="Times New Roman"/>
          <w:b/>
          <w:bCs/>
          <w:i w:val="0"/>
          <w:iCs w:val="0"/>
          <w:caps w:val="0"/>
          <w:color w:val="0F1115"/>
          <w:spacing w:val="0"/>
          <w:sz w:val="24"/>
          <w:szCs w:val="24"/>
          <w:shd w:val="clear" w:fill="FFFFFF"/>
        </w:rPr>
        <w:t xml:space="preserve"> </w:t>
      </w:r>
      <w:r>
        <w:rPr>
          <w:rFonts w:hint="default" w:ascii="Times New Roman" w:hAnsi="Times New Roman" w:eastAsia="Segoe UI" w:cs="Times New Roman"/>
          <w:i w:val="0"/>
          <w:iCs w:val="0"/>
          <w:caps w:val="0"/>
          <w:color w:val="0F1115"/>
          <w:spacing w:val="0"/>
          <w:sz w:val="24"/>
          <w:szCs w:val="24"/>
          <w:shd w:val="clear" w:fill="FFFFFF"/>
        </w:rPr>
        <w:t xml:space="preserve">Comparison of </w:t>
      </w:r>
      <w:r>
        <w:rPr>
          <w:rFonts w:hint="eastAsia" w:ascii="Times New Roman" w:hAnsi="Times New Roman" w:eastAsia="宋体" w:cs="Times New Roman"/>
          <w:i w:val="0"/>
          <w:iCs w:val="0"/>
          <w:caps w:val="0"/>
          <w:color w:val="0F1115"/>
          <w:spacing w:val="0"/>
          <w:sz w:val="24"/>
          <w:szCs w:val="24"/>
          <w:shd w:val="clear" w:fill="FFFFFF"/>
          <w:lang w:val="en-US" w:eastAsia="zh-CN"/>
        </w:rPr>
        <w:t>c</w:t>
      </w:r>
      <w:r>
        <w:rPr>
          <w:rFonts w:hint="default" w:ascii="Times New Roman" w:hAnsi="Times New Roman" w:eastAsia="Segoe UI" w:cs="Times New Roman"/>
          <w:i w:val="0"/>
          <w:iCs w:val="0"/>
          <w:caps w:val="0"/>
          <w:color w:val="0F1115"/>
          <w:spacing w:val="0"/>
          <w:sz w:val="24"/>
          <w:szCs w:val="24"/>
          <w:shd w:val="clear" w:fill="FFFFFF"/>
        </w:rPr>
        <w:t xml:space="preserve">linical </w:t>
      </w:r>
      <w:r>
        <w:rPr>
          <w:rFonts w:hint="eastAsia" w:ascii="Times New Roman" w:hAnsi="Times New Roman" w:eastAsia="宋体" w:cs="Times New Roman"/>
          <w:i w:val="0"/>
          <w:iCs w:val="0"/>
          <w:caps w:val="0"/>
          <w:color w:val="0F1115"/>
          <w:spacing w:val="0"/>
          <w:sz w:val="24"/>
          <w:szCs w:val="24"/>
          <w:shd w:val="clear" w:fill="FFFFFF"/>
          <w:lang w:val="en-US" w:eastAsia="zh-CN"/>
        </w:rPr>
        <w:t>e</w:t>
      </w:r>
      <w:r>
        <w:rPr>
          <w:rFonts w:hint="default" w:ascii="Times New Roman" w:hAnsi="Times New Roman" w:eastAsia="Segoe UI" w:cs="Times New Roman"/>
          <w:i w:val="0"/>
          <w:iCs w:val="0"/>
          <w:caps w:val="0"/>
          <w:color w:val="0F1115"/>
          <w:spacing w:val="0"/>
          <w:sz w:val="24"/>
          <w:szCs w:val="24"/>
          <w:shd w:val="clear" w:fill="FFFFFF"/>
        </w:rPr>
        <w:t xml:space="preserve">fficacy </w:t>
      </w:r>
      <w:r>
        <w:rPr>
          <w:rFonts w:hint="eastAsia" w:ascii="Times New Roman" w:hAnsi="Times New Roman" w:eastAsia="宋体" w:cs="Times New Roman"/>
          <w:i w:val="0"/>
          <w:iCs w:val="0"/>
          <w:caps w:val="0"/>
          <w:color w:val="0F1115"/>
          <w:spacing w:val="0"/>
          <w:sz w:val="24"/>
          <w:szCs w:val="24"/>
          <w:shd w:val="clear" w:fill="FFFFFF"/>
          <w:lang w:val="en-US" w:eastAsia="zh-CN"/>
        </w:rPr>
        <w:t>b</w:t>
      </w:r>
      <w:r>
        <w:rPr>
          <w:rFonts w:hint="default" w:ascii="Times New Roman" w:hAnsi="Times New Roman" w:eastAsia="Segoe UI" w:cs="Times New Roman"/>
          <w:i w:val="0"/>
          <w:iCs w:val="0"/>
          <w:caps w:val="0"/>
          <w:color w:val="0F1115"/>
          <w:spacing w:val="0"/>
          <w:sz w:val="24"/>
          <w:szCs w:val="24"/>
          <w:shd w:val="clear" w:fill="FFFFFF"/>
        </w:rPr>
        <w:t xml:space="preserve">etween the </w:t>
      </w:r>
      <w:r>
        <w:rPr>
          <w:rFonts w:hint="eastAsia" w:ascii="Times New Roman" w:hAnsi="Times New Roman" w:eastAsia="宋体" w:cs="Times New Roman"/>
          <w:i w:val="0"/>
          <w:iCs w:val="0"/>
          <w:caps w:val="0"/>
          <w:color w:val="0F1115"/>
          <w:spacing w:val="0"/>
          <w:sz w:val="24"/>
          <w:szCs w:val="24"/>
          <w:shd w:val="clear" w:fill="FFFFFF"/>
          <w:lang w:val="en-US" w:eastAsia="zh-CN"/>
        </w:rPr>
        <w:t>t</w:t>
      </w:r>
      <w:r>
        <w:rPr>
          <w:rFonts w:hint="default" w:ascii="Times New Roman" w:hAnsi="Times New Roman" w:eastAsia="Segoe UI" w:cs="Times New Roman"/>
          <w:i w:val="0"/>
          <w:iCs w:val="0"/>
          <w:caps w:val="0"/>
          <w:color w:val="0F1115"/>
          <w:spacing w:val="0"/>
          <w:sz w:val="24"/>
          <w:szCs w:val="24"/>
          <w:shd w:val="clear" w:fill="FFFFFF"/>
        </w:rPr>
        <w:t xml:space="preserve">wo </w:t>
      </w:r>
      <w:r>
        <w:rPr>
          <w:rFonts w:hint="eastAsia" w:ascii="Times New Roman" w:hAnsi="Times New Roman" w:eastAsia="宋体" w:cs="Times New Roman"/>
          <w:i w:val="0"/>
          <w:iCs w:val="0"/>
          <w:caps w:val="0"/>
          <w:color w:val="0F1115"/>
          <w:spacing w:val="0"/>
          <w:sz w:val="24"/>
          <w:szCs w:val="24"/>
          <w:shd w:val="clear" w:fill="FFFFFF"/>
          <w:lang w:val="en-US" w:eastAsia="zh-CN"/>
        </w:rPr>
        <w:t>g</w:t>
      </w:r>
      <w:r>
        <w:rPr>
          <w:rFonts w:hint="default" w:ascii="Times New Roman" w:hAnsi="Times New Roman" w:eastAsia="Segoe UI" w:cs="Times New Roman"/>
          <w:i w:val="0"/>
          <w:iCs w:val="0"/>
          <w:caps w:val="0"/>
          <w:color w:val="0F1115"/>
          <w:spacing w:val="0"/>
          <w:sz w:val="24"/>
          <w:szCs w:val="24"/>
          <w:shd w:val="clear" w:fill="FFFFFF"/>
        </w:rPr>
        <w:t>roups n(%)</w:t>
      </w:r>
    </w:p>
    <w:tbl>
      <w:tblPr>
        <w:tblStyle w:val="5"/>
        <w:tblW w:w="9850"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613"/>
        <w:gridCol w:w="1130"/>
        <w:gridCol w:w="1338"/>
        <w:gridCol w:w="1546"/>
        <w:gridCol w:w="1338"/>
        <w:gridCol w:w="1343"/>
        <w:gridCol w:w="1542"/>
      </w:tblGrid>
      <w:tr w14:paraId="6297ACF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3047C903">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default" w:ascii="Times New Roman" w:hAnsi="Times New Roman" w:cs="Times New Roman"/>
                <w:b/>
                <w:bCs/>
                <w:sz w:val="24"/>
                <w:szCs w:val="24"/>
              </w:rPr>
            </w:pPr>
            <w:r>
              <w:rPr>
                <w:rFonts w:hint="default" w:ascii="Times New Roman" w:hAnsi="Times New Roman" w:eastAsia="Segoe UI" w:cs="Times New Roman"/>
                <w:b/>
                <w:bCs/>
                <w:i w:val="0"/>
                <w:iCs w:val="0"/>
                <w:caps w:val="0"/>
                <w:color w:val="0F1115"/>
                <w:spacing w:val="0"/>
                <w:sz w:val="24"/>
                <w:szCs w:val="24"/>
                <w:shd w:val="clear" w:fill="FFFFFF"/>
              </w:rPr>
              <w:t>Group</w:t>
            </w:r>
          </w:p>
        </w:tc>
        <w:tc>
          <w:tcPr>
            <w:tcW w:w="1130" w:type="dxa"/>
            <w:tcBorders>
              <w:top w:val="single" w:color="auto" w:sz="12" w:space="0"/>
              <w:left w:val="nil"/>
              <w:bottom w:val="nil"/>
              <w:right w:val="nil"/>
            </w:tcBorders>
            <w:noWrap w:val="0"/>
            <w:tcMar>
              <w:top w:w="-1" w:type="dxa"/>
              <w:left w:w="-1" w:type="dxa"/>
              <w:bottom w:w="-1" w:type="dxa"/>
              <w:right w:w="-1" w:type="dxa"/>
            </w:tcMar>
            <w:vAlign w:val="center"/>
          </w:tcPr>
          <w:p w14:paraId="108E1D5D">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default" w:ascii="Times New Roman" w:hAnsi="Times New Roman" w:cs="Times New Roman"/>
                <w:b/>
                <w:bCs/>
                <w:sz w:val="24"/>
                <w:szCs w:val="24"/>
              </w:rPr>
            </w:pPr>
            <w:r>
              <w:rPr>
                <w:rFonts w:hint="default" w:ascii="Times New Roman" w:hAnsi="Times New Roman" w:eastAsia="Segoe UI" w:cs="Times New Roman"/>
                <w:b/>
                <w:bCs/>
                <w:i w:val="0"/>
                <w:iCs w:val="0"/>
                <w:caps w:val="0"/>
                <w:color w:val="0F1115"/>
                <w:spacing w:val="0"/>
                <w:sz w:val="24"/>
                <w:szCs w:val="24"/>
                <w:shd w:val="clear" w:fill="FFFFFF"/>
              </w:rPr>
              <w:t>Number of cases</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711183A1">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default" w:ascii="Times New Roman" w:hAnsi="Times New Roman" w:cs="Times New Roman"/>
                <w:b/>
                <w:bCs/>
                <w:sz w:val="24"/>
                <w:szCs w:val="24"/>
              </w:rPr>
            </w:pPr>
            <w:r>
              <w:rPr>
                <w:rFonts w:hint="default" w:ascii="Times New Roman" w:hAnsi="Times New Roman" w:eastAsia="Segoe UI" w:cs="Times New Roman"/>
                <w:b/>
                <w:bCs/>
                <w:i w:val="0"/>
                <w:iCs w:val="0"/>
                <w:caps w:val="0"/>
                <w:color w:val="0F1115"/>
                <w:spacing w:val="0"/>
                <w:sz w:val="24"/>
                <w:szCs w:val="24"/>
                <w:shd w:val="clear" w:fill="FFFFFF"/>
              </w:rPr>
              <w:t>Cured</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4B9C803A">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default" w:ascii="Times New Roman" w:hAnsi="Times New Roman" w:cs="Times New Roman"/>
                <w:b/>
                <w:bCs/>
                <w:sz w:val="24"/>
                <w:szCs w:val="24"/>
              </w:rPr>
            </w:pPr>
            <w:r>
              <w:rPr>
                <w:rFonts w:hint="default" w:ascii="Times New Roman" w:hAnsi="Times New Roman" w:eastAsia="Segoe UI" w:cs="Times New Roman"/>
                <w:b/>
                <w:bCs/>
                <w:i w:val="0"/>
                <w:iCs w:val="0"/>
                <w:caps w:val="0"/>
                <w:color w:val="0F1115"/>
                <w:spacing w:val="0"/>
                <w:sz w:val="24"/>
                <w:szCs w:val="24"/>
                <w:shd w:val="clear" w:fill="FFFFFF"/>
              </w:rPr>
              <w:t>Markedly effective</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5597470A">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default" w:ascii="Times New Roman" w:hAnsi="Times New Roman" w:cs="Times New Roman"/>
                <w:b/>
                <w:bCs/>
                <w:sz w:val="24"/>
                <w:szCs w:val="24"/>
              </w:rPr>
            </w:pPr>
            <w:r>
              <w:rPr>
                <w:rFonts w:hint="default" w:ascii="Times New Roman" w:hAnsi="Times New Roman" w:eastAsia="Segoe UI" w:cs="Times New Roman"/>
                <w:b/>
                <w:bCs/>
                <w:i w:val="0"/>
                <w:iCs w:val="0"/>
                <w:caps w:val="0"/>
                <w:color w:val="0F1115"/>
                <w:spacing w:val="0"/>
                <w:sz w:val="24"/>
                <w:szCs w:val="24"/>
                <w:shd w:val="clear" w:fill="FFFFFF"/>
              </w:rPr>
              <w:t>Effective</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555B1C4E">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default" w:ascii="Times New Roman" w:hAnsi="Times New Roman" w:cs="Times New Roman"/>
                <w:b/>
                <w:bCs/>
                <w:sz w:val="24"/>
                <w:szCs w:val="24"/>
              </w:rPr>
            </w:pPr>
            <w:r>
              <w:rPr>
                <w:rFonts w:hint="default" w:ascii="Times New Roman" w:hAnsi="Times New Roman" w:eastAsia="Segoe UI" w:cs="Times New Roman"/>
                <w:b/>
                <w:bCs/>
                <w:i w:val="0"/>
                <w:iCs w:val="0"/>
                <w:caps w:val="0"/>
                <w:color w:val="0F1115"/>
                <w:spacing w:val="0"/>
                <w:sz w:val="24"/>
                <w:szCs w:val="24"/>
                <w:shd w:val="clear" w:fill="FFFFFF"/>
              </w:rPr>
              <w:t>Ineffective</w:t>
            </w:r>
          </w:p>
        </w:tc>
        <w:tc>
          <w:tcPr>
            <w:tcW w:w="1542" w:type="dxa"/>
            <w:tcBorders>
              <w:top w:val="single" w:color="auto" w:sz="12" w:space="0"/>
              <w:left w:val="nil"/>
              <w:bottom w:val="nil"/>
              <w:right w:val="nil"/>
            </w:tcBorders>
            <w:noWrap w:val="0"/>
            <w:tcMar>
              <w:top w:w="-1" w:type="dxa"/>
              <w:left w:w="-1" w:type="dxa"/>
              <w:bottom w:w="-1" w:type="dxa"/>
              <w:right w:w="-1" w:type="dxa"/>
            </w:tcMar>
            <w:vAlign w:val="center"/>
          </w:tcPr>
          <w:p w14:paraId="3132F998">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default" w:ascii="Times New Roman" w:hAnsi="Times New Roman" w:cs="Times New Roman"/>
                <w:b/>
                <w:bCs/>
                <w:sz w:val="24"/>
                <w:szCs w:val="24"/>
              </w:rPr>
            </w:pPr>
            <w:r>
              <w:rPr>
                <w:rFonts w:hint="default" w:ascii="Times New Roman" w:hAnsi="Times New Roman" w:eastAsia="Segoe UI" w:cs="Times New Roman"/>
                <w:b/>
                <w:bCs/>
                <w:i w:val="0"/>
                <w:iCs w:val="0"/>
                <w:caps w:val="0"/>
                <w:color w:val="0F1115"/>
                <w:spacing w:val="0"/>
                <w:sz w:val="24"/>
                <w:szCs w:val="24"/>
                <w:shd w:val="clear" w:fill="FFFFFF"/>
              </w:rPr>
              <w:t>Total effective rate</w:t>
            </w:r>
          </w:p>
        </w:tc>
      </w:tr>
      <w:tr w14:paraId="4D1E9A9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6F5F98D3">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Observation group</w:t>
            </w:r>
          </w:p>
        </w:tc>
        <w:tc>
          <w:tcPr>
            <w:tcW w:w="1130" w:type="dxa"/>
            <w:tcBorders>
              <w:top w:val="single" w:color="auto" w:sz="4" w:space="0"/>
              <w:left w:val="nil"/>
              <w:bottom w:val="nil"/>
              <w:right w:val="nil"/>
            </w:tcBorders>
            <w:noWrap w:val="0"/>
            <w:tcMar>
              <w:top w:w="-1" w:type="dxa"/>
              <w:left w:w="-1" w:type="dxa"/>
              <w:bottom w:w="-1" w:type="dxa"/>
              <w:right w:w="-1" w:type="dxa"/>
            </w:tcMar>
            <w:vAlign w:val="center"/>
          </w:tcPr>
          <w:p w14:paraId="20642DB4">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35</w:t>
            </w:r>
          </w:p>
        </w:tc>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6782B1E0">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eastAsia" w:ascii="Times New Roman" w:hAnsi="Times New Roman" w:eastAsia="宋体" w:cs="Times New Roman"/>
                <w:sz w:val="24"/>
                <w:szCs w:val="24"/>
                <w:lang w:val="en-US" w:eastAsia="zh-CN"/>
              </w:rPr>
            </w:pPr>
            <w:r>
              <w:rPr>
                <w:rFonts w:hint="default" w:ascii="Times New Roman" w:hAnsi="Times New Roman" w:eastAsia="Segoe UI" w:cs="Times New Roman"/>
                <w:i w:val="0"/>
                <w:iCs w:val="0"/>
                <w:caps w:val="0"/>
                <w:color w:val="0F1115"/>
                <w:spacing w:val="0"/>
                <w:sz w:val="24"/>
                <w:szCs w:val="24"/>
                <w:shd w:val="clear" w:fill="FFFFFF"/>
              </w:rPr>
              <w:t>13</w:t>
            </w:r>
            <w:r>
              <w:rPr>
                <w:rFonts w:hint="eastAsia"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37.14</w:t>
            </w:r>
            <w:r>
              <w:rPr>
                <w:rFonts w:hint="eastAsia" w:ascii="Times New Roman" w:hAnsi="Times New Roman" w:eastAsia="宋体" w:cs="Times New Roman"/>
                <w:i w:val="0"/>
                <w:iCs w:val="0"/>
                <w:caps w:val="0"/>
                <w:color w:val="0F1115"/>
                <w:spacing w:val="0"/>
                <w:sz w:val="24"/>
                <w:szCs w:val="24"/>
                <w:shd w:val="clear" w:fill="FFFFFF"/>
                <w:lang w:val="en-US" w:eastAsia="zh-CN"/>
              </w:rPr>
              <w:t>)</w:t>
            </w:r>
          </w:p>
        </w:tc>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0C0DE3A6">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eastAsia" w:ascii="Times New Roman" w:hAnsi="Times New Roman" w:eastAsia="宋体" w:cs="Times New Roman"/>
                <w:sz w:val="24"/>
                <w:szCs w:val="24"/>
                <w:lang w:val="en-US" w:eastAsia="zh-CN"/>
              </w:rPr>
            </w:pPr>
            <w:r>
              <w:rPr>
                <w:rFonts w:hint="default" w:ascii="Times New Roman" w:hAnsi="Times New Roman" w:eastAsia="Segoe UI" w:cs="Times New Roman"/>
                <w:i w:val="0"/>
                <w:iCs w:val="0"/>
                <w:caps w:val="0"/>
                <w:color w:val="0F1115"/>
                <w:spacing w:val="0"/>
                <w:sz w:val="24"/>
                <w:szCs w:val="24"/>
                <w:shd w:val="clear" w:fill="FFFFFF"/>
              </w:rPr>
              <w:t>11</w:t>
            </w:r>
            <w:r>
              <w:rPr>
                <w:rFonts w:hint="eastAsia"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53.33</w:t>
            </w:r>
            <w:r>
              <w:rPr>
                <w:rFonts w:hint="eastAsia" w:ascii="Times New Roman" w:hAnsi="Times New Roman" w:eastAsia="宋体" w:cs="Times New Roman"/>
                <w:i w:val="0"/>
                <w:iCs w:val="0"/>
                <w:caps w:val="0"/>
                <w:color w:val="0F1115"/>
                <w:spacing w:val="0"/>
                <w:sz w:val="24"/>
                <w:szCs w:val="24"/>
                <w:shd w:val="clear" w:fill="FFFFFF"/>
                <w:lang w:val="en-US" w:eastAsia="zh-CN"/>
              </w:rPr>
              <w:t>)</w:t>
            </w:r>
          </w:p>
        </w:tc>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334F17F3">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eastAsia" w:ascii="Times New Roman" w:hAnsi="Times New Roman" w:eastAsia="宋体" w:cs="Times New Roman"/>
                <w:sz w:val="24"/>
                <w:szCs w:val="24"/>
                <w:lang w:eastAsia="zh-CN"/>
              </w:rPr>
            </w:pPr>
            <w:r>
              <w:rPr>
                <w:rFonts w:hint="default" w:ascii="Times New Roman" w:hAnsi="Times New Roman" w:eastAsia="Segoe UI" w:cs="Times New Roman"/>
                <w:i w:val="0"/>
                <w:iCs w:val="0"/>
                <w:caps w:val="0"/>
                <w:color w:val="0F1115"/>
                <w:spacing w:val="0"/>
                <w:sz w:val="24"/>
                <w:szCs w:val="24"/>
                <w:shd w:val="clear" w:fill="FFFFFF"/>
              </w:rPr>
              <w:t>9</w:t>
            </w:r>
            <w:r>
              <w:rPr>
                <w:rFonts w:hint="eastAsia"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13.33</w:t>
            </w:r>
            <w:r>
              <w:rPr>
                <w:rFonts w:hint="eastAsia" w:ascii="Times New Roman" w:hAnsi="Times New Roman" w:eastAsia="宋体" w:cs="Times New Roman"/>
                <w:i w:val="0"/>
                <w:iCs w:val="0"/>
                <w:caps w:val="0"/>
                <w:color w:val="0F1115"/>
                <w:spacing w:val="0"/>
                <w:sz w:val="24"/>
                <w:szCs w:val="24"/>
                <w:shd w:val="clear" w:fill="FFFFFF"/>
                <w:lang w:val="en-US" w:eastAsia="zh-CN"/>
              </w:rPr>
              <w:t>)</w:t>
            </w:r>
          </w:p>
        </w:tc>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69BCCC10">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eastAsia" w:ascii="Times New Roman" w:hAnsi="Times New Roman" w:eastAsia="宋体" w:cs="Times New Roman"/>
                <w:sz w:val="24"/>
                <w:szCs w:val="24"/>
                <w:lang w:eastAsia="zh-CN"/>
              </w:rPr>
            </w:pPr>
            <w:r>
              <w:rPr>
                <w:rFonts w:hint="default" w:ascii="Times New Roman" w:hAnsi="Times New Roman" w:eastAsia="Segoe UI" w:cs="Times New Roman"/>
                <w:i w:val="0"/>
                <w:iCs w:val="0"/>
                <w:caps w:val="0"/>
                <w:color w:val="0F1115"/>
                <w:spacing w:val="0"/>
                <w:sz w:val="24"/>
                <w:szCs w:val="24"/>
                <w:shd w:val="clear" w:fill="FFFFFF"/>
              </w:rPr>
              <w:t>2</w:t>
            </w:r>
            <w:r>
              <w:rPr>
                <w:rFonts w:hint="eastAsia"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10.00</w:t>
            </w:r>
            <w:r>
              <w:rPr>
                <w:rFonts w:hint="eastAsia" w:ascii="Times New Roman" w:hAnsi="Times New Roman" w:eastAsia="宋体" w:cs="Times New Roman"/>
                <w:i w:val="0"/>
                <w:iCs w:val="0"/>
                <w:caps w:val="0"/>
                <w:color w:val="0F1115"/>
                <w:spacing w:val="0"/>
                <w:sz w:val="24"/>
                <w:szCs w:val="24"/>
                <w:shd w:val="clear" w:fill="FFFFFF"/>
                <w:lang w:val="en-US" w:eastAsia="zh-CN"/>
              </w:rPr>
              <w:t>)</w:t>
            </w:r>
          </w:p>
        </w:tc>
        <w:tc>
          <w:tcPr>
            <w:tcW w:w="1542" w:type="dxa"/>
            <w:tcBorders>
              <w:top w:val="single" w:color="auto" w:sz="4" w:space="0"/>
              <w:left w:val="nil"/>
              <w:bottom w:val="nil"/>
              <w:right w:val="nil"/>
            </w:tcBorders>
            <w:noWrap w:val="0"/>
            <w:tcMar>
              <w:top w:w="-1" w:type="dxa"/>
              <w:left w:w="-1" w:type="dxa"/>
              <w:bottom w:w="-1" w:type="dxa"/>
              <w:right w:w="-1" w:type="dxa"/>
            </w:tcMar>
            <w:vAlign w:val="center"/>
          </w:tcPr>
          <w:p w14:paraId="13220419">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33</w:t>
            </w:r>
            <w:r>
              <w:rPr>
                <w:rFonts w:hint="eastAsia"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94.29</w:t>
            </w:r>
            <w:r>
              <w:rPr>
                <w:rFonts w:hint="eastAsia"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vertAlign w:val="superscript"/>
              </w:rPr>
              <w:t>#</w:t>
            </w:r>
          </w:p>
        </w:tc>
      </w:tr>
      <w:tr w14:paraId="401C1E5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613" w:type="dxa"/>
            <w:tcBorders>
              <w:top w:val="nil"/>
              <w:left w:val="nil"/>
              <w:bottom w:val="single" w:color="auto" w:sz="12" w:space="0"/>
              <w:right w:val="nil"/>
            </w:tcBorders>
            <w:noWrap w:val="0"/>
            <w:tcMar>
              <w:top w:w="-1" w:type="dxa"/>
              <w:left w:w="-1" w:type="dxa"/>
              <w:bottom w:w="-1" w:type="dxa"/>
              <w:right w:w="-1" w:type="dxa"/>
            </w:tcMar>
            <w:vAlign w:val="center"/>
          </w:tcPr>
          <w:p w14:paraId="58FF1ECA">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Control group</w:t>
            </w:r>
          </w:p>
        </w:tc>
        <w:tc>
          <w:tcPr>
            <w:tcW w:w="1130" w:type="dxa"/>
            <w:tcBorders>
              <w:top w:val="nil"/>
              <w:left w:val="nil"/>
              <w:bottom w:val="single" w:color="auto" w:sz="12" w:space="0"/>
              <w:right w:val="nil"/>
            </w:tcBorders>
            <w:noWrap w:val="0"/>
            <w:tcMar>
              <w:top w:w="-1" w:type="dxa"/>
              <w:left w:w="-1" w:type="dxa"/>
              <w:bottom w:w="-1" w:type="dxa"/>
              <w:right w:w="-1" w:type="dxa"/>
            </w:tcMar>
            <w:vAlign w:val="center"/>
          </w:tcPr>
          <w:p w14:paraId="3FDB589E">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35</w:t>
            </w:r>
          </w:p>
        </w:tc>
        <w:tc>
          <w:tcPr>
            <w:tcW w:w="1338" w:type="dxa"/>
            <w:tcBorders>
              <w:top w:val="nil"/>
              <w:left w:val="nil"/>
              <w:bottom w:val="single" w:color="auto" w:sz="12" w:space="0"/>
              <w:right w:val="nil"/>
            </w:tcBorders>
            <w:noWrap w:val="0"/>
            <w:tcMar>
              <w:top w:w="-1" w:type="dxa"/>
              <w:left w:w="-1" w:type="dxa"/>
              <w:bottom w:w="-1" w:type="dxa"/>
              <w:right w:w="-1" w:type="dxa"/>
            </w:tcMar>
            <w:vAlign w:val="center"/>
          </w:tcPr>
          <w:p w14:paraId="487CFE85">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eastAsia" w:ascii="Times New Roman" w:hAnsi="Times New Roman" w:eastAsia="宋体" w:cs="Times New Roman"/>
                <w:sz w:val="24"/>
                <w:szCs w:val="24"/>
                <w:lang w:val="en-US" w:eastAsia="zh-CN"/>
              </w:rPr>
            </w:pPr>
            <w:r>
              <w:rPr>
                <w:rFonts w:hint="default" w:ascii="Times New Roman" w:hAnsi="Times New Roman" w:eastAsia="Segoe UI" w:cs="Times New Roman"/>
                <w:i w:val="0"/>
                <w:iCs w:val="0"/>
                <w:caps w:val="0"/>
                <w:color w:val="0F1115"/>
                <w:spacing w:val="0"/>
                <w:sz w:val="24"/>
                <w:szCs w:val="24"/>
                <w:shd w:val="clear" w:fill="FFFFFF"/>
              </w:rPr>
              <w:t>3</w:t>
            </w:r>
            <w:r>
              <w:rPr>
                <w:rFonts w:hint="eastAsia"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10.00</w:t>
            </w:r>
            <w:r>
              <w:rPr>
                <w:rFonts w:hint="eastAsia" w:ascii="Times New Roman" w:hAnsi="Times New Roman" w:eastAsia="宋体" w:cs="Times New Roman"/>
                <w:i w:val="0"/>
                <w:iCs w:val="0"/>
                <w:caps w:val="0"/>
                <w:color w:val="0F1115"/>
                <w:spacing w:val="0"/>
                <w:sz w:val="24"/>
                <w:szCs w:val="24"/>
                <w:shd w:val="clear" w:fill="FFFFFF"/>
                <w:lang w:val="en-US" w:eastAsia="zh-CN"/>
              </w:rPr>
              <w:t>)</w:t>
            </w:r>
          </w:p>
        </w:tc>
        <w:tc>
          <w:tcPr>
            <w:tcW w:w="1546" w:type="dxa"/>
            <w:tcBorders>
              <w:top w:val="nil"/>
              <w:left w:val="nil"/>
              <w:bottom w:val="single" w:color="auto" w:sz="12" w:space="0"/>
              <w:right w:val="nil"/>
            </w:tcBorders>
            <w:noWrap w:val="0"/>
            <w:tcMar>
              <w:top w:w="-1" w:type="dxa"/>
              <w:left w:w="-1" w:type="dxa"/>
              <w:bottom w:w="-1" w:type="dxa"/>
              <w:right w:w="-1" w:type="dxa"/>
            </w:tcMar>
            <w:vAlign w:val="center"/>
          </w:tcPr>
          <w:p w14:paraId="387E5070">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eastAsia" w:ascii="Times New Roman" w:hAnsi="Times New Roman" w:eastAsia="宋体" w:cs="Times New Roman"/>
                <w:sz w:val="24"/>
                <w:szCs w:val="24"/>
                <w:lang w:eastAsia="zh-CN"/>
              </w:rPr>
            </w:pPr>
            <w:r>
              <w:rPr>
                <w:rFonts w:hint="default" w:ascii="Times New Roman" w:hAnsi="Times New Roman" w:eastAsia="Segoe UI" w:cs="Times New Roman"/>
                <w:i w:val="0"/>
                <w:iCs w:val="0"/>
                <w:caps w:val="0"/>
                <w:color w:val="0F1115"/>
                <w:spacing w:val="0"/>
                <w:sz w:val="24"/>
                <w:szCs w:val="24"/>
                <w:shd w:val="clear" w:fill="FFFFFF"/>
              </w:rPr>
              <w:t>14</w:t>
            </w:r>
            <w:r>
              <w:rPr>
                <w:rFonts w:hint="eastAsia"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43.33</w:t>
            </w:r>
            <w:r>
              <w:rPr>
                <w:rFonts w:hint="eastAsia" w:ascii="Times New Roman" w:hAnsi="Times New Roman" w:eastAsia="宋体" w:cs="Times New Roman"/>
                <w:i w:val="0"/>
                <w:iCs w:val="0"/>
                <w:caps w:val="0"/>
                <w:color w:val="0F1115"/>
                <w:spacing w:val="0"/>
                <w:sz w:val="24"/>
                <w:szCs w:val="24"/>
                <w:shd w:val="clear" w:fill="FFFFFF"/>
                <w:lang w:val="en-US" w:eastAsia="zh-CN"/>
              </w:rPr>
              <w:t>)</w:t>
            </w:r>
          </w:p>
        </w:tc>
        <w:tc>
          <w:tcPr>
            <w:tcW w:w="1338" w:type="dxa"/>
            <w:tcBorders>
              <w:top w:val="nil"/>
              <w:left w:val="nil"/>
              <w:bottom w:val="single" w:color="auto" w:sz="12" w:space="0"/>
              <w:right w:val="nil"/>
            </w:tcBorders>
            <w:noWrap w:val="0"/>
            <w:tcMar>
              <w:top w:w="-1" w:type="dxa"/>
              <w:left w:w="-1" w:type="dxa"/>
              <w:bottom w:w="-1" w:type="dxa"/>
              <w:right w:w="-1" w:type="dxa"/>
            </w:tcMar>
            <w:vAlign w:val="center"/>
          </w:tcPr>
          <w:p w14:paraId="6D7F79E0">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eastAsia" w:ascii="Times New Roman" w:hAnsi="Times New Roman" w:eastAsia="宋体" w:cs="Times New Roman"/>
                <w:sz w:val="24"/>
                <w:szCs w:val="24"/>
                <w:lang w:eastAsia="zh-CN"/>
              </w:rPr>
            </w:pPr>
            <w:r>
              <w:rPr>
                <w:rFonts w:hint="default" w:ascii="Times New Roman" w:hAnsi="Times New Roman" w:eastAsia="Segoe UI" w:cs="Times New Roman"/>
                <w:i w:val="0"/>
                <w:iCs w:val="0"/>
                <w:caps w:val="0"/>
                <w:color w:val="0F1115"/>
                <w:spacing w:val="0"/>
                <w:sz w:val="24"/>
                <w:szCs w:val="24"/>
                <w:shd w:val="clear" w:fill="FFFFFF"/>
              </w:rPr>
              <w:t>10</w:t>
            </w:r>
            <w:r>
              <w:rPr>
                <w:rFonts w:hint="eastAsia"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23.33</w:t>
            </w:r>
            <w:r>
              <w:rPr>
                <w:rFonts w:hint="eastAsia" w:ascii="Times New Roman" w:hAnsi="Times New Roman" w:eastAsia="宋体" w:cs="Times New Roman"/>
                <w:i w:val="0"/>
                <w:iCs w:val="0"/>
                <w:caps w:val="0"/>
                <w:color w:val="0F1115"/>
                <w:spacing w:val="0"/>
                <w:sz w:val="24"/>
                <w:szCs w:val="24"/>
                <w:shd w:val="clear" w:fill="FFFFFF"/>
                <w:lang w:val="en-US" w:eastAsia="zh-CN"/>
              </w:rPr>
              <w:t>)</w:t>
            </w:r>
          </w:p>
        </w:tc>
        <w:tc>
          <w:tcPr>
            <w:tcW w:w="1343" w:type="dxa"/>
            <w:tcBorders>
              <w:top w:val="nil"/>
              <w:left w:val="nil"/>
              <w:bottom w:val="single" w:color="auto" w:sz="12" w:space="0"/>
              <w:right w:val="nil"/>
            </w:tcBorders>
            <w:noWrap w:val="0"/>
            <w:tcMar>
              <w:top w:w="-1" w:type="dxa"/>
              <w:left w:w="-1" w:type="dxa"/>
              <w:bottom w:w="-1" w:type="dxa"/>
              <w:right w:w="-1" w:type="dxa"/>
            </w:tcMar>
            <w:vAlign w:val="center"/>
          </w:tcPr>
          <w:p w14:paraId="39E09170">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eastAsia" w:ascii="Times New Roman" w:hAnsi="Times New Roman" w:eastAsia="宋体" w:cs="Times New Roman"/>
                <w:sz w:val="24"/>
                <w:szCs w:val="24"/>
                <w:lang w:eastAsia="zh-CN"/>
              </w:rPr>
            </w:pPr>
            <w:r>
              <w:rPr>
                <w:rFonts w:hint="default" w:ascii="Times New Roman" w:hAnsi="Times New Roman" w:eastAsia="Segoe UI" w:cs="Times New Roman"/>
                <w:i w:val="0"/>
                <w:iCs w:val="0"/>
                <w:caps w:val="0"/>
                <w:color w:val="0F1115"/>
                <w:spacing w:val="0"/>
                <w:sz w:val="24"/>
                <w:szCs w:val="24"/>
                <w:shd w:val="clear" w:fill="FFFFFF"/>
              </w:rPr>
              <w:t>8</w:t>
            </w:r>
            <w:r>
              <w:rPr>
                <w:rFonts w:hint="eastAsia"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23.33</w:t>
            </w:r>
            <w:r>
              <w:rPr>
                <w:rFonts w:hint="eastAsia" w:ascii="Times New Roman" w:hAnsi="Times New Roman" w:eastAsia="宋体" w:cs="Times New Roman"/>
                <w:i w:val="0"/>
                <w:iCs w:val="0"/>
                <w:caps w:val="0"/>
                <w:color w:val="0F1115"/>
                <w:spacing w:val="0"/>
                <w:sz w:val="24"/>
                <w:szCs w:val="24"/>
                <w:shd w:val="clear" w:fill="FFFFFF"/>
                <w:lang w:val="en-US" w:eastAsia="zh-CN"/>
              </w:rPr>
              <w:t>)</w:t>
            </w:r>
          </w:p>
        </w:tc>
        <w:tc>
          <w:tcPr>
            <w:tcW w:w="1542" w:type="dxa"/>
            <w:tcBorders>
              <w:top w:val="nil"/>
              <w:left w:val="nil"/>
              <w:bottom w:val="single" w:color="auto" w:sz="12" w:space="0"/>
              <w:right w:val="nil"/>
            </w:tcBorders>
            <w:noWrap w:val="0"/>
            <w:tcMar>
              <w:top w:w="-1" w:type="dxa"/>
              <w:left w:w="-1" w:type="dxa"/>
              <w:bottom w:w="-1" w:type="dxa"/>
              <w:right w:w="-1" w:type="dxa"/>
            </w:tcMar>
            <w:vAlign w:val="center"/>
          </w:tcPr>
          <w:p w14:paraId="3CA62951">
            <w:pPr>
              <w:pStyle w:val="3"/>
              <w:keepNext w:val="0"/>
              <w:keepLines w:val="0"/>
              <w:pageBreakBefore w:val="0"/>
              <w:widowControl/>
              <w:suppressLineNumbers w:val="0"/>
              <w:kinsoku/>
              <w:wordWrap/>
              <w:overflowPunct/>
              <w:topLinePunct w:val="0"/>
              <w:autoSpaceDE/>
              <w:autoSpaceDN/>
              <w:bidi w:val="0"/>
              <w:adjustRightInd/>
              <w:snapToGrid w:val="0"/>
              <w:spacing w:beforeAutospacing="0" w:after="0" w:afterAutospacing="0" w:line="240" w:lineRule="auto"/>
              <w:ind w:left="0" w:right="0"/>
              <w:jc w:val="center"/>
              <w:textAlignment w:val="auto"/>
              <w:rPr>
                <w:rFonts w:hint="eastAsia" w:ascii="Times New Roman" w:hAnsi="Times New Roman" w:eastAsia="宋体" w:cs="Times New Roman"/>
                <w:sz w:val="24"/>
                <w:szCs w:val="24"/>
                <w:lang w:val="en-US" w:eastAsia="zh-CN"/>
              </w:rPr>
            </w:pPr>
            <w:r>
              <w:rPr>
                <w:rFonts w:hint="default" w:ascii="Times New Roman" w:hAnsi="Times New Roman" w:eastAsia="Segoe UI" w:cs="Times New Roman"/>
                <w:i w:val="0"/>
                <w:iCs w:val="0"/>
                <w:caps w:val="0"/>
                <w:color w:val="0F1115"/>
                <w:spacing w:val="0"/>
                <w:sz w:val="24"/>
                <w:szCs w:val="24"/>
                <w:shd w:val="clear" w:fill="FFFFFF"/>
              </w:rPr>
              <w:t>27</w:t>
            </w:r>
            <w:r>
              <w:rPr>
                <w:rFonts w:hint="eastAsia"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77.14</w:t>
            </w:r>
            <w:r>
              <w:rPr>
                <w:rFonts w:hint="eastAsia" w:ascii="Times New Roman" w:hAnsi="Times New Roman" w:eastAsia="宋体" w:cs="Times New Roman"/>
                <w:i w:val="0"/>
                <w:iCs w:val="0"/>
                <w:caps w:val="0"/>
                <w:color w:val="0F1115"/>
                <w:spacing w:val="0"/>
                <w:sz w:val="24"/>
                <w:szCs w:val="24"/>
                <w:shd w:val="clear" w:fill="FFFFFF"/>
                <w:lang w:val="en-US" w:eastAsia="zh-CN"/>
              </w:rPr>
              <w:t>)</w:t>
            </w:r>
          </w:p>
        </w:tc>
      </w:tr>
    </w:tbl>
    <w:p w14:paraId="5434FB37">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 xml:space="preserve">Note: Compared with the same group before treatment, </w:t>
      </w:r>
      <w:r>
        <w:rPr>
          <w:rFonts w:hint="default" w:ascii="Times New Roman" w:hAnsi="Times New Roman" w:eastAsia="Segoe UI" w:cs="Times New Roman"/>
          <w:i w:val="0"/>
          <w:iCs w:val="0"/>
          <w:caps w:val="0"/>
          <w:color w:val="0F1115"/>
          <w:spacing w:val="0"/>
          <w:sz w:val="24"/>
          <w:szCs w:val="24"/>
          <w:shd w:val="clear" w:fill="FFFFFF"/>
          <w:vertAlign w:val="superscript"/>
        </w:rPr>
        <w:t>#</w:t>
      </w:r>
      <w:r>
        <w:rPr>
          <w:rFonts w:hint="default" w:ascii="Times New Roman" w:hAnsi="Times New Roman" w:eastAsia="Segoe UI" w:cs="Times New Roman"/>
          <w:i/>
          <w:iCs/>
          <w:caps w:val="0"/>
          <w:color w:val="0F1115"/>
          <w:spacing w:val="0"/>
          <w:sz w:val="24"/>
          <w:szCs w:val="24"/>
          <w:shd w:val="clear" w:fill="FFFFFF"/>
        </w:rPr>
        <w:t>P</w:t>
      </w:r>
      <w:r>
        <w:rPr>
          <w:rFonts w:hint="default" w:ascii="Times New Roman" w:hAnsi="Times New Roman" w:eastAsia="Segoe UI" w:cs="Times New Roman"/>
          <w:i w:val="0"/>
          <w:iCs w:val="0"/>
          <w:caps w:val="0"/>
          <w:color w:val="0F1115"/>
          <w:spacing w:val="0"/>
          <w:sz w:val="24"/>
          <w:szCs w:val="24"/>
          <w:shd w:val="clear" w:fill="FFFFFF"/>
        </w:rPr>
        <w:t>&lt;0.05.</w:t>
      </w:r>
    </w:p>
    <w:p w14:paraId="298E2333">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i w:val="0"/>
          <w:iCs w:val="0"/>
          <w:caps w:val="0"/>
          <w:color w:val="0F1115"/>
          <w:spacing w:val="0"/>
          <w:sz w:val="24"/>
          <w:szCs w:val="24"/>
          <w:shd w:val="clear" w:fill="FFFFFF"/>
        </w:rPr>
      </w:pPr>
    </w:p>
    <w:p w14:paraId="566ED9FE">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b/>
          <w:bCs/>
          <w:i w:val="0"/>
          <w:iCs w:val="0"/>
          <w:caps w:val="0"/>
          <w:color w:val="0F1115"/>
          <w:spacing w:val="0"/>
          <w:sz w:val="24"/>
          <w:szCs w:val="24"/>
          <w:shd w:val="clear" w:fill="FFFFFF"/>
        </w:rPr>
      </w:pPr>
      <w:r>
        <w:rPr>
          <w:rFonts w:hint="eastAsia" w:ascii="Times New Roman" w:hAnsi="Times New Roman" w:eastAsia="宋体" w:cs="Times New Roman"/>
          <w:b/>
          <w:bCs/>
          <w:i w:val="0"/>
          <w:iCs w:val="0"/>
          <w:caps w:val="0"/>
          <w:color w:val="0F1115"/>
          <w:spacing w:val="0"/>
          <w:sz w:val="24"/>
          <w:szCs w:val="24"/>
          <w:shd w:val="clear" w:fill="FFFFFF"/>
          <w:lang w:val="en-US" w:eastAsia="zh-CN"/>
        </w:rPr>
        <w:t>4</w:t>
      </w:r>
      <w:r>
        <w:rPr>
          <w:rFonts w:hint="default" w:ascii="Times New Roman" w:hAnsi="Times New Roman" w:eastAsia="宋体" w:cs="Times New Roman"/>
          <w:b/>
          <w:bCs/>
          <w:i w:val="0"/>
          <w:iCs w:val="0"/>
          <w:caps w:val="0"/>
          <w:color w:val="0F1115"/>
          <w:spacing w:val="0"/>
          <w:sz w:val="24"/>
          <w:szCs w:val="24"/>
          <w:shd w:val="clear" w:fill="FFFFFF"/>
          <w:lang w:val="en-US" w:eastAsia="zh-CN"/>
        </w:rPr>
        <w:t xml:space="preserve">. </w:t>
      </w:r>
      <w:r>
        <w:rPr>
          <w:rFonts w:hint="default" w:ascii="Times New Roman" w:hAnsi="Times New Roman" w:eastAsia="Segoe UI" w:cs="Times New Roman"/>
          <w:b/>
          <w:bCs/>
          <w:i w:val="0"/>
          <w:iCs w:val="0"/>
          <w:caps w:val="0"/>
          <w:color w:val="0F1115"/>
          <w:spacing w:val="0"/>
          <w:sz w:val="24"/>
          <w:szCs w:val="24"/>
          <w:shd w:val="clear" w:fill="FFFFFF"/>
        </w:rPr>
        <w:t xml:space="preserve">Discussion </w:t>
      </w:r>
    </w:p>
    <w:p w14:paraId="04B9E1AE">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 xml:space="preserve">Periarthritis of the shoulder is a condition characterized by inflammation, fibrosis, and adhesions of the tissues surrounding the shoulder joint, often leading to shoulder pain and limited range of motion. The etiology of periarthritis of the shoulder includes chronic inflammation and injury to the soft tissues around the shoulder joint, such as tendons, ligaments, and bursae. Conventional Western medical treatments include nonsteroidal anti-inflammatory drugs (NSAIDs), glucocorticoids, physical therapy, and surgical interventions. Pharmacological treatments in Western medicine primarily aim to alleviate symptoms through anti-inflammatory and analgesic effects but do not address the underlying cause fundamentally. Long-term use may lead to side effects such as gastrointestinal discomfort and renal impairment. Physical therapy requires long-term patient cooperation and has slow therapeutic effects. Surgical treatment, although capable of directly releasing adhesions, is invasive, has a slow recovery process, is not suitable for all patients, and may result in postoperative complications </w:t>
      </w:r>
      <w:r>
        <w:rPr>
          <w:rFonts w:hint="default" w:ascii="Times New Roman" w:hAnsi="Times New Roman" w:eastAsia="Segoe UI" w:cs="Times New Roman"/>
          <w:i w:val="0"/>
          <w:iCs w:val="0"/>
          <w:caps w:val="0"/>
          <w:color w:val="0F1115"/>
          <w:spacing w:val="0"/>
          <w:sz w:val="24"/>
          <w:szCs w:val="24"/>
          <w:shd w:val="clear" w:fill="FFFFFF"/>
          <w:vertAlign w:val="superscript"/>
        </w:rPr>
        <w:t>[10]</w:t>
      </w:r>
      <w:r>
        <w:rPr>
          <w:rFonts w:hint="default" w:ascii="Times New Roman" w:hAnsi="Times New Roman" w:eastAsia="Segoe UI" w:cs="Times New Roman"/>
          <w:i w:val="0"/>
          <w:iCs w:val="0"/>
          <w:caps w:val="0"/>
          <w:color w:val="0F1115"/>
          <w:spacing w:val="0"/>
          <w:sz w:val="24"/>
          <w:szCs w:val="24"/>
          <w:shd w:val="clear" w:fill="FFFFFF"/>
        </w:rPr>
        <w:t xml:space="preserve">. Traditional Chinese medicine (TCM) attributes periarthritis of the shoulder to the invasion of wind, cold, and dampness pathogens, leading to impaired qi and blood circulation and obstruction of meridians. The wind-cold-dampness type of periarthritis of the shoulder is one of the most common types, characterized by shoulder pain, aversion to cold, and limited range of motion. Due to its complex pathogenesis and long disease course, treatment poses certain challenges </w:t>
      </w:r>
      <w:r>
        <w:rPr>
          <w:rFonts w:hint="default" w:ascii="Times New Roman" w:hAnsi="Times New Roman" w:eastAsia="Segoe UI" w:cs="Times New Roman"/>
          <w:i w:val="0"/>
          <w:iCs w:val="0"/>
          <w:caps w:val="0"/>
          <w:color w:val="0F1115"/>
          <w:spacing w:val="0"/>
          <w:sz w:val="24"/>
          <w:szCs w:val="24"/>
          <w:shd w:val="clear" w:fill="FFFFFF"/>
          <w:vertAlign w:val="superscript"/>
        </w:rPr>
        <w:t>[11]</w:t>
      </w:r>
      <w:r>
        <w:rPr>
          <w:rFonts w:hint="default" w:ascii="Times New Roman" w:hAnsi="Times New Roman" w:eastAsia="Segoe UI" w:cs="Times New Roman"/>
          <w:i w:val="0"/>
          <w:iCs w:val="0"/>
          <w:caps w:val="0"/>
          <w:color w:val="0F1115"/>
          <w:spacing w:val="0"/>
          <w:sz w:val="24"/>
          <w:szCs w:val="24"/>
          <w:shd w:val="clear" w:fill="FFFFFF"/>
        </w:rPr>
        <w:t xml:space="preserve">. The theoretical basis for TCM treatment of this condition includes dispelling wind and cold, promoting blood circulation and unblocking meridians, and warming the meridians to expel cold. Common treatment methods include acupuncture, tuina (Chinese therapeutic massage), and herbal medicine. The advantages of TCM treatment lie in fewer side effects, gentle methods, and higher patient compliance, making it particularly suitable for conservative treatment of degenerative joint diseases </w:t>
      </w:r>
      <w:r>
        <w:rPr>
          <w:rFonts w:hint="default" w:ascii="Times New Roman" w:hAnsi="Times New Roman" w:eastAsia="Segoe UI" w:cs="Times New Roman"/>
          <w:i w:val="0"/>
          <w:iCs w:val="0"/>
          <w:caps w:val="0"/>
          <w:color w:val="0F1115"/>
          <w:spacing w:val="0"/>
          <w:sz w:val="24"/>
          <w:szCs w:val="24"/>
          <w:shd w:val="clear" w:fill="FFFFFF"/>
          <w:vertAlign w:val="superscript"/>
        </w:rPr>
        <w:t>[12]</w:t>
      </w:r>
      <w:r>
        <w:rPr>
          <w:rFonts w:hint="default" w:ascii="Times New Roman" w:hAnsi="Times New Roman" w:eastAsia="Segoe UI" w:cs="Times New Roman"/>
          <w:i w:val="0"/>
          <w:iCs w:val="0"/>
          <w:caps w:val="0"/>
          <w:color w:val="0F1115"/>
          <w:spacing w:val="0"/>
          <w:sz w:val="24"/>
          <w:szCs w:val="24"/>
          <w:shd w:val="clear" w:fill="FFFFFF"/>
        </w:rPr>
        <w:t xml:space="preserve">. </w:t>
      </w:r>
    </w:p>
    <w:p w14:paraId="3287C49F">
      <w:pPr>
        <w:keepNext w:val="0"/>
        <w:keepLines w:val="0"/>
        <w:pageBreakBefore w:val="0"/>
        <w:widowControl w:val="0"/>
        <w:kinsoku/>
        <w:wordWrap/>
        <w:overflowPunct/>
        <w:topLinePunct w:val="0"/>
        <w:autoSpaceDE/>
        <w:autoSpaceDN/>
        <w:bidi w:val="0"/>
        <w:adjustRightInd/>
        <w:snapToGrid w:val="0"/>
        <w:spacing w:line="240" w:lineRule="auto"/>
        <w:ind w:firstLine="480" w:firstLineChars="200"/>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 xml:space="preserve">Electroacupuncture (EA) is an effective method for treating periarthritis of the shoulder. Its principle involves stimulating acupoints with needles and supplementing with low-frequency electrical current to enhance the acupuncture effect, achieving the goals of unblocking meridians, promoting blood circulation to remove blood stasis, and relieving pain. Previous studies have shown that EA treatment has significant effects in alleviating symptoms of periarthritis of the shoulder, reducing patient pain, and improving function. However, EA treatment is often applied without subtype differentiation and does not fully consider individual patient differences and the specificity of TCM subtypes </w:t>
      </w:r>
      <w:r>
        <w:rPr>
          <w:rFonts w:hint="default" w:ascii="Times New Roman" w:hAnsi="Times New Roman" w:eastAsia="Segoe UI" w:cs="Times New Roman"/>
          <w:i w:val="0"/>
          <w:iCs w:val="0"/>
          <w:caps w:val="0"/>
          <w:color w:val="0F1115"/>
          <w:spacing w:val="0"/>
          <w:sz w:val="24"/>
          <w:szCs w:val="24"/>
          <w:shd w:val="clear" w:fill="FFFFFF"/>
          <w:vertAlign w:val="superscript"/>
        </w:rPr>
        <w:t>[13]</w:t>
      </w:r>
      <w:r>
        <w:rPr>
          <w:rFonts w:hint="default" w:ascii="Times New Roman" w:hAnsi="Times New Roman" w:eastAsia="Segoe UI" w:cs="Times New Roman"/>
          <w:i w:val="0"/>
          <w:iCs w:val="0"/>
          <w:caps w:val="0"/>
          <w:color w:val="0F1115"/>
          <w:spacing w:val="0"/>
          <w:sz w:val="24"/>
          <w:szCs w:val="24"/>
          <w:shd w:val="clear" w:fill="FFFFFF"/>
        </w:rPr>
        <w:t xml:space="preserve">. The moving cupping with moxibustion combines the dual therapeutic effects of cupping and moxibustion. It uses negative pressure to adhere to the skin and utilizes the warm stimulation of moxibustion to achieve the effects of warming the meridians to expel cold and promoting qi and blood circulation. Previous applications in treating orthopedic diseases such as knee osteoarthritis have demonstrated good therapeutic effects, relieving joint pain and improving joint function </w:t>
      </w:r>
      <w:r>
        <w:rPr>
          <w:rFonts w:hint="default" w:ascii="Times New Roman" w:hAnsi="Times New Roman" w:eastAsia="Segoe UI" w:cs="Times New Roman"/>
          <w:i w:val="0"/>
          <w:iCs w:val="0"/>
          <w:caps w:val="0"/>
          <w:color w:val="0F1115"/>
          <w:spacing w:val="0"/>
          <w:sz w:val="24"/>
          <w:szCs w:val="24"/>
          <w:shd w:val="clear" w:fill="FFFFFF"/>
          <w:vertAlign w:val="superscript"/>
        </w:rPr>
        <w:t>[14]</w:t>
      </w:r>
      <w:r>
        <w:rPr>
          <w:rFonts w:hint="default" w:ascii="Times New Roman" w:hAnsi="Times New Roman" w:eastAsia="Segoe UI" w:cs="Times New Roman"/>
          <w:i w:val="0"/>
          <w:iCs w:val="0"/>
          <w:caps w:val="0"/>
          <w:color w:val="0F1115"/>
          <w:spacing w:val="0"/>
          <w:sz w:val="24"/>
          <w:szCs w:val="24"/>
          <w:shd w:val="clear" w:fill="FFFFFF"/>
        </w:rPr>
        <w:t xml:space="preserve">. Its mechanism of action based on TCM theory indicates that the moving cupping with moxibustion is of great significance in treating the wind-cold-dampness type of periarthritis of the shoulder, as it can more specifically remove cold and dampness and warm the meridians to unblock them. </w:t>
      </w:r>
    </w:p>
    <w:p w14:paraId="586DC835">
      <w:pPr>
        <w:keepNext w:val="0"/>
        <w:keepLines w:val="0"/>
        <w:pageBreakBefore w:val="0"/>
        <w:widowControl w:val="0"/>
        <w:kinsoku/>
        <w:wordWrap/>
        <w:overflowPunct/>
        <w:topLinePunct w:val="0"/>
        <w:autoSpaceDE/>
        <w:autoSpaceDN/>
        <w:bidi w:val="0"/>
        <w:adjustRightInd/>
        <w:snapToGrid w:val="0"/>
        <w:spacing w:line="240" w:lineRule="auto"/>
        <w:ind w:firstLine="480" w:firstLineChars="200"/>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 xml:space="preserve">The results of this study show that the combination of moving cupping with moxibustion and EA for treating the wind-cold-dampness type of periarthritis of the shoulder has significant advantages in improving various clinical indicators and overall therapeutic effects. From a Western medicine perspective, the Visual Analog Scale (VAS) score in the observation group was significantly lower than that in the control group, indicating that the combination treatment was more effective in relieving shoulder pain. EA activates the nervous system through electrical stimulation, releasing endogenous analgesic substances, thereby effectively reducing pain </w:t>
      </w:r>
      <w:r>
        <w:rPr>
          <w:rFonts w:hint="default" w:ascii="Times New Roman" w:hAnsi="Times New Roman" w:eastAsia="Segoe UI" w:cs="Times New Roman"/>
          <w:i w:val="0"/>
          <w:iCs w:val="0"/>
          <w:caps w:val="0"/>
          <w:color w:val="0F1115"/>
          <w:spacing w:val="0"/>
          <w:sz w:val="24"/>
          <w:szCs w:val="24"/>
          <w:shd w:val="clear" w:fill="FFFFFF"/>
          <w:vertAlign w:val="superscript"/>
        </w:rPr>
        <w:t>[15]</w:t>
      </w:r>
      <w:r>
        <w:rPr>
          <w:rFonts w:hint="default" w:ascii="Times New Roman" w:hAnsi="Times New Roman" w:eastAsia="Segoe UI" w:cs="Times New Roman"/>
          <w:i w:val="0"/>
          <w:iCs w:val="0"/>
          <w:caps w:val="0"/>
          <w:color w:val="0F1115"/>
          <w:spacing w:val="0"/>
          <w:sz w:val="24"/>
          <w:szCs w:val="24"/>
          <w:shd w:val="clear" w:fill="FFFFFF"/>
        </w:rPr>
        <w:t xml:space="preserve">. The moving cupping with moxibustion combines thermotherapy and negative pressure effects to further promote local blood circulation, reduce inflammatory responses and tissue edema, and enhance analgesic effects. The Constant-Murley score in the observation group was significantly higher than that in the control group, indicating that the combination treatment was more effective in improving shoulder joint function. EA regulates neuromuscular function and enhances muscle strength and joint stability by stimulating acupoints </w:t>
      </w:r>
      <w:r>
        <w:rPr>
          <w:rFonts w:hint="default" w:ascii="Times New Roman" w:hAnsi="Times New Roman" w:eastAsia="Segoe UI" w:cs="Times New Roman"/>
          <w:i w:val="0"/>
          <w:iCs w:val="0"/>
          <w:caps w:val="0"/>
          <w:color w:val="0F1115"/>
          <w:spacing w:val="0"/>
          <w:sz w:val="24"/>
          <w:szCs w:val="24"/>
          <w:shd w:val="clear" w:fill="FFFFFF"/>
          <w:vertAlign w:val="superscript"/>
        </w:rPr>
        <w:t>[16]</w:t>
      </w:r>
      <w:r>
        <w:rPr>
          <w:rFonts w:hint="default" w:ascii="Times New Roman" w:hAnsi="Times New Roman" w:eastAsia="Segoe UI" w:cs="Times New Roman"/>
          <w:i w:val="0"/>
          <w:iCs w:val="0"/>
          <w:caps w:val="0"/>
          <w:color w:val="0F1115"/>
          <w:spacing w:val="0"/>
          <w:sz w:val="24"/>
          <w:szCs w:val="24"/>
          <w:shd w:val="clear" w:fill="FFFFFF"/>
        </w:rPr>
        <w:t>. The thermotherapy effect of the moving cupping with moxibustion not only relaxes muscles but also softens adhesive tissues, increasing joint range of motion and thereby improving overall shoulder joint function. The relief of pain and recovery of joint function directly improve patients</w:t>
      </w:r>
      <w:r>
        <w:rPr>
          <w:rFonts w:hint="default"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 xml:space="preserve"> daily living abilities and reduce the impact on their lives, significantly enhancing their quality of life. TCM believes that the wind-cold-dampness type of periarthritis of the shoulder is caused by the invasion of wind, cold, and dampness pathogens into the human body, leading to obstruction of meridians and impaired qi and blood circulation. The Huangdi Neijing (The Inner Canon of Huangdi) states, </w:t>
      </w:r>
      <w:r>
        <w:rPr>
          <w:rFonts w:hint="default"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When wind, cold, and dampness pathogens combine, they cause bi syndrome (painful obstruction syndrome)</w:t>
      </w:r>
      <w:r>
        <w:rPr>
          <w:rFonts w:hint="default"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 xml:space="preserve">. EA unblocks meridians and harmonizes qi and blood by stimulating acupoints, while the moving cupping with moxibustion exerts its effects of dispelling wind and cold and promoting blood circulation to unblock meridians through thermotherapy, fundamentally addressing the cause and achieving analgesic effects. The Huangdi Neijing also says, </w:t>
      </w:r>
      <w:r>
        <w:rPr>
          <w:rFonts w:hint="default"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Meridians are what determine life and death, manage various diseases, regulate deficiency and excess, and must not be obstructed</w:t>
      </w:r>
      <w:r>
        <w:rPr>
          <w:rFonts w:hint="default"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 xml:space="preserve">. The moving cupping with moxibustion adds mechanical stimulation from cup moving on the basis of moxibustion, which can more deeply activate the circulation of qi and blood in the meridians, improve blood supply and metabolism in local tissues, and thereby promote the recovery of joint function </w:t>
      </w:r>
      <w:r>
        <w:rPr>
          <w:rFonts w:hint="default" w:ascii="Times New Roman" w:hAnsi="Times New Roman" w:eastAsia="Segoe UI" w:cs="Times New Roman"/>
          <w:i w:val="0"/>
          <w:iCs w:val="0"/>
          <w:caps w:val="0"/>
          <w:color w:val="0F1115"/>
          <w:spacing w:val="0"/>
          <w:sz w:val="24"/>
          <w:szCs w:val="24"/>
          <w:shd w:val="clear" w:fill="FFFFFF"/>
          <w:vertAlign w:val="superscript"/>
        </w:rPr>
        <w:t>[17]</w:t>
      </w:r>
      <w:r>
        <w:rPr>
          <w:rFonts w:hint="default" w:ascii="Times New Roman" w:hAnsi="Times New Roman" w:eastAsia="Segoe UI" w:cs="Times New Roman"/>
          <w:i w:val="0"/>
          <w:iCs w:val="0"/>
          <w:caps w:val="0"/>
          <w:color w:val="0F1115"/>
          <w:spacing w:val="0"/>
          <w:sz w:val="24"/>
          <w:szCs w:val="24"/>
          <w:shd w:val="clear" w:fill="FFFFFF"/>
        </w:rPr>
        <w:t xml:space="preserve">. TCM emphasizes </w:t>
      </w:r>
      <w:r>
        <w:rPr>
          <w:rFonts w:hint="default"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treating the root cause of the disease</w:t>
      </w:r>
      <w:r>
        <w:rPr>
          <w:rFonts w:hint="default"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w:t>
      </w:r>
      <w:r>
        <w:rPr>
          <w:rFonts w:hint="eastAsia" w:ascii="Times New Roman" w:hAnsi="Times New Roman" w:eastAsia="宋体" w:cs="Times New Roman"/>
          <w:i w:val="0"/>
          <w:iCs w:val="0"/>
          <w:caps w:val="0"/>
          <w:color w:val="0F1115"/>
          <w:spacing w:val="0"/>
          <w:sz w:val="24"/>
          <w:szCs w:val="24"/>
          <w:shd w:val="clear" w:fill="FFFFFF"/>
          <w:lang w:val="en-US" w:eastAsia="zh-CN"/>
        </w:rPr>
        <w:t xml:space="preserve"> </w:t>
      </w:r>
      <w:r>
        <w:rPr>
          <w:rFonts w:hint="default" w:ascii="Times New Roman" w:hAnsi="Times New Roman" w:eastAsia="Segoe UI" w:cs="Times New Roman"/>
          <w:i w:val="0"/>
          <w:iCs w:val="0"/>
          <w:caps w:val="0"/>
          <w:color w:val="0F1115"/>
          <w:spacing w:val="0"/>
          <w:sz w:val="24"/>
          <w:szCs w:val="24"/>
          <w:shd w:val="clear" w:fill="FFFFFF"/>
        </w:rPr>
        <w:t>In this study, EA regulates visceral function and balances yin and yang by stimulating relevant acupoints, enhancing the overall therapeutic effect. The moving cupping with moxibustion unblocks meridians, dispels wind and cold, and improves symptoms of wind-cold-dampness pathogens through thermotherapy and negative pressure effects. Ultimately, the combination treatment of the moving cupping with moxibustion and EA not only treats shoulder conditions locally but also regulates the overall circulation of qi and blood in the body, improving patients</w:t>
      </w:r>
      <w:r>
        <w:rPr>
          <w:rFonts w:hint="default"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 xml:space="preserve"> overall health and achieving a holistic therapeutic effect. </w:t>
      </w:r>
    </w:p>
    <w:p w14:paraId="0C9AEF95">
      <w:pPr>
        <w:keepNext w:val="0"/>
        <w:keepLines w:val="0"/>
        <w:pageBreakBefore w:val="0"/>
        <w:widowControl w:val="0"/>
        <w:kinsoku/>
        <w:wordWrap/>
        <w:overflowPunct/>
        <w:topLinePunct w:val="0"/>
        <w:autoSpaceDE/>
        <w:autoSpaceDN/>
        <w:bidi w:val="0"/>
        <w:adjustRightInd/>
        <w:snapToGrid w:val="0"/>
        <w:spacing w:line="240" w:lineRule="auto"/>
        <w:ind w:firstLine="480" w:firstLineChars="200"/>
        <w:textAlignment w:val="auto"/>
        <w:rPr>
          <w:rFonts w:hint="default" w:ascii="Times New Roman" w:hAnsi="Times New Roman" w:eastAsia="Segoe UI" w:cs="Times New Roman"/>
          <w:i w:val="0"/>
          <w:iCs w:val="0"/>
          <w:caps w:val="0"/>
          <w:color w:val="0F1115"/>
          <w:spacing w:val="0"/>
          <w:sz w:val="24"/>
          <w:szCs w:val="24"/>
          <w:shd w:val="clear" w:fill="FFFFFF"/>
        </w:rPr>
      </w:pPr>
    </w:p>
    <w:p w14:paraId="73E8F532">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宋体" w:cs="Times New Roman"/>
          <w:b/>
          <w:bCs/>
          <w:i w:val="0"/>
          <w:iCs w:val="0"/>
          <w:caps w:val="0"/>
          <w:color w:val="0F1115"/>
          <w:spacing w:val="0"/>
          <w:sz w:val="24"/>
          <w:szCs w:val="24"/>
          <w:shd w:val="clear" w:fill="FFFFFF"/>
          <w:lang w:val="en-US" w:eastAsia="zh-CN"/>
        </w:rPr>
      </w:pPr>
      <w:r>
        <w:rPr>
          <w:rFonts w:hint="eastAsia" w:ascii="Times New Roman" w:hAnsi="Times New Roman" w:eastAsia="宋体" w:cs="Times New Roman"/>
          <w:b/>
          <w:bCs/>
          <w:i w:val="0"/>
          <w:iCs w:val="0"/>
          <w:caps w:val="0"/>
          <w:color w:val="0F1115"/>
          <w:spacing w:val="0"/>
          <w:sz w:val="24"/>
          <w:szCs w:val="24"/>
          <w:shd w:val="clear" w:fill="FFFFFF"/>
          <w:lang w:val="en-US" w:eastAsia="zh-CN"/>
        </w:rPr>
        <w:t>5. Conclusion</w:t>
      </w:r>
    </w:p>
    <w:p w14:paraId="51FFFE45">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In conclusion, the combination of moving cupping with moxibustion and EA for treating the wind-cold-dampness type of periarthritis of the shoulder has significant effects in relieving pain, improving shoulder joint function, enhancing quality of life, and alleviating TCM symptoms, with a high treatment effectiveness rate. This study provides a scientific basis for the clinical application of this treatment method and has important value for clinical promotion.</w:t>
      </w:r>
    </w:p>
    <w:p w14:paraId="71E92DAE">
      <w:pPr>
        <w:contextualSpacing/>
        <w:rPr>
          <w:rFonts w:ascii="Times New Roman" w:hAnsi="Times New Roman"/>
          <w:sz w:val="24"/>
        </w:rPr>
      </w:pPr>
    </w:p>
    <w:p w14:paraId="0AC35EDF">
      <w:pPr>
        <w:contextualSpacing/>
        <w:rPr>
          <w:rFonts w:ascii="Times New Roman" w:hAnsi="Times New Roman"/>
          <w:b/>
          <w:bCs/>
          <w:sz w:val="24"/>
        </w:rPr>
      </w:pPr>
      <w:r>
        <w:rPr>
          <w:rFonts w:ascii="Times New Roman" w:hAnsi="Times New Roman"/>
          <w:b/>
          <w:bCs/>
          <w:sz w:val="24"/>
        </w:rPr>
        <w:t>Disclosure statement</w:t>
      </w:r>
    </w:p>
    <w:p w14:paraId="5B4B66C6">
      <w:pPr>
        <w:keepNext w:val="0"/>
        <w:keepLines w:val="0"/>
        <w:pageBreakBefore w:val="0"/>
        <w:widowControl w:val="0"/>
        <w:kinsoku/>
        <w:wordWrap/>
        <w:overflowPunct/>
        <w:topLinePunct w:val="0"/>
        <w:autoSpaceDE/>
        <w:autoSpaceDN/>
        <w:bidi w:val="0"/>
        <w:adjustRightInd/>
        <w:snapToGrid w:val="0"/>
        <w:spacing w:line="240" w:lineRule="auto"/>
        <w:textAlignment w:val="auto"/>
        <w:rPr>
          <w:rFonts w:ascii="Times New Roman" w:hAnsi="Times New Roman"/>
          <w:sz w:val="24"/>
        </w:rPr>
      </w:pPr>
      <w:r>
        <w:rPr>
          <w:rFonts w:ascii="Times New Roman" w:hAnsi="Times New Roman"/>
          <w:sz w:val="24"/>
        </w:rPr>
        <w:t>The authors declare no conflict of interest.</w:t>
      </w:r>
    </w:p>
    <w:p w14:paraId="66B9D4D1">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sz w:val="24"/>
        </w:rPr>
      </w:pPr>
    </w:p>
    <w:p w14:paraId="2D44390D">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Segoe UI" w:cs="Times New Roman"/>
          <w:b/>
          <w:bCs/>
          <w:i w:val="0"/>
          <w:iCs w:val="0"/>
          <w:caps w:val="0"/>
          <w:color w:val="0F1115"/>
          <w:spacing w:val="0"/>
          <w:sz w:val="24"/>
          <w:szCs w:val="24"/>
          <w:shd w:val="clear" w:fill="FFFFFF"/>
        </w:rPr>
      </w:pPr>
      <w:r>
        <w:rPr>
          <w:rFonts w:hint="default" w:ascii="Times New Roman" w:hAnsi="Times New Roman" w:eastAsia="Segoe UI" w:cs="Times New Roman"/>
          <w:b/>
          <w:bCs/>
          <w:i w:val="0"/>
          <w:iCs w:val="0"/>
          <w:caps w:val="0"/>
          <w:color w:val="0F1115"/>
          <w:spacing w:val="0"/>
          <w:sz w:val="24"/>
          <w:szCs w:val="24"/>
          <w:shd w:val="clear" w:fill="FFFFFF"/>
        </w:rPr>
        <w:t xml:space="preserve">References </w:t>
      </w:r>
    </w:p>
    <w:p w14:paraId="05FFDA67">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[1] Huang Y, Chen K, He P, </w:t>
      </w:r>
      <w:r>
        <w:rPr>
          <w:rFonts w:hint="eastAsia" w:ascii="Times New Roman" w:hAnsi="Times New Roman" w:eastAsia="宋体" w:cs="Times New Roman"/>
          <w:sz w:val="24"/>
          <w:lang w:val="en-US" w:eastAsia="zh-CN"/>
        </w:rPr>
        <w:t>et al.,</w:t>
      </w:r>
      <w:r>
        <w:rPr>
          <w:rFonts w:hint="default" w:ascii="Times New Roman" w:hAnsi="Times New Roman" w:eastAsia="宋体" w:cs="Times New Roman"/>
          <w:sz w:val="24"/>
        </w:rPr>
        <w:t xml:space="preserve"> 2023</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Clinical </w:t>
      </w:r>
      <w:r>
        <w:rPr>
          <w:rFonts w:hint="eastAsia" w:ascii="Times New Roman" w:hAnsi="Times New Roman" w:eastAsia="宋体" w:cs="Times New Roman"/>
          <w:sz w:val="24"/>
          <w:lang w:val="en-US" w:eastAsia="zh-CN"/>
        </w:rPr>
        <w:t>O</w:t>
      </w:r>
      <w:r>
        <w:rPr>
          <w:rFonts w:hint="default" w:ascii="Times New Roman" w:hAnsi="Times New Roman" w:eastAsia="宋体" w:cs="Times New Roman"/>
          <w:sz w:val="24"/>
        </w:rPr>
        <w:t xml:space="preserve">bservation on the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herapeutic </w:t>
      </w:r>
      <w:r>
        <w:rPr>
          <w:rFonts w:hint="eastAsia" w:ascii="Times New Roman" w:hAnsi="Times New Roman" w:eastAsia="宋体" w:cs="Times New Roman"/>
          <w:sz w:val="24"/>
          <w:lang w:val="en-US" w:eastAsia="zh-CN"/>
        </w:rPr>
        <w:t>E</w:t>
      </w:r>
      <w:r>
        <w:rPr>
          <w:rFonts w:hint="default" w:ascii="Times New Roman" w:hAnsi="Times New Roman" w:eastAsia="宋体" w:cs="Times New Roman"/>
          <w:sz w:val="24"/>
        </w:rPr>
        <w:t xml:space="preserve">ffect of Gu Sifang on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eriarthritis of the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houlder of the </w:t>
      </w:r>
      <w:r>
        <w:rPr>
          <w:rFonts w:hint="eastAsia" w:ascii="Times New Roman" w:hAnsi="Times New Roman" w:eastAsia="宋体" w:cs="Times New Roman"/>
          <w:sz w:val="24"/>
          <w:lang w:val="en-US" w:eastAsia="zh-CN"/>
        </w:rPr>
        <w:t>W</w:t>
      </w:r>
      <w:r>
        <w:rPr>
          <w:rFonts w:hint="default" w:ascii="Times New Roman" w:hAnsi="Times New Roman" w:eastAsia="宋体" w:cs="Times New Roman"/>
          <w:sz w:val="24"/>
        </w:rPr>
        <w:t xml:space="preserve">ind-cold-dampness </w:t>
      </w:r>
      <w:r>
        <w:rPr>
          <w:rFonts w:hint="eastAsia" w:ascii="Times New Roman" w:hAnsi="Times New Roman" w:eastAsia="宋体" w:cs="Times New Roman"/>
          <w:sz w:val="24"/>
          <w:lang w:val="en-US" w:eastAsia="zh-CN"/>
        </w:rPr>
        <w:t>B</w:t>
      </w:r>
      <w:r>
        <w:rPr>
          <w:rFonts w:hint="default" w:ascii="Times New Roman" w:hAnsi="Times New Roman" w:eastAsia="宋体" w:cs="Times New Roman"/>
          <w:sz w:val="24"/>
        </w:rPr>
        <w:t xml:space="preserve">i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yndrome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ype</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Chinese Journal of Orthopaedics and Traumatology of Traditional Chinese Medicine, 31 (11): 56-60. </w:t>
      </w:r>
    </w:p>
    <w:p w14:paraId="148868DB">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[2] Huang L, Wang F, Liao S, </w:t>
      </w:r>
      <w:r>
        <w:rPr>
          <w:rFonts w:hint="eastAsia" w:ascii="Times New Roman" w:hAnsi="Times New Roman" w:eastAsia="宋体" w:cs="Times New Roman"/>
          <w:sz w:val="24"/>
          <w:lang w:val="en-US" w:eastAsia="zh-CN"/>
        </w:rPr>
        <w:t>et al.,</w:t>
      </w:r>
      <w:r>
        <w:rPr>
          <w:rFonts w:hint="default" w:ascii="Times New Roman" w:hAnsi="Times New Roman" w:eastAsia="宋体" w:cs="Times New Roman"/>
          <w:sz w:val="24"/>
        </w:rPr>
        <w:t xml:space="preserve"> 2022</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Effects of the</w:t>
      </w:r>
      <w:r>
        <w:rPr>
          <w:rFonts w:hint="default"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Canggui Tanxue </w:t>
      </w:r>
      <w:r>
        <w:rPr>
          <w:rFonts w:hint="eastAsia" w:ascii="Times New Roman" w:hAnsi="Times New Roman" w:eastAsia="宋体" w:cs="Times New Roman"/>
          <w:sz w:val="24"/>
          <w:lang w:val="en-US" w:eastAsia="zh-CN"/>
        </w:rPr>
        <w:t>E</w:t>
      </w:r>
      <w:r>
        <w:rPr>
          <w:rFonts w:hint="default" w:ascii="Times New Roman" w:hAnsi="Times New Roman" w:eastAsia="宋体" w:cs="Times New Roman"/>
          <w:sz w:val="24"/>
        </w:rPr>
        <w:t xml:space="preserve">ectroacupuncture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herapy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ombined with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houlder </w:t>
      </w:r>
      <w:r>
        <w:rPr>
          <w:rFonts w:hint="eastAsia" w:ascii="Times New Roman" w:hAnsi="Times New Roman" w:eastAsia="宋体" w:cs="Times New Roman"/>
          <w:sz w:val="24"/>
          <w:lang w:val="en-US" w:eastAsia="zh-CN"/>
        </w:rPr>
        <w:t>J</w:t>
      </w:r>
      <w:r>
        <w:rPr>
          <w:rFonts w:hint="default" w:ascii="Times New Roman" w:hAnsi="Times New Roman" w:eastAsia="宋体" w:cs="Times New Roman"/>
          <w:sz w:val="24"/>
        </w:rPr>
        <w:t xml:space="preserve">oint </w:t>
      </w:r>
      <w:r>
        <w:rPr>
          <w:rFonts w:hint="eastAsia" w:ascii="Times New Roman" w:hAnsi="Times New Roman" w:eastAsia="宋体" w:cs="Times New Roman"/>
          <w:sz w:val="24"/>
          <w:lang w:val="en-US" w:eastAsia="zh-CN"/>
        </w:rPr>
        <w:t>F</w:t>
      </w:r>
      <w:r>
        <w:rPr>
          <w:rFonts w:hint="default" w:ascii="Times New Roman" w:hAnsi="Times New Roman" w:eastAsia="宋体" w:cs="Times New Roman"/>
          <w:sz w:val="24"/>
        </w:rPr>
        <w:t xml:space="preserve">unctional </w:t>
      </w:r>
      <w:r>
        <w:rPr>
          <w:rFonts w:hint="eastAsia" w:ascii="Times New Roman" w:hAnsi="Times New Roman" w:eastAsia="宋体" w:cs="Times New Roman"/>
          <w:sz w:val="24"/>
          <w:lang w:val="en-US" w:eastAsia="zh-CN"/>
        </w:rPr>
        <w:t>E</w:t>
      </w:r>
      <w:r>
        <w:rPr>
          <w:rFonts w:hint="default" w:ascii="Times New Roman" w:hAnsi="Times New Roman" w:eastAsia="宋体" w:cs="Times New Roman"/>
          <w:sz w:val="24"/>
        </w:rPr>
        <w:t xml:space="preserve">xercises on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houlder </w:t>
      </w:r>
      <w:r>
        <w:rPr>
          <w:rFonts w:hint="eastAsia" w:ascii="Times New Roman" w:hAnsi="Times New Roman" w:eastAsia="宋体" w:cs="Times New Roman"/>
          <w:sz w:val="24"/>
          <w:lang w:val="en-US" w:eastAsia="zh-CN"/>
        </w:rPr>
        <w:t>J</w:t>
      </w:r>
      <w:r>
        <w:rPr>
          <w:rFonts w:hint="default" w:ascii="Times New Roman" w:hAnsi="Times New Roman" w:eastAsia="宋体" w:cs="Times New Roman"/>
          <w:sz w:val="24"/>
        </w:rPr>
        <w:t xml:space="preserve">oint </w:t>
      </w:r>
      <w:r>
        <w:rPr>
          <w:rFonts w:hint="eastAsia" w:ascii="Times New Roman" w:hAnsi="Times New Roman" w:eastAsia="宋体" w:cs="Times New Roman"/>
          <w:sz w:val="24"/>
          <w:lang w:val="en-US" w:eastAsia="zh-CN"/>
        </w:rPr>
        <w:t>F</w:t>
      </w:r>
      <w:r>
        <w:rPr>
          <w:rFonts w:hint="default" w:ascii="Times New Roman" w:hAnsi="Times New Roman" w:eastAsia="宋体" w:cs="Times New Roman"/>
          <w:sz w:val="24"/>
        </w:rPr>
        <w:t xml:space="preserve">unction, </w:t>
      </w:r>
      <w:r>
        <w:rPr>
          <w:rFonts w:hint="eastAsia" w:ascii="Times New Roman" w:hAnsi="Times New Roman" w:eastAsia="宋体" w:cs="Times New Roman"/>
          <w:sz w:val="24"/>
          <w:lang w:val="en-US" w:eastAsia="zh-CN"/>
        </w:rPr>
        <w:t>I</w:t>
      </w:r>
      <w:r>
        <w:rPr>
          <w:rFonts w:hint="default" w:ascii="Times New Roman" w:hAnsi="Times New Roman" w:eastAsia="宋体" w:cs="Times New Roman"/>
          <w:sz w:val="24"/>
        </w:rPr>
        <w:t xml:space="preserve">nflammatory </w:t>
      </w:r>
      <w:r>
        <w:rPr>
          <w:rFonts w:hint="eastAsia" w:ascii="Times New Roman" w:hAnsi="Times New Roman" w:eastAsia="宋体" w:cs="Times New Roman"/>
          <w:sz w:val="24"/>
          <w:lang w:val="en-US" w:eastAsia="zh-CN"/>
        </w:rPr>
        <w:t>F</w:t>
      </w:r>
      <w:r>
        <w:rPr>
          <w:rFonts w:hint="default" w:ascii="Times New Roman" w:hAnsi="Times New Roman" w:eastAsia="宋体" w:cs="Times New Roman"/>
          <w:sz w:val="24"/>
        </w:rPr>
        <w:t xml:space="preserve">actors, and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erum 5-HT and PGE_2 </w:t>
      </w:r>
      <w:r>
        <w:rPr>
          <w:rFonts w:hint="eastAsia" w:ascii="Times New Roman" w:hAnsi="Times New Roman" w:eastAsia="宋体" w:cs="Times New Roman"/>
          <w:sz w:val="24"/>
          <w:lang w:val="en-US" w:eastAsia="zh-CN"/>
        </w:rPr>
        <w:t>L</w:t>
      </w:r>
      <w:r>
        <w:rPr>
          <w:rFonts w:hint="default" w:ascii="Times New Roman" w:hAnsi="Times New Roman" w:eastAsia="宋体" w:cs="Times New Roman"/>
          <w:sz w:val="24"/>
        </w:rPr>
        <w:t xml:space="preserve">evels in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atients with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eriarthritis of the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houlder</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Progress in Modern Biomedicine, 22 (18): 3509-3513. </w:t>
      </w:r>
    </w:p>
    <w:p w14:paraId="12419D97">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[3] Li S, Kuang Q, Chen P, </w:t>
      </w:r>
      <w:r>
        <w:rPr>
          <w:rFonts w:hint="eastAsia" w:ascii="Times New Roman" w:hAnsi="Times New Roman" w:eastAsia="宋体" w:cs="Times New Roman"/>
          <w:sz w:val="24"/>
          <w:lang w:val="en-US" w:eastAsia="zh-CN"/>
        </w:rPr>
        <w:t>et al.,</w:t>
      </w:r>
      <w:r>
        <w:rPr>
          <w:rFonts w:hint="default" w:ascii="Times New Roman" w:hAnsi="Times New Roman" w:eastAsia="宋体" w:cs="Times New Roman"/>
          <w:sz w:val="24"/>
        </w:rPr>
        <w:t xml:space="preserve"> Therapeutic </w:t>
      </w:r>
      <w:r>
        <w:rPr>
          <w:rFonts w:hint="eastAsia" w:ascii="Times New Roman" w:hAnsi="Times New Roman" w:eastAsia="宋体" w:cs="Times New Roman"/>
          <w:sz w:val="24"/>
          <w:lang w:val="en-US" w:eastAsia="zh-CN"/>
        </w:rPr>
        <w:t>E</w:t>
      </w:r>
      <w:r>
        <w:rPr>
          <w:rFonts w:hint="default" w:ascii="Times New Roman" w:hAnsi="Times New Roman" w:eastAsia="宋体" w:cs="Times New Roman"/>
          <w:sz w:val="24"/>
        </w:rPr>
        <w:t xml:space="preserve">ffect of the </w:t>
      </w:r>
      <w:r>
        <w:rPr>
          <w:rFonts w:hint="eastAsia" w:ascii="Times New Roman" w:hAnsi="Times New Roman" w:eastAsia="宋体" w:cs="Times New Roman"/>
          <w:sz w:val="24"/>
          <w:lang w:val="en-US" w:eastAsia="zh-CN"/>
        </w:rPr>
        <w:t>M</w:t>
      </w:r>
      <w:r>
        <w:rPr>
          <w:rFonts w:hint="default" w:ascii="Times New Roman" w:hAnsi="Times New Roman" w:eastAsia="宋体" w:cs="Times New Roman"/>
          <w:sz w:val="24"/>
        </w:rPr>
        <w:t xml:space="preserve">oving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upping with </w:t>
      </w:r>
      <w:r>
        <w:rPr>
          <w:rFonts w:hint="eastAsia" w:ascii="Times New Roman" w:hAnsi="Times New Roman" w:eastAsia="宋体" w:cs="Times New Roman"/>
          <w:sz w:val="24"/>
          <w:lang w:val="en-US" w:eastAsia="zh-CN"/>
        </w:rPr>
        <w:t>M</w:t>
      </w:r>
      <w:r>
        <w:rPr>
          <w:rFonts w:hint="default" w:ascii="Times New Roman" w:hAnsi="Times New Roman" w:eastAsia="宋体" w:cs="Times New Roman"/>
          <w:sz w:val="24"/>
        </w:rPr>
        <w:t xml:space="preserve">oxibustion on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atients with </w:t>
      </w:r>
      <w:r>
        <w:rPr>
          <w:rFonts w:hint="eastAsia" w:ascii="Times New Roman" w:hAnsi="Times New Roman" w:eastAsia="宋体" w:cs="Times New Roman"/>
          <w:sz w:val="24"/>
          <w:lang w:val="en-US" w:eastAsia="zh-CN"/>
        </w:rPr>
        <w:t>K</w:t>
      </w:r>
      <w:r>
        <w:rPr>
          <w:rFonts w:hint="default" w:ascii="Times New Roman" w:hAnsi="Times New Roman" w:eastAsia="宋体" w:cs="Times New Roman"/>
          <w:sz w:val="24"/>
        </w:rPr>
        <w:t xml:space="preserve">nee </w:t>
      </w:r>
      <w:r>
        <w:rPr>
          <w:rFonts w:hint="eastAsia" w:ascii="Times New Roman" w:hAnsi="Times New Roman" w:eastAsia="宋体" w:cs="Times New Roman"/>
          <w:sz w:val="24"/>
          <w:lang w:val="en-US" w:eastAsia="zh-CN"/>
        </w:rPr>
        <w:t>O</w:t>
      </w:r>
      <w:r>
        <w:rPr>
          <w:rFonts w:hint="default" w:ascii="Times New Roman" w:hAnsi="Times New Roman" w:eastAsia="宋体" w:cs="Times New Roman"/>
          <w:sz w:val="24"/>
        </w:rPr>
        <w:t>steoarthritis</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Chinese Journal of Folk Medicine and Rehabilitation, 2021, 33 (18): 110-111+114. </w:t>
      </w:r>
    </w:p>
    <w:p w14:paraId="519A0237">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[4] Tian W</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2016</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Practical Orthopaedics</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Beijing: People</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 xml:space="preserve">s Medical Publishing House, 294. </w:t>
      </w:r>
    </w:p>
    <w:p w14:paraId="6E0DC61C">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[5] Huang G</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2015</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TCM Tendon Injury Science</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Beijing: China Press of Traditional Chinese Medicine, 76-79. </w:t>
      </w:r>
    </w:p>
    <w:p w14:paraId="4A829AF2">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[6] Page M, Mckenzine JE, Green SE, et al.</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2015</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Core </w:t>
      </w:r>
      <w:r>
        <w:rPr>
          <w:rFonts w:hint="eastAsia" w:ascii="Times New Roman" w:hAnsi="Times New Roman" w:eastAsia="宋体" w:cs="Times New Roman"/>
          <w:sz w:val="24"/>
          <w:lang w:val="en-US" w:eastAsia="zh-CN"/>
        </w:rPr>
        <w:t>D</w:t>
      </w:r>
      <w:r>
        <w:rPr>
          <w:rFonts w:hint="default" w:ascii="Times New Roman" w:hAnsi="Times New Roman" w:eastAsia="宋体" w:cs="Times New Roman"/>
          <w:sz w:val="24"/>
        </w:rPr>
        <w:t xml:space="preserve">omain and </w:t>
      </w:r>
      <w:r>
        <w:rPr>
          <w:rFonts w:hint="eastAsia" w:ascii="Times New Roman" w:hAnsi="Times New Roman" w:eastAsia="宋体" w:cs="Times New Roman"/>
          <w:sz w:val="24"/>
          <w:lang w:val="en-US" w:eastAsia="zh-CN"/>
        </w:rPr>
        <w:t>O</w:t>
      </w:r>
      <w:r>
        <w:rPr>
          <w:rFonts w:hint="default" w:ascii="Times New Roman" w:hAnsi="Times New Roman" w:eastAsia="宋体" w:cs="Times New Roman"/>
          <w:sz w:val="24"/>
        </w:rPr>
        <w:t xml:space="preserve">utcome </w:t>
      </w:r>
      <w:r>
        <w:rPr>
          <w:rFonts w:hint="eastAsia" w:ascii="Times New Roman" w:hAnsi="Times New Roman" w:eastAsia="宋体" w:cs="Times New Roman"/>
          <w:sz w:val="24"/>
          <w:lang w:val="en-US" w:eastAsia="zh-CN"/>
        </w:rPr>
        <w:t>M</w:t>
      </w:r>
      <w:r>
        <w:rPr>
          <w:rFonts w:hint="default" w:ascii="Times New Roman" w:hAnsi="Times New Roman" w:eastAsia="宋体" w:cs="Times New Roman"/>
          <w:sz w:val="24"/>
        </w:rPr>
        <w:t xml:space="preserve">easurement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ets for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houlder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ain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rials are </w:t>
      </w:r>
      <w:r>
        <w:rPr>
          <w:rFonts w:hint="eastAsia" w:ascii="Times New Roman" w:hAnsi="Times New Roman" w:eastAsia="宋体" w:cs="Times New Roman"/>
          <w:sz w:val="24"/>
          <w:lang w:val="en-US" w:eastAsia="zh-CN"/>
        </w:rPr>
        <w:t>N</w:t>
      </w:r>
      <w:r>
        <w:rPr>
          <w:rFonts w:hint="default" w:ascii="Times New Roman" w:hAnsi="Times New Roman" w:eastAsia="宋体" w:cs="Times New Roman"/>
          <w:sz w:val="24"/>
        </w:rPr>
        <w:t xml:space="preserve">eeded: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ystematic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 xml:space="preserve">eview of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hysical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herapy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rials</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Clin Epidemiol, 68(11): 1270-1281. </w:t>
      </w:r>
    </w:p>
    <w:p w14:paraId="0E99B900">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[7] Visual Analog Scale (VAS)</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2004, Chinese Journal of Minimally Invasive Neurosurgery, 9(11): 483. </w:t>
      </w:r>
    </w:p>
    <w:p w14:paraId="392B233F">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[8] State Administration of Traditional Chinese Medicine</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2002</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Guidelines for Clinical Research on New Traditional Chinese Medicines</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Nanjing: Nanjing University Press, 18. </w:t>
      </w:r>
    </w:p>
    <w:p w14:paraId="2EA7A4E7">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[9] Wang D, Li N, Guo Y, </w:t>
      </w:r>
      <w:r>
        <w:rPr>
          <w:rFonts w:hint="eastAsia" w:ascii="Times New Roman" w:hAnsi="Times New Roman" w:eastAsia="宋体" w:cs="Times New Roman"/>
          <w:sz w:val="24"/>
          <w:lang w:val="en-US" w:eastAsia="zh-CN"/>
        </w:rPr>
        <w:t>et al.,</w:t>
      </w:r>
      <w:r>
        <w:rPr>
          <w:rFonts w:hint="default" w:ascii="Times New Roman" w:hAnsi="Times New Roman" w:eastAsia="宋体" w:cs="Times New Roman"/>
          <w:sz w:val="24"/>
        </w:rPr>
        <w:t xml:space="preserve"> 2023</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Effects of a TCM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haracteristic </w:t>
      </w:r>
      <w:r>
        <w:rPr>
          <w:rFonts w:hint="eastAsia" w:ascii="Times New Roman" w:hAnsi="Times New Roman" w:eastAsia="宋体" w:cs="Times New Roman"/>
          <w:sz w:val="24"/>
          <w:lang w:val="en-US" w:eastAsia="zh-CN"/>
        </w:rPr>
        <w:t>N</w:t>
      </w:r>
      <w:r>
        <w:rPr>
          <w:rFonts w:hint="default" w:ascii="Times New Roman" w:hAnsi="Times New Roman" w:eastAsia="宋体" w:cs="Times New Roman"/>
          <w:sz w:val="24"/>
        </w:rPr>
        <w:t xml:space="preserve">ursing </w:t>
      </w:r>
      <w:r>
        <w:rPr>
          <w:rFonts w:hint="eastAsia" w:ascii="Times New Roman" w:hAnsi="Times New Roman" w:eastAsia="宋体" w:cs="Times New Roman"/>
          <w:sz w:val="24"/>
          <w:lang w:val="en-US" w:eastAsia="zh-CN"/>
        </w:rPr>
        <w:t>M</w:t>
      </w:r>
      <w:r>
        <w:rPr>
          <w:rFonts w:hint="default" w:ascii="Times New Roman" w:hAnsi="Times New Roman" w:eastAsia="宋体" w:cs="Times New Roman"/>
          <w:sz w:val="24"/>
        </w:rPr>
        <w:t xml:space="preserve">odel </w:t>
      </w:r>
      <w:r>
        <w:rPr>
          <w:rFonts w:hint="eastAsia" w:ascii="Times New Roman" w:hAnsi="Times New Roman" w:eastAsia="宋体" w:cs="Times New Roman"/>
          <w:sz w:val="24"/>
          <w:lang w:val="en-US" w:eastAsia="zh-CN"/>
        </w:rPr>
        <w:t>B</w:t>
      </w:r>
      <w:r>
        <w:rPr>
          <w:rFonts w:hint="default" w:ascii="Times New Roman" w:hAnsi="Times New Roman" w:eastAsia="宋体" w:cs="Times New Roman"/>
          <w:sz w:val="24"/>
        </w:rPr>
        <w:t xml:space="preserve">ased on </w:t>
      </w:r>
      <w:r>
        <w:rPr>
          <w:rFonts w:hint="eastAsia" w:ascii="Times New Roman" w:hAnsi="Times New Roman" w:eastAsia="宋体" w:cs="Times New Roman"/>
          <w:sz w:val="24"/>
          <w:lang w:val="en-US" w:eastAsia="zh-CN"/>
        </w:rPr>
        <w:t>E</w:t>
      </w:r>
      <w:r>
        <w:rPr>
          <w:rFonts w:hint="default" w:ascii="Times New Roman" w:hAnsi="Times New Roman" w:eastAsia="宋体" w:cs="Times New Roman"/>
          <w:sz w:val="24"/>
        </w:rPr>
        <w:t xml:space="preserve">vidence-based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heory on the </w:t>
      </w:r>
      <w:r>
        <w:rPr>
          <w:rFonts w:hint="eastAsia" w:ascii="Times New Roman" w:hAnsi="Times New Roman" w:eastAsia="宋体" w:cs="Times New Roman"/>
          <w:sz w:val="24"/>
          <w:lang w:val="en-US" w:eastAsia="zh-CN"/>
        </w:rPr>
        <w:t>Q</w:t>
      </w:r>
      <w:r>
        <w:rPr>
          <w:rFonts w:hint="default" w:ascii="Times New Roman" w:hAnsi="Times New Roman" w:eastAsia="宋体" w:cs="Times New Roman"/>
          <w:sz w:val="24"/>
        </w:rPr>
        <w:t xml:space="preserve">uality of </w:t>
      </w:r>
      <w:r>
        <w:rPr>
          <w:rFonts w:hint="eastAsia" w:ascii="Times New Roman" w:hAnsi="Times New Roman" w:eastAsia="宋体" w:cs="Times New Roman"/>
          <w:sz w:val="24"/>
          <w:lang w:val="en-US" w:eastAsia="zh-CN"/>
        </w:rPr>
        <w:t>L</w:t>
      </w:r>
      <w:r>
        <w:rPr>
          <w:rFonts w:hint="default" w:ascii="Times New Roman" w:hAnsi="Times New Roman" w:eastAsia="宋体" w:cs="Times New Roman"/>
          <w:sz w:val="24"/>
        </w:rPr>
        <w:t xml:space="preserve">ife of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atients with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eriarthritis of the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houlder</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China Modern Doctor, 61 (18): 105-108. </w:t>
      </w:r>
    </w:p>
    <w:p w14:paraId="238C6799">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[10] Zhu T, Cui J, Chen J, </w:t>
      </w:r>
      <w:r>
        <w:rPr>
          <w:rFonts w:hint="eastAsia" w:ascii="Times New Roman" w:hAnsi="Times New Roman" w:eastAsia="宋体" w:cs="Times New Roman"/>
          <w:sz w:val="24"/>
          <w:lang w:val="en-US" w:eastAsia="zh-CN"/>
        </w:rPr>
        <w:t>et al</w:t>
      </w:r>
      <w:r>
        <w:rPr>
          <w:rFonts w:hint="default" w:ascii="Times New Roman" w:hAnsi="Times New Roman" w:eastAsia="宋体" w:cs="Times New Roman"/>
          <w:sz w:val="24"/>
        </w:rPr>
        <w:t>.</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2018</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Research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rogress on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reatment </w:t>
      </w:r>
      <w:r>
        <w:rPr>
          <w:rFonts w:hint="eastAsia" w:ascii="Times New Roman" w:hAnsi="Times New Roman" w:eastAsia="宋体" w:cs="Times New Roman"/>
          <w:sz w:val="24"/>
          <w:lang w:val="en-US" w:eastAsia="zh-CN"/>
        </w:rPr>
        <w:t>M</w:t>
      </w:r>
      <w:r>
        <w:rPr>
          <w:rFonts w:hint="default" w:ascii="Times New Roman" w:hAnsi="Times New Roman" w:eastAsia="宋体" w:cs="Times New Roman"/>
          <w:sz w:val="24"/>
        </w:rPr>
        <w:t xml:space="preserve">ethods and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heir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herapeutic </w:t>
      </w:r>
      <w:r>
        <w:rPr>
          <w:rFonts w:hint="eastAsia" w:ascii="Times New Roman" w:hAnsi="Times New Roman" w:eastAsia="宋体" w:cs="Times New Roman"/>
          <w:sz w:val="24"/>
          <w:lang w:val="en-US" w:eastAsia="zh-CN"/>
        </w:rPr>
        <w:t>E</w:t>
      </w:r>
      <w:r>
        <w:rPr>
          <w:rFonts w:hint="default" w:ascii="Times New Roman" w:hAnsi="Times New Roman" w:eastAsia="宋体" w:cs="Times New Roman"/>
          <w:sz w:val="24"/>
        </w:rPr>
        <w:t xml:space="preserve">ffects for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eriarthritis of the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houlder</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Chinese Journal of Bone and Joint Injury, 33 (11): 1230-1232. </w:t>
      </w:r>
    </w:p>
    <w:p w14:paraId="383202BA">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[11] Xiao L, Chen H, Li J, 2023</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Clinical </w:t>
      </w:r>
      <w:r>
        <w:rPr>
          <w:rFonts w:hint="eastAsia" w:ascii="Times New Roman" w:hAnsi="Times New Roman" w:eastAsia="宋体" w:cs="Times New Roman"/>
          <w:sz w:val="24"/>
          <w:lang w:val="en-US" w:eastAsia="zh-CN"/>
        </w:rPr>
        <w:t>O</w:t>
      </w:r>
      <w:r>
        <w:rPr>
          <w:rFonts w:hint="default" w:ascii="Times New Roman" w:hAnsi="Times New Roman" w:eastAsia="宋体" w:cs="Times New Roman"/>
          <w:sz w:val="24"/>
        </w:rPr>
        <w:t xml:space="preserve">bservation on the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omprehensive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reatment of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eriarthritis of the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houlder of the </w:t>
      </w:r>
      <w:r>
        <w:rPr>
          <w:rFonts w:hint="eastAsia" w:ascii="Times New Roman" w:hAnsi="Times New Roman" w:eastAsia="宋体" w:cs="Times New Roman"/>
          <w:sz w:val="24"/>
          <w:lang w:val="en-US" w:eastAsia="zh-CN"/>
        </w:rPr>
        <w:t>W</w:t>
      </w:r>
      <w:r>
        <w:rPr>
          <w:rFonts w:hint="default" w:ascii="Times New Roman" w:hAnsi="Times New Roman" w:eastAsia="宋体" w:cs="Times New Roman"/>
          <w:sz w:val="24"/>
        </w:rPr>
        <w:t xml:space="preserve">ind-cold-dampness </w:t>
      </w:r>
      <w:r>
        <w:rPr>
          <w:rFonts w:hint="eastAsia" w:ascii="Times New Roman" w:hAnsi="Times New Roman" w:eastAsia="宋体" w:cs="Times New Roman"/>
          <w:sz w:val="24"/>
          <w:lang w:val="en-US" w:eastAsia="zh-CN"/>
        </w:rPr>
        <w:t>B</w:t>
      </w:r>
      <w:r>
        <w:rPr>
          <w:rFonts w:hint="default" w:ascii="Times New Roman" w:hAnsi="Times New Roman" w:eastAsia="宋体" w:cs="Times New Roman"/>
          <w:sz w:val="24"/>
        </w:rPr>
        <w:t xml:space="preserve">i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yndrome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ype</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Journal of Practical Traditional Chinese Medicine, 39 (02): 251-253. </w:t>
      </w:r>
    </w:p>
    <w:p w14:paraId="312848E4">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[12] Tang Y</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2018</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Therapeutic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 xml:space="preserve">esearch on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raditional Chinese </w:t>
      </w:r>
      <w:r>
        <w:rPr>
          <w:rFonts w:hint="eastAsia" w:ascii="Times New Roman" w:hAnsi="Times New Roman" w:eastAsia="宋体" w:cs="Times New Roman"/>
          <w:sz w:val="24"/>
          <w:lang w:val="en-US" w:eastAsia="zh-CN"/>
        </w:rPr>
        <w:t>M</w:t>
      </w:r>
      <w:r>
        <w:rPr>
          <w:rFonts w:hint="default" w:ascii="Times New Roman" w:hAnsi="Times New Roman" w:eastAsia="宋体" w:cs="Times New Roman"/>
          <w:sz w:val="24"/>
        </w:rPr>
        <w:t xml:space="preserve">edicine for </w:t>
      </w:r>
      <w:r>
        <w:rPr>
          <w:rFonts w:hint="eastAsia" w:ascii="Times New Roman" w:hAnsi="Times New Roman" w:eastAsia="宋体" w:cs="Times New Roman"/>
          <w:sz w:val="24"/>
          <w:lang w:val="en-US" w:eastAsia="zh-CN"/>
        </w:rPr>
        <w:t>D</w:t>
      </w:r>
      <w:r>
        <w:rPr>
          <w:rFonts w:hint="default" w:ascii="Times New Roman" w:hAnsi="Times New Roman" w:eastAsia="宋体" w:cs="Times New Roman"/>
          <w:sz w:val="24"/>
        </w:rPr>
        <w:t xml:space="preserve">egenerative </w:t>
      </w:r>
      <w:r>
        <w:rPr>
          <w:rFonts w:hint="eastAsia" w:ascii="Times New Roman" w:hAnsi="Times New Roman" w:eastAsia="宋体" w:cs="Times New Roman"/>
          <w:sz w:val="24"/>
          <w:lang w:val="en-US" w:eastAsia="zh-CN"/>
        </w:rPr>
        <w:t>B</w:t>
      </w:r>
      <w:r>
        <w:rPr>
          <w:rFonts w:hint="default" w:ascii="Times New Roman" w:hAnsi="Times New Roman" w:eastAsia="宋体" w:cs="Times New Roman"/>
          <w:sz w:val="24"/>
        </w:rPr>
        <w:t xml:space="preserve">one and </w:t>
      </w:r>
      <w:r>
        <w:rPr>
          <w:rFonts w:hint="eastAsia" w:ascii="Times New Roman" w:hAnsi="Times New Roman" w:eastAsia="宋体" w:cs="Times New Roman"/>
          <w:sz w:val="24"/>
          <w:lang w:val="en-US" w:eastAsia="zh-CN"/>
        </w:rPr>
        <w:t>J</w:t>
      </w:r>
      <w:r>
        <w:rPr>
          <w:rFonts w:hint="default" w:ascii="Times New Roman" w:hAnsi="Times New Roman" w:eastAsia="宋体" w:cs="Times New Roman"/>
          <w:sz w:val="24"/>
        </w:rPr>
        <w:t xml:space="preserve">oint </w:t>
      </w:r>
      <w:r>
        <w:rPr>
          <w:rFonts w:hint="eastAsia" w:ascii="Times New Roman" w:hAnsi="Times New Roman" w:eastAsia="宋体" w:cs="Times New Roman"/>
          <w:sz w:val="24"/>
          <w:lang w:val="en-US" w:eastAsia="zh-CN"/>
        </w:rPr>
        <w:t>D</w:t>
      </w:r>
      <w:r>
        <w:rPr>
          <w:rFonts w:hint="default" w:ascii="Times New Roman" w:hAnsi="Times New Roman" w:eastAsia="宋体" w:cs="Times New Roman"/>
          <w:sz w:val="24"/>
        </w:rPr>
        <w:t>iseases</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Chinese Community Doctors, 34 (21): 8+10. </w:t>
      </w:r>
    </w:p>
    <w:p w14:paraId="1FBD3639">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[13] Meng X, Xiu W, Hu X, </w:t>
      </w:r>
      <w:r>
        <w:rPr>
          <w:rFonts w:hint="eastAsia" w:ascii="Times New Roman" w:hAnsi="Times New Roman" w:eastAsia="宋体" w:cs="Times New Roman"/>
          <w:sz w:val="24"/>
          <w:lang w:val="en-US" w:eastAsia="zh-CN"/>
        </w:rPr>
        <w:t>et al</w:t>
      </w:r>
      <w:r>
        <w:rPr>
          <w:rFonts w:hint="default" w:ascii="Times New Roman" w:hAnsi="Times New Roman" w:eastAsia="宋体" w:cs="Times New Roman"/>
          <w:sz w:val="24"/>
        </w:rPr>
        <w:t>.</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2022</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 Evidence </w:t>
      </w:r>
      <w:r>
        <w:rPr>
          <w:rFonts w:hint="eastAsia" w:ascii="Times New Roman" w:hAnsi="Times New Roman" w:eastAsia="宋体" w:cs="Times New Roman"/>
          <w:sz w:val="24"/>
          <w:lang w:val="en-US" w:eastAsia="zh-CN"/>
        </w:rPr>
        <w:t>M</w:t>
      </w:r>
      <w:r>
        <w:rPr>
          <w:rFonts w:hint="default" w:ascii="Times New Roman" w:hAnsi="Times New Roman" w:eastAsia="宋体" w:cs="Times New Roman"/>
          <w:sz w:val="24"/>
        </w:rPr>
        <w:t xml:space="preserve">ap of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linical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 xml:space="preserve">esearch on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 xml:space="preserve">cupuncture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reatment for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eriarthritis of the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houlder</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Chinese Acupuncture &amp; Moxibustion, 42 (02): 227-230+236. </w:t>
      </w:r>
    </w:p>
    <w:p w14:paraId="06DBB956">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[14] Huang G, Zhou M, Zhou X, </w:t>
      </w:r>
      <w:r>
        <w:rPr>
          <w:rFonts w:hint="eastAsia" w:ascii="Times New Roman" w:hAnsi="Times New Roman" w:eastAsia="宋体" w:cs="Times New Roman"/>
          <w:sz w:val="24"/>
          <w:lang w:val="en-US" w:eastAsia="zh-CN"/>
        </w:rPr>
        <w:t>et al.,</w:t>
      </w:r>
      <w:r>
        <w:rPr>
          <w:rFonts w:hint="default" w:ascii="Times New Roman" w:hAnsi="Times New Roman" w:eastAsia="宋体" w:cs="Times New Roman"/>
          <w:sz w:val="24"/>
        </w:rPr>
        <w:t xml:space="preserve"> 2023</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Clinical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tudy on the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reatment of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eriarthritis of the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houlder with </w:t>
      </w:r>
      <w:r>
        <w:rPr>
          <w:rFonts w:hint="eastAsia" w:ascii="Times New Roman" w:hAnsi="Times New Roman" w:eastAsia="宋体" w:cs="Times New Roman"/>
          <w:sz w:val="24"/>
          <w:lang w:val="en-US" w:eastAsia="zh-CN"/>
        </w:rPr>
        <w:t>H</w:t>
      </w:r>
      <w:r>
        <w:rPr>
          <w:rFonts w:hint="default" w:ascii="Times New Roman" w:hAnsi="Times New Roman" w:eastAsia="宋体" w:cs="Times New Roman"/>
          <w:sz w:val="24"/>
        </w:rPr>
        <w:t xml:space="preserve">eat-sensitive </w:t>
      </w:r>
      <w:r>
        <w:rPr>
          <w:rFonts w:hint="eastAsia" w:ascii="Times New Roman" w:hAnsi="Times New Roman" w:eastAsia="宋体" w:cs="Times New Roman"/>
          <w:sz w:val="24"/>
          <w:lang w:val="en-US" w:eastAsia="zh-CN"/>
        </w:rPr>
        <w:t>M</w:t>
      </w:r>
      <w:r>
        <w:rPr>
          <w:rFonts w:hint="default" w:ascii="Times New Roman" w:hAnsi="Times New Roman" w:eastAsia="宋体" w:cs="Times New Roman"/>
          <w:sz w:val="24"/>
        </w:rPr>
        <w:t xml:space="preserve">oxibustion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ombined with </w:t>
      </w:r>
      <w:r>
        <w:rPr>
          <w:rFonts w:hint="eastAsia" w:ascii="Times New Roman" w:hAnsi="Times New Roman" w:eastAsia="宋体" w:cs="Times New Roman"/>
          <w:sz w:val="24"/>
          <w:lang w:val="en-US" w:eastAsia="zh-CN"/>
        </w:rPr>
        <w:t>G</w:t>
      </w:r>
      <w:r>
        <w:rPr>
          <w:rFonts w:hint="default" w:ascii="Times New Roman" w:hAnsi="Times New Roman" w:eastAsia="宋体" w:cs="Times New Roman"/>
          <w:sz w:val="24"/>
        </w:rPr>
        <w:t xml:space="preserve">ua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ha and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upping</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Minimally Invasive Medicine, 18 (01): 88-91+111. </w:t>
      </w:r>
    </w:p>
    <w:p w14:paraId="74772310">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[15] Shi J</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2022</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Electroacupuncture </w:t>
      </w:r>
      <w:r>
        <w:rPr>
          <w:rFonts w:hint="eastAsia" w:ascii="Times New Roman" w:hAnsi="Times New Roman" w:eastAsia="宋体" w:cs="Times New Roman"/>
          <w:sz w:val="24"/>
          <w:lang w:val="en-US" w:eastAsia="zh-CN"/>
        </w:rPr>
        <w:t>E</w:t>
      </w:r>
      <w:r>
        <w:rPr>
          <w:rFonts w:hint="default" w:ascii="Times New Roman" w:hAnsi="Times New Roman" w:eastAsia="宋体" w:cs="Times New Roman"/>
          <w:sz w:val="24"/>
        </w:rPr>
        <w:t>xerts</w:t>
      </w:r>
      <w:r>
        <w:rPr>
          <w:rFonts w:hint="eastAsia" w:ascii="Times New Roman" w:hAnsi="Times New Roman" w:eastAsia="宋体" w:cs="Times New Roman"/>
          <w:sz w:val="24"/>
          <w:lang w:val="en-US" w:eastAsia="zh-CN"/>
        </w:rPr>
        <w:t xml:space="preserve"> L</w:t>
      </w:r>
      <w:r>
        <w:rPr>
          <w:rFonts w:hint="default" w:ascii="Times New Roman" w:hAnsi="Times New Roman" w:eastAsia="宋体" w:cs="Times New Roman"/>
          <w:sz w:val="24"/>
        </w:rPr>
        <w:t xml:space="preserve">ocal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 xml:space="preserve">nalgesic </w:t>
      </w:r>
      <w:r>
        <w:rPr>
          <w:rFonts w:hint="eastAsia" w:ascii="Times New Roman" w:hAnsi="Times New Roman" w:eastAsia="宋体" w:cs="Times New Roman"/>
          <w:sz w:val="24"/>
          <w:lang w:val="en-US" w:eastAsia="zh-CN"/>
        </w:rPr>
        <w:t>E</w:t>
      </w:r>
      <w:r>
        <w:rPr>
          <w:rFonts w:hint="default" w:ascii="Times New Roman" w:hAnsi="Times New Roman" w:eastAsia="宋体" w:cs="Times New Roman"/>
          <w:sz w:val="24"/>
        </w:rPr>
        <w:t xml:space="preserve">ffects on </w:t>
      </w:r>
      <w:r>
        <w:rPr>
          <w:rFonts w:hint="eastAsia" w:ascii="Times New Roman" w:hAnsi="Times New Roman" w:eastAsia="宋体" w:cs="Times New Roman"/>
          <w:sz w:val="24"/>
          <w:lang w:val="en-US" w:eastAsia="zh-CN"/>
        </w:rPr>
        <w:t>I</w:t>
      </w:r>
      <w:r>
        <w:rPr>
          <w:rFonts w:hint="default" w:ascii="Times New Roman" w:hAnsi="Times New Roman" w:eastAsia="宋体" w:cs="Times New Roman"/>
          <w:sz w:val="24"/>
        </w:rPr>
        <w:t xml:space="preserve">nflammatory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ain by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 xml:space="preserve">ctivating the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ympathetic </w:t>
      </w:r>
      <w:r>
        <w:rPr>
          <w:rFonts w:hint="eastAsia" w:ascii="Times New Roman" w:hAnsi="Times New Roman" w:eastAsia="宋体" w:cs="Times New Roman"/>
          <w:sz w:val="24"/>
          <w:lang w:val="en-US" w:eastAsia="zh-CN"/>
        </w:rPr>
        <w:t>N</w:t>
      </w:r>
      <w:r>
        <w:rPr>
          <w:rFonts w:hint="default" w:ascii="Times New Roman" w:hAnsi="Times New Roman" w:eastAsia="宋体" w:cs="Times New Roman"/>
          <w:sz w:val="24"/>
        </w:rPr>
        <w:t xml:space="preserve">ervous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ystem to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 xml:space="preserve">ecruit </w:t>
      </w:r>
      <w:r>
        <w:rPr>
          <w:rFonts w:hint="eastAsia" w:ascii="Times New Roman" w:hAnsi="Times New Roman" w:eastAsia="宋体" w:cs="Times New Roman"/>
          <w:sz w:val="24"/>
          <w:lang w:val="en-US" w:eastAsia="zh-CN"/>
        </w:rPr>
        <w:t>I</w:t>
      </w:r>
      <w:r>
        <w:rPr>
          <w:rFonts w:hint="default" w:ascii="Times New Roman" w:hAnsi="Times New Roman" w:eastAsia="宋体" w:cs="Times New Roman"/>
          <w:sz w:val="24"/>
        </w:rPr>
        <w:t xml:space="preserve">mmune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ells</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China Academy of Chinese Medical Sciences </w:t>
      </w:r>
    </w:p>
    <w:p w14:paraId="525247FF">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[16] Xie S, Lai J, Li Z, </w:t>
      </w:r>
      <w:r>
        <w:rPr>
          <w:rFonts w:hint="eastAsia" w:ascii="Times New Roman" w:hAnsi="Times New Roman" w:eastAsia="宋体" w:cs="Times New Roman"/>
          <w:sz w:val="24"/>
          <w:lang w:val="en-US" w:eastAsia="zh-CN"/>
        </w:rPr>
        <w:t>et al</w:t>
      </w:r>
      <w:r>
        <w:rPr>
          <w:rFonts w:hint="default" w:ascii="Times New Roman" w:hAnsi="Times New Roman" w:eastAsia="宋体" w:cs="Times New Roman"/>
          <w:sz w:val="24"/>
        </w:rPr>
        <w:t>.</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2023</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Effects of </w:t>
      </w:r>
      <w:r>
        <w:rPr>
          <w:rFonts w:hint="eastAsia" w:ascii="Times New Roman" w:hAnsi="Times New Roman" w:eastAsia="宋体" w:cs="Times New Roman"/>
          <w:sz w:val="24"/>
          <w:lang w:val="en-US" w:eastAsia="zh-CN"/>
        </w:rPr>
        <w:t>E</w:t>
      </w:r>
      <w:r>
        <w:rPr>
          <w:rFonts w:hint="default" w:ascii="Times New Roman" w:hAnsi="Times New Roman" w:eastAsia="宋体" w:cs="Times New Roman"/>
          <w:sz w:val="24"/>
        </w:rPr>
        <w:t xml:space="preserve">lectroacupuncture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ombined with </w:t>
      </w:r>
      <w:r>
        <w:rPr>
          <w:rFonts w:hint="eastAsia" w:ascii="Times New Roman" w:hAnsi="Times New Roman" w:eastAsia="宋体" w:cs="Times New Roman"/>
          <w:sz w:val="24"/>
          <w:lang w:val="en-US" w:eastAsia="zh-CN"/>
        </w:rPr>
        <w:t>N</w:t>
      </w:r>
      <w:r>
        <w:rPr>
          <w:rFonts w:hint="default" w:ascii="Times New Roman" w:hAnsi="Times New Roman" w:eastAsia="宋体" w:cs="Times New Roman"/>
          <w:sz w:val="24"/>
        </w:rPr>
        <w:t xml:space="preserve">euromuscular </w:t>
      </w:r>
      <w:r>
        <w:rPr>
          <w:rFonts w:hint="eastAsia" w:ascii="Times New Roman" w:hAnsi="Times New Roman" w:eastAsia="宋体" w:cs="Times New Roman"/>
          <w:sz w:val="24"/>
          <w:lang w:val="en-US" w:eastAsia="zh-CN"/>
        </w:rPr>
        <w:t>E</w:t>
      </w:r>
      <w:r>
        <w:rPr>
          <w:rFonts w:hint="default" w:ascii="Times New Roman" w:hAnsi="Times New Roman" w:eastAsia="宋体" w:cs="Times New Roman"/>
          <w:sz w:val="24"/>
        </w:rPr>
        <w:t xml:space="preserve">lectrical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timulation on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ain and </w:t>
      </w:r>
      <w:r>
        <w:rPr>
          <w:rFonts w:hint="eastAsia" w:ascii="Times New Roman" w:hAnsi="Times New Roman" w:eastAsia="宋体" w:cs="Times New Roman"/>
          <w:sz w:val="24"/>
          <w:lang w:val="en-US" w:eastAsia="zh-CN"/>
        </w:rPr>
        <w:t>F</w:t>
      </w:r>
      <w:r>
        <w:rPr>
          <w:rFonts w:hint="default" w:ascii="Times New Roman" w:hAnsi="Times New Roman" w:eastAsia="宋体" w:cs="Times New Roman"/>
          <w:sz w:val="24"/>
        </w:rPr>
        <w:t xml:space="preserve">unction in </w:t>
      </w:r>
      <w:r>
        <w:rPr>
          <w:rFonts w:hint="eastAsia" w:ascii="Times New Roman" w:hAnsi="Times New Roman" w:eastAsia="宋体" w:cs="Times New Roman"/>
          <w:sz w:val="24"/>
          <w:lang w:val="en-US" w:eastAsia="zh-CN"/>
        </w:rPr>
        <w:t>E</w:t>
      </w:r>
      <w:r>
        <w:rPr>
          <w:rFonts w:hint="default" w:ascii="Times New Roman" w:hAnsi="Times New Roman" w:eastAsia="宋体" w:cs="Times New Roman"/>
          <w:sz w:val="24"/>
        </w:rPr>
        <w:t xml:space="preserve">lderly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atients </w:t>
      </w:r>
      <w:r>
        <w:rPr>
          <w:rFonts w:hint="eastAsia" w:ascii="Times New Roman" w:hAnsi="Times New Roman" w:eastAsia="宋体" w:cs="Times New Roman"/>
          <w:sz w:val="24"/>
          <w:lang w:val="en-US" w:eastAsia="zh-CN"/>
        </w:rPr>
        <w:t>U</w:t>
      </w:r>
      <w:r>
        <w:rPr>
          <w:rFonts w:hint="default" w:ascii="Times New Roman" w:hAnsi="Times New Roman" w:eastAsia="宋体" w:cs="Times New Roman"/>
          <w:sz w:val="24"/>
        </w:rPr>
        <w:t xml:space="preserve">ndergoing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 xml:space="preserve">otator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uff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epair</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Chinese Journal of Gerontology, 43 (18): 4403-4406. </w:t>
      </w:r>
    </w:p>
    <w:p w14:paraId="2025C0B8">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[17] Wang X, Kuang Q, Shen Q</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2023</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Analysis of the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herapeutic </w:t>
      </w:r>
      <w:r>
        <w:rPr>
          <w:rFonts w:hint="eastAsia" w:ascii="Times New Roman" w:hAnsi="Times New Roman" w:eastAsia="宋体" w:cs="Times New Roman"/>
          <w:sz w:val="24"/>
          <w:lang w:val="en-US" w:eastAsia="zh-CN"/>
        </w:rPr>
        <w:t>E</w:t>
      </w:r>
      <w:r>
        <w:rPr>
          <w:rFonts w:hint="default" w:ascii="Times New Roman" w:hAnsi="Times New Roman" w:eastAsia="宋体" w:cs="Times New Roman"/>
          <w:sz w:val="24"/>
        </w:rPr>
        <w:t xml:space="preserve">ffect of the </w:t>
      </w:r>
      <w:r>
        <w:rPr>
          <w:rFonts w:hint="eastAsia" w:ascii="Times New Roman" w:hAnsi="Times New Roman" w:eastAsia="宋体" w:cs="Times New Roman"/>
          <w:sz w:val="24"/>
          <w:lang w:val="en-US" w:eastAsia="zh-CN"/>
        </w:rPr>
        <w:t>M</w:t>
      </w:r>
      <w:r>
        <w:rPr>
          <w:rFonts w:hint="default" w:ascii="Times New Roman" w:hAnsi="Times New Roman" w:eastAsia="宋体" w:cs="Times New Roman"/>
          <w:sz w:val="24"/>
        </w:rPr>
        <w:t xml:space="preserve">oving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upping with </w:t>
      </w:r>
      <w:r>
        <w:rPr>
          <w:rFonts w:hint="eastAsia" w:ascii="Times New Roman" w:hAnsi="Times New Roman" w:eastAsia="宋体" w:cs="Times New Roman"/>
          <w:sz w:val="24"/>
          <w:lang w:val="en-US" w:eastAsia="zh-CN"/>
        </w:rPr>
        <w:t>M</w:t>
      </w:r>
      <w:r>
        <w:rPr>
          <w:rFonts w:hint="default" w:ascii="Times New Roman" w:hAnsi="Times New Roman" w:eastAsia="宋体" w:cs="Times New Roman"/>
          <w:sz w:val="24"/>
        </w:rPr>
        <w:t xml:space="preserve">oxibustion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ombined with </w:t>
      </w:r>
      <w:r>
        <w:rPr>
          <w:rFonts w:hint="eastAsia" w:ascii="Times New Roman" w:hAnsi="Times New Roman" w:eastAsia="宋体" w:cs="Times New Roman"/>
          <w:sz w:val="24"/>
          <w:lang w:val="en-US" w:eastAsia="zh-CN"/>
        </w:rPr>
        <w:t>J</w:t>
      </w:r>
      <w:r>
        <w:rPr>
          <w:rFonts w:hint="default" w:ascii="Times New Roman" w:hAnsi="Times New Roman" w:eastAsia="宋体" w:cs="Times New Roman"/>
          <w:sz w:val="24"/>
        </w:rPr>
        <w:t xml:space="preserve">oint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uncture and </w:t>
      </w:r>
      <w:r>
        <w:rPr>
          <w:rFonts w:hint="eastAsia" w:ascii="Times New Roman" w:hAnsi="Times New Roman" w:eastAsia="宋体" w:cs="Times New Roman"/>
          <w:sz w:val="24"/>
          <w:lang w:val="en-US" w:eastAsia="zh-CN"/>
        </w:rPr>
        <w:t>O</w:t>
      </w:r>
      <w:r>
        <w:rPr>
          <w:rFonts w:hint="default" w:ascii="Times New Roman" w:hAnsi="Times New Roman" w:eastAsia="宋体" w:cs="Times New Roman"/>
          <w:sz w:val="24"/>
        </w:rPr>
        <w:t xml:space="preserve">zone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erfusion on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atients with </w:t>
      </w:r>
      <w:r>
        <w:rPr>
          <w:rFonts w:hint="eastAsia" w:ascii="Times New Roman" w:hAnsi="Times New Roman" w:eastAsia="宋体" w:cs="Times New Roman"/>
          <w:sz w:val="24"/>
          <w:lang w:val="en-US" w:eastAsia="zh-CN"/>
        </w:rPr>
        <w:t>B</w:t>
      </w:r>
      <w:r>
        <w:rPr>
          <w:rFonts w:hint="default" w:ascii="Times New Roman" w:hAnsi="Times New Roman" w:eastAsia="宋体" w:cs="Times New Roman"/>
          <w:sz w:val="24"/>
        </w:rPr>
        <w:t xml:space="preserve">ilateral </w:t>
      </w:r>
      <w:r>
        <w:rPr>
          <w:rFonts w:hint="eastAsia" w:ascii="Times New Roman" w:hAnsi="Times New Roman" w:eastAsia="宋体" w:cs="Times New Roman"/>
          <w:sz w:val="24"/>
          <w:lang w:val="en-US" w:eastAsia="zh-CN"/>
        </w:rPr>
        <w:t>K</w:t>
      </w:r>
      <w:r>
        <w:rPr>
          <w:rFonts w:hint="default" w:ascii="Times New Roman" w:hAnsi="Times New Roman" w:eastAsia="宋体" w:cs="Times New Roman"/>
          <w:sz w:val="24"/>
        </w:rPr>
        <w:t xml:space="preserve">nee </w:t>
      </w:r>
      <w:r>
        <w:rPr>
          <w:rFonts w:hint="eastAsia" w:ascii="Times New Roman" w:hAnsi="Times New Roman" w:eastAsia="宋体" w:cs="Times New Roman"/>
          <w:sz w:val="24"/>
          <w:lang w:val="en-US" w:eastAsia="zh-CN"/>
        </w:rPr>
        <w:t>O</w:t>
      </w:r>
      <w:r>
        <w:rPr>
          <w:rFonts w:hint="default" w:ascii="Times New Roman" w:hAnsi="Times New Roman" w:eastAsia="宋体" w:cs="Times New Roman"/>
          <w:sz w:val="24"/>
        </w:rPr>
        <w:t>steoarthritis</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Medical Theory and Practice, 36 (09): 1599-1602.</w:t>
      </w:r>
    </w:p>
    <w:p w14:paraId="3557C60B">
      <w:pPr>
        <w:ind w:left="420" w:hanging="420"/>
        <w:rPr>
          <w:rFonts w:hint="default" w:ascii="Times New Roman" w:hAnsi="Times New Roman" w:eastAsia="宋体" w:cs="Times New Roman"/>
          <w:sz w:val="24"/>
        </w:rPr>
      </w:pPr>
    </w:p>
    <w:p w14:paraId="727696D1">
      <w:pPr>
        <w:rPr>
          <w:rFonts w:ascii="Times New Roman" w:hAnsi="Times New Roman" w:eastAsia="宋体" w:cs="Times New Roman"/>
          <w:sz w:val="24"/>
        </w:rPr>
      </w:pPr>
    </w:p>
    <w:p w14:paraId="1975139D">
      <w:pPr>
        <w:pStyle w:val="2"/>
        <w:rPr>
          <w:rFonts w:ascii="Times New Roman" w:hAnsi="Times New Roman"/>
          <w:b/>
          <w:bCs/>
          <w:color w:val="auto"/>
          <w:sz w:val="20"/>
          <w:szCs w:val="20"/>
        </w:rPr>
      </w:pPr>
      <w:bookmarkStart w:id="3" w:name="_Hlk172732777"/>
      <w:bookmarkStart w:id="4" w:name="_Hlk173221647"/>
      <w:r>
        <w:rPr>
          <w:rFonts w:ascii="Times New Roman" w:hAnsi="Times New Roman"/>
          <w:b/>
          <w:bCs/>
          <w:color w:val="auto"/>
          <w:sz w:val="20"/>
          <w:szCs w:val="20"/>
        </w:rPr>
        <w:t>Publisher’s note</w:t>
      </w:r>
    </w:p>
    <w:p w14:paraId="33FEAF67">
      <w:pPr>
        <w:rPr>
          <w:rFonts w:ascii="Times New Roman" w:hAnsi="Times New Roman" w:eastAsia="宋体" w:cs="Times New Roman"/>
          <w:sz w:val="20"/>
          <w:szCs w:val="20"/>
        </w:rPr>
      </w:pPr>
      <w:r>
        <w:rPr>
          <w:rFonts w:ascii="Times New Roman" w:hAnsi="Times New Roman" w:eastAsia="宋体" w:cs="Times New Roman"/>
          <w:kern w:val="0"/>
          <w:sz w:val="20"/>
          <w:szCs w:val="20"/>
          <w:lang w:eastAsia="en-US"/>
        </w:rPr>
        <w:t>Bio-Byword Scientific Publishing remains neutral with regard to jurisdictional claims in published maps and institutional affiliations.</w:t>
      </w:r>
    </w:p>
    <w:bookmarkEnd w:id="3"/>
    <w:bookmarkEnd w:id="4"/>
    <w:p w14:paraId="6CE77D72">
      <w:pPr>
        <w:ind w:left="420" w:hanging="420"/>
        <w:rPr>
          <w:rFonts w:hint="default" w:ascii="Times New Roman" w:hAnsi="Times New Roman" w:eastAsia="宋体" w:cs="Times New Roman"/>
          <w:sz w:val="24"/>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embedRegular r:id="rId1" w:fontKey="{5D35036F-B248-42B8-80FE-52CBAE3B706F}"/>
  </w:font>
  <w:font w:name="Bold">
    <w:altName w:val="Segoe Print"/>
    <w:panose1 w:val="00000000000000000000"/>
    <w:charset w:val="00"/>
    <w:family w:val="auto"/>
    <w:pitch w:val="default"/>
    <w:sig w:usb0="00000000" w:usb1="00000000" w:usb2="00000000" w:usb3="00000000" w:csb0="00000000" w:csb1="00000000"/>
  </w:font>
  <w:font w:name="Cambria-Bol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5E1814"/>
    <w:rsid w:val="2B616237"/>
    <w:rsid w:val="35AA7618"/>
    <w:rsid w:val="62B5243E"/>
    <w:rsid w:val="64AB0F4B"/>
    <w:rsid w:val="6F700A29"/>
    <w:rsid w:val="73DB3B7B"/>
    <w:rsid w:val="7D5E18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9"/>
    <w:pPr>
      <w:keepNext/>
      <w:keepLines/>
      <w:spacing w:before="40"/>
      <w:outlineLvl w:val="2"/>
    </w:pPr>
    <w:rPr>
      <w:rFonts w:ascii="Calibri Light" w:hAnsi="Calibri Light" w:eastAsia="等线 Light" w:cs="Times New Roman"/>
      <w:color w:val="1F3763"/>
      <w:sz w:val="24"/>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rPr>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oleObject" Target="embeddings/oleObject4.bin"/><Relationship Id="rId7" Type="http://schemas.openxmlformats.org/officeDocument/2006/relationships/oleObject" Target="embeddings/oleObject3.bin"/><Relationship Id="rId6" Type="http://schemas.openxmlformats.org/officeDocument/2006/relationships/oleObject" Target="embeddings/oleObject2.bin"/><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3268</Words>
  <Characters>19215</Characters>
  <Lines>0</Lines>
  <Paragraphs>0</Paragraphs>
  <TotalTime>4</TotalTime>
  <ScaleCrop>false</ScaleCrop>
  <LinksUpToDate>false</LinksUpToDate>
  <CharactersWithSpaces>22394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2026-07-03T05:24:00Z</dcterms:created>
  <dc:creator></dc:creator>
  <cp:lastModifiedBy></cp:lastModifiedBy>
  <dcterms:modified xsi:type="dcterms:W3CDTF">2026-08-13T02:39:45Z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075BC28798614B7AB0B1CC093B8F5BD5_11</vt:lpwstr>
  </property>
  <property fmtid="{D5CDD505-2E9C-101B-9397-08002B2CF9AE}" pid="4" name="KSOTemplateDocerSaveRecord">
    <vt:lpwstr>eyJoZGlkIjoiZTBiYjBjMzJlZDA2ZWE2YWNmMzQyN2E2MGVlZTcxZjkiLCJ1c2VySWQiOiI2MTA5NTIyOTYifQ==</vt:lpwstr>
  </property>
</Properties>
</file>